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2E75B6"/>
          <w:spacing w:val="200"/>
          <w:sz w:val="20"/>
          <w:szCs w:val="20"/>
        </w:rPr>
        <w:t xml:space="preserve">RESEARCH PAPER</w:t>
      </w:r>
    </w:p>
    <w:p>
      <w:pPr>
        <w:pBdr>
          <w:bottom w:val="single" w:color="2E75B6" w:sz="8" w:space="8"/>
        </w:pBdr>
        <w:spacing w:after="100"/>
        <w:jc w:val="center"/>
      </w:pPr>
      <w:r>
        <w:rPr>
          <w:rFonts w:ascii="Arial" w:cs="Arial" w:eastAsia="Arial" w:hAnsi="Arial"/>
          <w:b/>
          <w:bCs/>
          <w:color w:val="1B2A4A"/>
          <w:sz w:val="48"/>
          <w:szCs w:val="48"/>
        </w:rPr>
        <w:t xml:space="preserve">GradTensor: Tensor Dictionary Learning</w:t>
      </w:r>
    </w:p>
    <w:p>
      <w:pPr>
        <w:spacing w:after="400"/>
        <w:jc w:val="center"/>
      </w:pPr>
      <w:r>
        <w:rPr>
          <w:rFonts w:ascii="Arial" w:cs="Arial" w:eastAsia="Arial" w:hAnsi="Arial"/>
          <w:b/>
          <w:bCs/>
          <w:color w:val="1B2A4A"/>
          <w:sz w:val="48"/>
          <w:szCs w:val="48"/>
        </w:rPr>
        <w:t xml:space="preserve">with Sparse Tucker Decomposition</w:t>
      </w:r>
    </w:p>
    <w:p>
      <w:pPr>
        <w:spacing w:after="120"/>
        <w:jc w:val="center"/>
      </w:pPr>
      <w:r>
        <w:rPr>
          <w:rFonts w:ascii="Arial" w:cs="Arial" w:eastAsia="Arial" w:hAnsi="Arial"/>
          <w:color w:val="666666"/>
          <w:sz w:val="24"/>
          <w:szCs w:val="24"/>
        </w:rPr>
        <w:t xml:space="preserve">A Comprehensive Analysis of Sparse Tensor Factorization</w:t>
      </w:r>
    </w:p>
    <w:p>
      <w:pPr>
        <w:spacing w:after="80"/>
        <w:jc w:val="center"/>
      </w:pPr>
      <w:r>
        <w:rPr>
          <w:rFonts w:ascii="Arial" w:cs="Arial" w:eastAsia="Arial" w:hAnsi="Arial"/>
          <w:color w:val="666666"/>
          <w:sz w:val="24"/>
          <w:szCs w:val="24"/>
        </w:rPr>
        <w:t xml:space="preserve">for High-Dimensional Signal Representation and Classification</w:t>
      </w:r>
    </w:p>
    <w:p>
      <w:pPr>
        <w:spacing w:before="600"/>
      </w:pPr>
    </w:p>
    <w:p>
      <w:pPr>
        <w:spacing w:after="80"/>
        <w:jc w:val="center"/>
      </w:pPr>
      <w:r>
        <w:rPr>
          <w:rFonts w:ascii="Arial" w:cs="Arial" w:eastAsia="Arial" w:hAnsi="Arial"/>
          <w:color w:val="666666"/>
          <w:sz w:val="20"/>
          <w:szCs w:val="20"/>
        </w:rPr>
        <w:t xml:space="preserve">Based on: </w:t>
      </w:r>
      <w:r>
        <w:rPr>
          <w:rFonts w:ascii="Arial" w:cs="Arial" w:eastAsia="Arial" w:hAnsi="Arial"/>
          <w:b/>
          <w:bCs/>
          <w:color w:val="1B2A4A"/>
          <w:sz w:val="20"/>
          <w:szCs w:val="20"/>
        </w:rPr>
        <w:t xml:space="preserve">S. Zubair and W. Wang (2013)</w:t>
      </w:r>
    </w:p>
    <w:p>
      <w:pPr>
        <w:spacing w:after="80"/>
        <w:jc w:val="center"/>
      </w:pPr>
      <w:r>
        <w:rPr>
          <w:rFonts w:ascii="Arial" w:cs="Arial" w:eastAsia="Arial" w:hAnsi="Arial"/>
          <w:i/>
          <w:iCs/>
          <w:color w:val="666666"/>
          <w:sz w:val="20"/>
          <w:szCs w:val="20"/>
        </w:rPr>
        <w:t xml:space="preserve">18th International Conference on Digital Signal Processing (DSP)</w:t>
      </w:r>
    </w:p>
    <w:p>
      <w:pPr>
        <w:spacing w:after="80"/>
        <w:jc w:val="center"/>
      </w:pPr>
      <w:r>
        <w:rPr>
          <w:rFonts w:ascii="Arial" w:cs="Arial" w:eastAsia="Arial" w:hAnsi="Arial"/>
          <w:color w:val="666666"/>
          <w:sz w:val="20"/>
          <w:szCs w:val="20"/>
        </w:rPr>
        <w:t xml:space="preserve">IEEE, pp. 1–6, 2013</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360"/>
      </w:pPr>
      <w:r>
        <w:rPr>
          <w:rFonts w:ascii="Arial" w:cs="Arial" w:eastAsia="Arial" w:hAnsi="Arial"/>
          <w:b/>
          <w:bCs/>
          <w:color w:val="1B2A4A"/>
          <w:sz w:val="32"/>
          <w:szCs w:val="32"/>
        </w:rPr>
        <w:t xml:space="preserve">Abstract</w:t>
      </w:r>
    </w:p>
    <w:p>
      <w:pPr>
        <w:spacing w:after="160" w:line="320"/>
      </w:pPr>
      <w:r>
        <w:rPr>
          <w:rFonts w:ascii="Arial" w:cs="Arial" w:eastAsia="Arial" w:hAnsi="Arial"/>
          <w:color w:val="2D2D2D"/>
          <w:sz w:val="22"/>
          <w:szCs w:val="22"/>
        </w:rPr>
        <w:t xml:space="preserve">This paper presents an in-depth analysis of </w:t>
      </w:r>
      <w:r>
        <w:rPr>
          <w:rFonts w:ascii="Arial" w:cs="Arial" w:eastAsia="Arial" w:hAnsi="Arial"/>
          <w:b/>
          <w:bCs/>
          <w:color w:val="2D2D2D"/>
          <w:sz w:val="22"/>
          <w:szCs w:val="22"/>
        </w:rPr>
        <w:t xml:space="preserve">GradTensor</w:t>
      </w:r>
      <w:r>
        <w:rPr>
          <w:rFonts w:ascii="Arial" w:cs="Arial" w:eastAsia="Arial" w:hAnsi="Arial"/>
          <w:color w:val="2D2D2D"/>
          <w:sz w:val="22"/>
          <w:szCs w:val="22"/>
        </w:rPr>
        <w:t xml:space="preserve">, a novel algorithm for tensor dictionary learning that integrates sparse Tucker decomposition with gradient-based optimization. Traditional dictionary learning methods such as K-SVD operate on vectorized or matricized data, fundamentally destroying the multi-dimensional structure inherent in modern high-dimensional signals. GradTensor addresses this limitation by formulating dictionary learning directly in the tensor domain, employing factor matrices as mode-specific dictionaries and enforcing sparsity on the core tensor via Tensor Orthogonal Matching Pursuit (TOMP). The algorithm alternates between sparse coding and gradient-descent-based dictionary updates, demonstrating superior convergence, reconstruction fidelity, and classification performance—particularly in speaker identification tasks—compared to standard Tucker decomposition and K-SVD baselines.</w:t>
      </w:r>
    </w:p>
    <w:p>
      <w:pPr>
        <w:pStyle w:val="Heading1"/>
        <w:pBdr>
          <w:bottom w:val="single" w:color="2E75B6" w:sz="6" w:space="4"/>
        </w:pBdr>
        <w:spacing w:after="200" w:before="360"/>
      </w:pPr>
      <w:r>
        <w:rPr>
          <w:rFonts w:ascii="Arial" w:cs="Arial" w:eastAsia="Arial" w:hAnsi="Arial"/>
          <w:b/>
          <w:bCs/>
          <w:color w:val="1B2A4A"/>
          <w:sz w:val="32"/>
          <w:szCs w:val="32"/>
        </w:rPr>
        <w:t xml:space="preserve">1. Introduction</w:t>
      </w:r>
    </w:p>
    <w:p>
      <w:pPr>
        <w:pStyle w:val="Heading2"/>
        <w:spacing w:after="160" w:before="280"/>
      </w:pPr>
      <w:r>
        <w:rPr>
          <w:rFonts w:ascii="Arial" w:cs="Arial" w:eastAsia="Arial" w:hAnsi="Arial"/>
          <w:b/>
          <w:bCs/>
          <w:color w:val="2E75B6"/>
          <w:sz w:val="26"/>
          <w:szCs w:val="26"/>
        </w:rPr>
        <w:t xml:space="preserve">1.1 The Challenge of High-Dimensional Data</w:t>
      </w:r>
    </w:p>
    <w:p>
      <w:pPr>
        <w:spacing w:after="160" w:line="320"/>
      </w:pPr>
      <w:r>
        <w:rPr>
          <w:rFonts w:ascii="Arial" w:cs="Arial" w:eastAsia="Arial" w:hAnsi="Arial"/>
          <w:color w:val="2D2D2D"/>
          <w:sz w:val="22"/>
          <w:szCs w:val="22"/>
        </w:rPr>
        <w:t xml:space="preserve">Modern data acquisition systems produce signals that are inherently multi-dimensional. Video sequences span spatial and temporal dimensions; audio spectrograms encode time-frequency relationships across multiple channels; medical volumes capture three-dimensional anatomical structures. Representing such data faithfully requires mathematical objects that preserve this multi-dimensional organization—namely, </w:t>
      </w:r>
      <w:r>
        <w:rPr>
          <w:rFonts w:ascii="Arial" w:cs="Arial" w:eastAsia="Arial" w:hAnsi="Arial"/>
          <w:b/>
          <w:bCs/>
          <w:color w:val="2D2D2D"/>
          <w:sz w:val="22"/>
          <w:szCs w:val="22"/>
        </w:rPr>
        <w:t xml:space="preserve">tensors</w:t>
      </w:r>
      <w:r>
        <w:rPr>
          <w:rFonts w:ascii="Arial" w:cs="Arial" w:eastAsia="Arial" w:hAnsi="Arial"/>
          <w:color w:val="2D2D2D"/>
          <w:sz w:val="22"/>
          <w:szCs w:val="22"/>
        </w:rPr>
        <w:t xml:space="preserve"> (multi-dimensional arrays).</w:t>
      </w:r>
    </w:p>
    <w:p>
      <w:pPr>
        <w:spacing w:after="160" w:line="320"/>
      </w:pPr>
      <w:r>
        <w:rPr>
          <w:rFonts w:ascii="Arial" w:cs="Arial" w:eastAsia="Arial" w:hAnsi="Arial"/>
          <w:color w:val="2D2D2D"/>
          <w:sz w:val="22"/>
          <w:szCs w:val="22"/>
        </w:rPr>
        <w:t xml:space="preserve">Classical signal processing and machine learning approaches frequently </w:t>
      </w:r>
      <w:r>
        <w:rPr>
          <w:rFonts w:ascii="Arial" w:cs="Arial" w:eastAsia="Arial" w:hAnsi="Arial"/>
          <w:i/>
          <w:iCs/>
          <w:color w:val="2D2D2D"/>
          <w:sz w:val="22"/>
          <w:szCs w:val="22"/>
        </w:rPr>
        <w:t xml:space="preserve">vectorize</w:t>
      </w:r>
      <w:r>
        <w:rPr>
          <w:rFonts w:ascii="Arial" w:cs="Arial" w:eastAsia="Arial" w:hAnsi="Arial"/>
          <w:color w:val="2D2D2D"/>
          <w:sz w:val="22"/>
          <w:szCs w:val="22"/>
        </w:rPr>
        <w:t xml:space="preserve"> these tensors—flattening a 3D medical volume into a single long vector, for instance—before applying algorithms such as PCA, K-SVD, or standard sparse coding. While computationally convenient, vectorization discards the geometric and correlational structure along each mode of the data, leading to degraded reconstruction quality, inflated storage requirements, and diminished discriminative power in classification tasks.</w:t>
      </w:r>
    </w:p>
    <w:p>
      <w:pPr>
        <w:pStyle w:val="Heading2"/>
        <w:spacing w:after="160" w:before="280"/>
      </w:pPr>
      <w:r>
        <w:rPr>
          <w:rFonts w:ascii="Arial" w:cs="Arial" w:eastAsia="Arial" w:hAnsi="Arial"/>
          <w:b/>
          <w:bCs/>
          <w:color w:val="2E75B6"/>
          <w:sz w:val="26"/>
          <w:szCs w:val="26"/>
        </w:rPr>
        <w:t xml:space="preserve">1.2 Dictionary Learning: From Vectors to Tensors</w:t>
      </w:r>
    </w:p>
    <w:p>
      <w:pPr>
        <w:spacing w:after="160" w:line="320"/>
      </w:pPr>
      <w:r>
        <w:rPr>
          <w:rFonts w:ascii="Arial" w:cs="Arial" w:eastAsia="Arial" w:hAnsi="Arial"/>
          <w:color w:val="2D2D2D"/>
          <w:sz w:val="22"/>
          <w:szCs w:val="22"/>
        </w:rPr>
        <w:t xml:space="preserve">Dictionary learning aims to find a set of representative atoms (a </w:t>
      </w:r>
      <w:r>
        <w:rPr>
          <w:rFonts w:ascii="Arial" w:cs="Arial" w:eastAsia="Arial" w:hAnsi="Arial"/>
          <w:i/>
          <w:iCs/>
          <w:color w:val="2D2D2D"/>
          <w:sz w:val="22"/>
          <w:szCs w:val="22"/>
        </w:rPr>
        <w:t xml:space="preserve">dictionary</w:t>
      </w:r>
      <w:r>
        <w:rPr>
          <w:rFonts w:ascii="Arial" w:cs="Arial" w:eastAsia="Arial" w:hAnsi="Arial"/>
          <w:color w:val="2D2D2D"/>
          <w:sz w:val="22"/>
          <w:szCs w:val="22"/>
        </w:rPr>
        <w:t xml:space="preserve">) such that input signals can be expressed as sparse linear combinations of these atoms. The celebrated </w:t>
      </w:r>
      <w:r>
        <w:rPr>
          <w:rFonts w:ascii="Arial" w:cs="Arial" w:eastAsia="Arial" w:hAnsi="Arial"/>
          <w:b/>
          <w:bCs/>
          <w:color w:val="2D2D2D"/>
          <w:sz w:val="22"/>
          <w:szCs w:val="22"/>
        </w:rPr>
        <w:t xml:space="preserve">K-SVD</w:t>
      </w:r>
      <w:r>
        <w:rPr>
          <w:rFonts w:ascii="Arial" w:cs="Arial" w:eastAsia="Arial" w:hAnsi="Arial"/>
          <w:color w:val="2D2D2D"/>
          <w:sz w:val="22"/>
          <w:szCs w:val="22"/>
        </w:rPr>
        <w:t xml:space="preserve"> algorithm (Aharon, Elad, and Bruckstein, 2006) solves this problem for vector-valued signals by alternating between sparse coding via Orthogonal Matching Pursuit (OMP) and dictionary update via rank-one SVD approximations. K-SVD has achieved remarkable success in image denoising, compression, and recognition.</w:t>
      </w:r>
    </w:p>
    <w:p>
      <w:pPr>
        <w:spacing w:after="160" w:line="320"/>
      </w:pPr>
      <w:r>
        <w:rPr>
          <w:rFonts w:ascii="Arial" w:cs="Arial" w:eastAsia="Arial" w:hAnsi="Arial"/>
          <w:color w:val="2D2D2D"/>
          <w:sz w:val="22"/>
          <w:szCs w:val="22"/>
        </w:rPr>
        <w:t xml:space="preserve">However, K-SVD and its variants are fundamentally limited to one- or two-dimensional signal representations. Extending dictionary learning to the tensor domain requires a factorization framework that can decompose multi-dimensional data while preserving mode-wise structure. The </w:t>
      </w:r>
      <w:r>
        <w:rPr>
          <w:rFonts w:ascii="Arial" w:cs="Arial" w:eastAsia="Arial" w:hAnsi="Arial"/>
          <w:b/>
          <w:bCs/>
          <w:color w:val="2D2D2D"/>
          <w:sz w:val="22"/>
          <w:szCs w:val="22"/>
        </w:rPr>
        <w:t xml:space="preserve">Tucker decomposition</w:t>
      </w:r>
      <w:r>
        <w:rPr>
          <w:rFonts w:ascii="Arial" w:cs="Arial" w:eastAsia="Arial" w:hAnsi="Arial"/>
          <w:color w:val="2D2D2D"/>
          <w:sz w:val="22"/>
          <w:szCs w:val="22"/>
        </w:rPr>
        <w:t xml:space="preserve"> (Tucker, 1966) provides exactly this capability, expressing a tensor as a core tensor multiplied by factor matrices along each mode.</w:t>
      </w:r>
    </w:p>
    <w:p>
      <w:pPr>
        <w:pStyle w:val="Heading2"/>
        <w:spacing w:after="160" w:before="280"/>
      </w:pPr>
      <w:r>
        <w:rPr>
          <w:rFonts w:ascii="Arial" w:cs="Arial" w:eastAsia="Arial" w:hAnsi="Arial"/>
          <w:b/>
          <w:bCs/>
          <w:color w:val="2E75B6"/>
          <w:sz w:val="26"/>
          <w:szCs w:val="26"/>
        </w:rPr>
        <w:t xml:space="preserve">1.3 Motivation for GradTensor</w:t>
      </w:r>
    </w:p>
    <w:p>
      <w:pPr>
        <w:spacing w:after="160" w:line="320"/>
      </w:pPr>
      <w:r>
        <w:rPr>
          <w:rFonts w:ascii="Arial" w:cs="Arial" w:eastAsia="Arial" w:hAnsi="Arial"/>
          <w:color w:val="2D2D2D"/>
          <w:sz w:val="22"/>
          <w:szCs w:val="22"/>
        </w:rPr>
        <w:t xml:space="preserve">Standard Tucker decomposition, while structurally sound, produces a </w:t>
      </w:r>
      <w:r>
        <w:rPr>
          <w:rFonts w:ascii="Arial" w:cs="Arial" w:eastAsia="Arial" w:hAnsi="Arial"/>
          <w:i/>
          <w:iCs/>
          <w:color w:val="2D2D2D"/>
          <w:sz w:val="22"/>
          <w:szCs w:val="22"/>
        </w:rPr>
        <w:t xml:space="preserve">dense</w:t>
      </w:r>
      <w:r>
        <w:rPr>
          <w:rFonts w:ascii="Arial" w:cs="Arial" w:eastAsia="Arial" w:hAnsi="Arial"/>
          <w:color w:val="2D2D2D"/>
          <w:sz w:val="22"/>
          <w:szCs w:val="22"/>
        </w:rPr>
        <w:t xml:space="preserve"> core tensor in which every latent feature interacts with every other. This density introduces three critical problems: computational inefficiency due to excess parameters, ambiguity in interpretation since all interactions carry equal weight, and poor discriminative capacity for classification tasks. GradTensor’s central insight is that imposing </w:t>
      </w:r>
      <w:r>
        <w:rPr>
          <w:rFonts w:ascii="Arial" w:cs="Arial" w:eastAsia="Arial" w:hAnsi="Arial"/>
          <w:b/>
          <w:bCs/>
          <w:color w:val="2D2D2D"/>
          <w:sz w:val="22"/>
          <w:szCs w:val="22"/>
        </w:rPr>
        <w:t xml:space="preserve">sparsity on the core tensor</w:t>
      </w:r>
      <w:r>
        <w:rPr>
          <w:rFonts w:ascii="Arial" w:cs="Arial" w:eastAsia="Arial" w:hAnsi="Arial"/>
          <w:color w:val="2D2D2D"/>
          <w:sz w:val="22"/>
          <w:szCs w:val="22"/>
        </w:rPr>
        <w:t xml:space="preserve"> simultaneously addresses all three problems—yielding a compact, interpretable, and discriminative tensor representation.</w:t>
      </w:r>
    </w:p>
    <w:p>
      <w:pPr>
        <w:pStyle w:val="Heading1"/>
        <w:pBdr>
          <w:bottom w:val="single" w:color="2E75B6" w:sz="6" w:space="4"/>
        </w:pBdr>
        <w:spacing w:after="200" w:before="360"/>
      </w:pPr>
      <w:r>
        <w:rPr>
          <w:rFonts w:ascii="Arial" w:cs="Arial" w:eastAsia="Arial" w:hAnsi="Arial"/>
          <w:b/>
          <w:bCs/>
          <w:color w:val="1B2A4A"/>
          <w:sz w:val="32"/>
          <w:szCs w:val="32"/>
        </w:rPr>
        <w:t xml:space="preserve">2. Mathematical Foundations</w:t>
      </w:r>
    </w:p>
    <w:p>
      <w:pPr>
        <w:pStyle w:val="Heading2"/>
        <w:spacing w:after="160" w:before="280"/>
      </w:pPr>
      <w:r>
        <w:rPr>
          <w:rFonts w:ascii="Arial" w:cs="Arial" w:eastAsia="Arial" w:hAnsi="Arial"/>
          <w:b/>
          <w:bCs/>
          <w:color w:val="2E75B6"/>
          <w:sz w:val="26"/>
          <w:szCs w:val="26"/>
        </w:rPr>
        <w:t xml:space="preserve">2.1 Tensor Notation and Preliminaries</w:t>
      </w:r>
    </w:p>
    <w:p>
      <w:pPr>
        <w:spacing w:after="160" w:line="320"/>
      </w:pPr>
      <w:r>
        <w:rPr>
          <w:rFonts w:ascii="Arial" w:cs="Arial" w:eastAsia="Arial" w:hAnsi="Arial"/>
          <w:color w:val="2D2D2D"/>
          <w:sz w:val="22"/>
          <w:szCs w:val="22"/>
        </w:rPr>
        <w:t xml:space="preserve">A tensor is a multi-dimensional generalization of vectors and matrices. An </w:t>
      </w:r>
      <w:r>
        <w:rPr>
          <w:rFonts w:ascii="Arial" w:cs="Arial" w:eastAsia="Arial" w:hAnsi="Arial"/>
          <w:i/>
          <w:iCs/>
          <w:color w:val="2D2D2D"/>
          <w:sz w:val="22"/>
          <w:szCs w:val="22"/>
        </w:rPr>
        <w:t xml:space="preserve">N</w:t>
      </w:r>
      <w:r>
        <w:rPr>
          <w:rFonts w:ascii="Arial" w:cs="Arial" w:eastAsia="Arial" w:hAnsi="Arial"/>
          <w:color w:val="2D2D2D"/>
          <w:sz w:val="22"/>
          <w:szCs w:val="22"/>
        </w:rPr>
        <w:t xml:space="preserve">th-order tensor </w:t>
      </w:r>
      <w:r>
        <w:rPr>
          <w:rFonts w:ascii="Cambria Math" w:cs="Cambria Math" w:eastAsia="Cambria Math" w:hAnsi="Cambria Math"/>
          <w:i/>
          <w:iCs/>
          <w:color w:val="2D2D2D"/>
          <w:sz w:val="22"/>
          <w:szCs w:val="22"/>
        </w:rPr>
        <w:t xml:space="preserve">Y ∈ ℝ^{I₁ × I₂ × … × I_N}</w:t>
      </w:r>
      <w:r>
        <w:rPr>
          <w:rFonts w:ascii="Arial" w:cs="Arial" w:eastAsia="Arial" w:hAnsi="Arial"/>
          <w:color w:val="2D2D2D"/>
          <w:sz w:val="22"/>
          <w:szCs w:val="22"/>
        </w:rPr>
        <w:t xml:space="preserve"> is an element of the tensor product of </w:t>
      </w:r>
      <w:r>
        <w:rPr>
          <w:rFonts w:ascii="Arial" w:cs="Arial" w:eastAsia="Arial" w:hAnsi="Arial"/>
          <w:i/>
          <w:iCs/>
          <w:color w:val="2D2D2D"/>
          <w:sz w:val="22"/>
          <w:szCs w:val="22"/>
        </w:rPr>
        <w:t xml:space="preserve">N</w:t>
      </w:r>
      <w:r>
        <w:rPr>
          <w:rFonts w:ascii="Arial" w:cs="Arial" w:eastAsia="Arial" w:hAnsi="Arial"/>
          <w:color w:val="2D2D2D"/>
          <w:sz w:val="22"/>
          <w:szCs w:val="22"/>
        </w:rPr>
        <w:t xml:space="preserve"> vector spaces. For a third-order tensor (the primary focus of this work), we write </w:t>
      </w:r>
      <w:r>
        <w:rPr>
          <w:rFonts w:ascii="Cambria Math" w:cs="Cambria Math" w:eastAsia="Cambria Math" w:hAnsi="Cambria Math"/>
          <w:i/>
          <w:iCs/>
          <w:color w:val="2D2D2D"/>
          <w:sz w:val="22"/>
          <w:szCs w:val="22"/>
        </w:rPr>
        <w:t xml:space="preserve">Y ∈ ℝ^{I₁ × I₂ × I₃}</w:t>
      </w:r>
      <w:r>
        <w:rPr>
          <w:rFonts w:ascii="Arial" w:cs="Arial" w:eastAsia="Arial" w:hAnsi="Arial"/>
          <w:color w:val="2D2D2D"/>
          <w:sz w:val="22"/>
          <w:szCs w:val="22"/>
        </w:rPr>
        <w:t xml:space="preserve">. The </w:t>
      </w:r>
      <w:r>
        <w:rPr>
          <w:rFonts w:ascii="Arial" w:cs="Arial" w:eastAsia="Arial" w:hAnsi="Arial"/>
          <w:i/>
          <w:iCs/>
          <w:color w:val="2D2D2D"/>
          <w:sz w:val="22"/>
          <w:szCs w:val="22"/>
        </w:rPr>
        <w:t xml:space="preserve">n</w:t>
      </w:r>
      <w:r>
        <w:rPr>
          <w:rFonts w:ascii="Arial" w:cs="Arial" w:eastAsia="Arial" w:hAnsi="Arial"/>
          <w:color w:val="2D2D2D"/>
          <w:sz w:val="22"/>
          <w:szCs w:val="22"/>
        </w:rPr>
        <w:t xml:space="preserve">-mode product of a tensor with a matrix multiplies the tensor along its </w:t>
      </w:r>
      <w:r>
        <w:rPr>
          <w:rFonts w:ascii="Arial" w:cs="Arial" w:eastAsia="Arial" w:hAnsi="Arial"/>
          <w:i/>
          <w:iCs/>
          <w:color w:val="2D2D2D"/>
          <w:sz w:val="22"/>
          <w:szCs w:val="22"/>
        </w:rPr>
        <w:t xml:space="preserve">n</w:t>
      </w:r>
      <w:r>
        <w:rPr>
          <w:rFonts w:ascii="Arial" w:cs="Arial" w:eastAsia="Arial" w:hAnsi="Arial"/>
          <w:color w:val="2D2D2D"/>
          <w:sz w:val="22"/>
          <w:szCs w:val="22"/>
        </w:rPr>
        <w:t xml:space="preserve">th mode, enabling the compact expression of multilinear transformations.</w:t>
      </w:r>
    </w:p>
    <w:p>
      <w:pPr>
        <w:pStyle w:val="Heading2"/>
        <w:spacing w:after="160" w:before="280"/>
      </w:pPr>
      <w:r>
        <w:rPr>
          <w:rFonts w:ascii="Arial" w:cs="Arial" w:eastAsia="Arial" w:hAnsi="Arial"/>
          <w:b/>
          <w:bCs/>
          <w:color w:val="2E75B6"/>
          <w:sz w:val="26"/>
          <w:szCs w:val="26"/>
        </w:rPr>
        <w:t xml:space="preserve">2.2 Tucker Decomposition</w:t>
      </w:r>
    </w:p>
    <w:p>
      <w:pPr>
        <w:spacing w:after="160" w:line="320"/>
      </w:pPr>
      <w:r>
        <w:rPr>
          <w:rFonts w:ascii="Arial" w:cs="Arial" w:eastAsia="Arial" w:hAnsi="Arial"/>
          <w:color w:val="2D2D2D"/>
          <w:sz w:val="22"/>
          <w:szCs w:val="22"/>
        </w:rPr>
        <w:t xml:space="preserve">The Tucker decomposition factorizes a tensor into a core tensor and a set of factor matrices:</w:t>
      </w:r>
    </w:p>
    <w:p>
      <w:pPr>
        <w:spacing w:after="160" w:before="160"/>
        <w:jc w:val="center"/>
      </w:pPr>
      <w:r>
        <w:rPr>
          <w:rFonts w:ascii="Cambria Math" w:cs="Cambria Math" w:eastAsia="Cambria Math" w:hAnsi="Cambria Math"/>
          <w:i/>
          <w:iCs/>
          <w:color w:val="2D2D2D"/>
          <w:sz w:val="22"/>
          <w:szCs w:val="22"/>
        </w:rPr>
        <w:t xml:space="preserve">Y = X ×₁ A ×₂ B ×₃ C</w:t>
      </w:r>
    </w:p>
    <w:p>
      <w:pPr>
        <w:spacing w:after="160" w:line="320"/>
      </w:pPr>
      <w:r>
        <w:rPr>
          <w:rFonts w:ascii="Arial" w:cs="Arial" w:eastAsia="Arial" w:hAnsi="Arial"/>
          <w:color w:val="2D2D2D"/>
          <w:sz w:val="22"/>
          <w:szCs w:val="22"/>
        </w:rPr>
        <w:t xml:space="preserve">where </w:t>
      </w:r>
      <w:r>
        <w:rPr>
          <w:rFonts w:ascii="Cambria Math" w:cs="Cambria Math" w:eastAsia="Cambria Math" w:hAnsi="Cambria Math"/>
          <w:i/>
          <w:iCs/>
          <w:color w:val="2D2D2D"/>
          <w:sz w:val="22"/>
          <w:szCs w:val="22"/>
        </w:rPr>
        <w:t xml:space="preserve">X ∈ ℝ^{J₁ × J₂ × J₃}</w:t>
      </w:r>
      <w:r>
        <w:rPr>
          <w:rFonts w:ascii="Arial" w:cs="Arial" w:eastAsia="Arial" w:hAnsi="Arial"/>
          <w:color w:val="2D2D2D"/>
          <w:sz w:val="22"/>
          <w:szCs w:val="22"/>
        </w:rPr>
        <w:t xml:space="preserve"> is the core tensor, and </w:t>
      </w:r>
      <w:r>
        <w:rPr>
          <w:rFonts w:ascii="Cambria Math" w:cs="Cambria Math" w:eastAsia="Cambria Math" w:hAnsi="Cambria Math"/>
          <w:i/>
          <w:iCs/>
          <w:color w:val="2D2D2D"/>
          <w:sz w:val="22"/>
          <w:szCs w:val="22"/>
        </w:rPr>
        <w:t xml:space="preserve">A ∈ ℝ^{I₁ × J₁}</w:t>
      </w:r>
      <w:r>
        <w:rPr>
          <w:rFonts w:ascii="Arial" w:cs="Arial" w:eastAsia="Arial" w:hAnsi="Arial"/>
          <w:color w:val="2D2D2D"/>
          <w:sz w:val="22"/>
          <w:szCs w:val="22"/>
        </w:rPr>
        <w:t xml:space="preserve">, </w:t>
      </w:r>
      <w:r>
        <w:rPr>
          <w:rFonts w:ascii="Cambria Math" w:cs="Cambria Math" w:eastAsia="Cambria Math" w:hAnsi="Cambria Math"/>
          <w:i/>
          <w:iCs/>
          <w:color w:val="2D2D2D"/>
          <w:sz w:val="22"/>
          <w:szCs w:val="22"/>
        </w:rPr>
        <w:t xml:space="preserve">B ∈ ℝ^{I₂ × J₂}</w:t>
      </w:r>
      <w:r>
        <w:rPr>
          <w:rFonts w:ascii="Arial" w:cs="Arial" w:eastAsia="Arial" w:hAnsi="Arial"/>
          <w:color w:val="2D2D2D"/>
          <w:sz w:val="22"/>
          <w:szCs w:val="22"/>
        </w:rPr>
        <w:t xml:space="preserve">, </w:t>
      </w:r>
      <w:r>
        <w:rPr>
          <w:rFonts w:ascii="Cambria Math" w:cs="Cambria Math" w:eastAsia="Cambria Math" w:hAnsi="Cambria Math"/>
          <w:i/>
          <w:iCs/>
          <w:color w:val="2D2D2D"/>
          <w:sz w:val="22"/>
          <w:szCs w:val="22"/>
        </w:rPr>
        <w:t xml:space="preserve">C ∈ ℝ^{I₃ × J₃}</w:t>
      </w:r>
      <w:r>
        <w:rPr>
          <w:rFonts w:ascii="Arial" w:cs="Arial" w:eastAsia="Arial" w:hAnsi="Arial"/>
          <w:color w:val="2D2D2D"/>
          <w:sz w:val="22"/>
          <w:szCs w:val="22"/>
        </w:rPr>
        <w:t xml:space="preserve"> are factor matrices. Each factor matrix can be interpreted as a </w:t>
      </w:r>
      <w:r>
        <w:rPr>
          <w:rFonts w:ascii="Arial" w:cs="Arial" w:eastAsia="Arial" w:hAnsi="Arial"/>
          <w:b/>
          <w:bCs/>
          <w:color w:val="2D2D2D"/>
          <w:sz w:val="22"/>
          <w:szCs w:val="22"/>
        </w:rPr>
        <w:t xml:space="preserve">dictionary</w:t>
      </w:r>
      <w:r>
        <w:rPr>
          <w:rFonts w:ascii="Arial" w:cs="Arial" w:eastAsia="Arial" w:hAnsi="Arial"/>
          <w:color w:val="2D2D2D"/>
          <w:sz w:val="22"/>
          <w:szCs w:val="22"/>
        </w:rPr>
        <w:t xml:space="preserve"> that captures features along its respective mode, while the core tensor encodes the interactions (weights) among these mode-specific features.</w:t>
      </w:r>
    </w:p>
    <w:p>
      <w:pPr>
        <w:spacing w:after="160" w:line="320"/>
      </w:pPr>
      <w:r>
        <w:rPr>
          <w:rFonts w:ascii="Arial" w:cs="Arial" w:eastAsia="Arial" w:hAnsi="Arial"/>
          <w:color w:val="2D2D2D"/>
          <w:sz w:val="22"/>
          <w:szCs w:val="22"/>
        </w:rPr>
        <w:t xml:space="preserve">The analogy to PCA is instructive: just as PCA identifies principal directions in a matrix, Tucker decomposition identifies principal subspaces along each tensor mode. However, unlike PCA, Tucker decomposition can capture complex cross-modal interactions through the core tensor.</w:t>
      </w:r>
    </w:p>
    <w:p>
      <w:pPr>
        <w:pStyle w:val="Heading2"/>
        <w:spacing w:after="160" w:before="280"/>
      </w:pPr>
      <w:r>
        <w:rPr>
          <w:rFonts w:ascii="Arial" w:cs="Arial" w:eastAsia="Arial" w:hAnsi="Arial"/>
          <w:b/>
          <w:bCs/>
          <w:color w:val="2E75B6"/>
          <w:sz w:val="26"/>
          <w:szCs w:val="26"/>
        </w:rPr>
        <w:t xml:space="preserve">2.3 The Kronecker Representation</w:t>
      </w:r>
    </w:p>
    <w:p>
      <w:pPr>
        <w:spacing w:after="160" w:line="320"/>
      </w:pPr>
      <w:r>
        <w:rPr>
          <w:rFonts w:ascii="Arial" w:cs="Arial" w:eastAsia="Arial" w:hAnsi="Arial"/>
          <w:color w:val="2D2D2D"/>
          <w:sz w:val="22"/>
          <w:szCs w:val="22"/>
        </w:rPr>
        <w:t xml:space="preserve">A critical mathematical bridge in this work is the vectorization of the Tucker model. By applying the vec(·) operator:</w:t>
      </w:r>
    </w:p>
    <w:p>
      <w:pPr>
        <w:spacing w:after="160" w:before="160"/>
        <w:jc w:val="center"/>
      </w:pPr>
      <w:r>
        <w:rPr>
          <w:rFonts w:ascii="Cambria Math" w:cs="Cambria Math" w:eastAsia="Cambria Math" w:hAnsi="Cambria Math"/>
          <w:i/>
          <w:iCs/>
          <w:color w:val="2D2D2D"/>
          <w:sz w:val="22"/>
          <w:szCs w:val="22"/>
        </w:rPr>
        <w:t xml:space="preserve">vec(Y) = (C ⊗ B ⊗ A) vec(X)</w:t>
      </w:r>
    </w:p>
    <w:p>
      <w:pPr>
        <w:spacing w:after="160" w:line="320"/>
      </w:pPr>
      <w:r>
        <w:rPr>
          <w:rFonts w:ascii="Arial" w:cs="Arial" w:eastAsia="Arial" w:hAnsi="Arial"/>
          <w:color w:val="2D2D2D"/>
          <w:sz w:val="22"/>
          <w:szCs w:val="22"/>
        </w:rPr>
        <w:t xml:space="preserve">where ⊗ denotes the Kronecker product. This identity transforms the multilinear tensor problem into a standard linear system </w:t>
      </w:r>
      <w:r>
        <w:rPr>
          <w:rFonts w:ascii="Cambria Math" w:cs="Cambria Math" w:eastAsia="Cambria Math" w:hAnsi="Cambria Math"/>
          <w:i/>
          <w:iCs/>
          <w:color w:val="2D2D2D"/>
          <w:sz w:val="22"/>
          <w:szCs w:val="22"/>
        </w:rPr>
        <w:t xml:space="preserve">y = Dx</w:t>
      </w:r>
      <w:r>
        <w:rPr>
          <w:rFonts w:ascii="Arial" w:cs="Arial" w:eastAsia="Arial" w:hAnsi="Arial"/>
          <w:color w:val="2D2D2D"/>
          <w:sz w:val="22"/>
          <w:szCs w:val="22"/>
        </w:rPr>
        <w:t xml:space="preserve"> where </w:t>
      </w:r>
      <w:r>
        <w:rPr>
          <w:rFonts w:ascii="Cambria Math" w:cs="Cambria Math" w:eastAsia="Cambria Math" w:hAnsi="Cambria Math"/>
          <w:i/>
          <w:iCs/>
          <w:color w:val="2D2D2D"/>
          <w:sz w:val="22"/>
          <w:szCs w:val="22"/>
        </w:rPr>
        <w:t xml:space="preserve">D = C ⊗ B ⊗ A</w:t>
      </w:r>
      <w:r>
        <w:rPr>
          <w:rFonts w:ascii="Arial" w:cs="Arial" w:eastAsia="Arial" w:hAnsi="Arial"/>
          <w:color w:val="2D2D2D"/>
          <w:sz w:val="22"/>
          <w:szCs w:val="22"/>
        </w:rPr>
        <w:t xml:space="preserve"> is the effective dictionary. This vectorized form enables the direct application of greedy sparse recovery algorithms, specifically OMP, to the tensor setting.</w:t>
      </w:r>
    </w:p>
    <w:p>
      <w:pPr>
        <w:pStyle w:val="Heading1"/>
        <w:pBdr>
          <w:bottom w:val="single" w:color="2E75B6" w:sz="6" w:space="4"/>
        </w:pBdr>
        <w:spacing w:after="200" w:before="360"/>
      </w:pPr>
      <w:r>
        <w:rPr>
          <w:rFonts w:ascii="Arial" w:cs="Arial" w:eastAsia="Arial" w:hAnsi="Arial"/>
          <w:b/>
          <w:bCs/>
          <w:color w:val="1B2A4A"/>
          <w:sz w:val="32"/>
          <w:szCs w:val="32"/>
        </w:rPr>
        <w:t xml:space="preserve">3. The GradTensor Algorithm</w:t>
      </w:r>
    </w:p>
    <w:p>
      <w:pPr>
        <w:pStyle w:val="Heading2"/>
        <w:spacing w:after="160" w:before="280"/>
      </w:pPr>
      <w:r>
        <w:rPr>
          <w:rFonts w:ascii="Arial" w:cs="Arial" w:eastAsia="Arial" w:hAnsi="Arial"/>
          <w:b/>
          <w:bCs/>
          <w:color w:val="2E75B6"/>
          <w:sz w:val="26"/>
          <w:szCs w:val="26"/>
        </w:rPr>
        <w:t xml:space="preserve">3.1 Problem Formulation</w:t>
      </w:r>
    </w:p>
    <w:p>
      <w:pPr>
        <w:spacing w:after="160" w:line="320"/>
      </w:pPr>
      <w:r>
        <w:rPr>
          <w:rFonts w:ascii="Arial" w:cs="Arial" w:eastAsia="Arial" w:hAnsi="Arial"/>
          <w:color w:val="2D2D2D"/>
          <w:sz w:val="22"/>
          <w:szCs w:val="22"/>
        </w:rPr>
        <w:t xml:space="preserve">GradTensor solves the following optimization problem:</w:t>
      </w:r>
    </w:p>
    <w:p>
      <w:pPr>
        <w:shd w:fill="EDF2F8" w:val="clear"/>
        <w:spacing w:after="200" w:before="200"/>
        <w:jc w:val="center"/>
      </w:pPr>
      <w:r>
        <w:rPr>
          <w:rFonts w:ascii="Cambria Math" w:cs="Cambria Math" w:eastAsia="Cambria Math" w:hAnsi="Cambria Math"/>
          <w:i/>
          <w:iCs/>
          <w:color w:val="2D2D2D"/>
          <w:sz w:val="22"/>
          <w:szCs w:val="22"/>
        </w:rPr>
        <w:t xml:space="preserve">  min_{X, A, B, C}  ‖Y − X ×₁ A ×₂ B ×₃ C‖²_F    subject to: X is s-sparse  </w:t>
      </w:r>
    </w:p>
    <w:p>
      <w:pPr>
        <w:spacing w:after="160" w:line="320"/>
      </w:pPr>
      <w:r>
        <w:rPr>
          <w:rFonts w:ascii="Arial" w:cs="Arial" w:eastAsia="Arial" w:hAnsi="Arial"/>
          <w:color w:val="2D2D2D"/>
          <w:sz w:val="22"/>
          <w:szCs w:val="22"/>
        </w:rPr>
        <w:t xml:space="preserve">The objective minimizes reconstruction error (Frobenius norm) while constraining the core tensor </w:t>
      </w:r>
      <w:r>
        <w:rPr>
          <w:rFonts w:ascii="Cambria Math" w:cs="Cambria Math" w:eastAsia="Cambria Math" w:hAnsi="Cambria Math"/>
          <w:i/>
          <w:iCs/>
          <w:color w:val="2D2D2D"/>
          <w:sz w:val="22"/>
          <w:szCs w:val="22"/>
        </w:rPr>
        <w:t xml:space="preserve">X</w:t>
      </w:r>
      <w:r>
        <w:rPr>
          <w:rFonts w:ascii="Arial" w:cs="Arial" w:eastAsia="Arial" w:hAnsi="Arial"/>
          <w:color w:val="2D2D2D"/>
          <w:sz w:val="22"/>
          <w:szCs w:val="22"/>
        </w:rPr>
        <w:t xml:space="preserve"> to have at most </w:t>
      </w:r>
      <w:r>
        <w:rPr>
          <w:rFonts w:ascii="Arial" w:cs="Arial" w:eastAsia="Arial" w:hAnsi="Arial"/>
          <w:i/>
          <w:iCs/>
          <w:color w:val="2D2D2D"/>
          <w:sz w:val="22"/>
          <w:szCs w:val="22"/>
        </w:rPr>
        <w:t xml:space="preserve">s</w:t>
      </w:r>
      <w:r>
        <w:rPr>
          <w:rFonts w:ascii="Arial" w:cs="Arial" w:eastAsia="Arial" w:hAnsi="Arial"/>
          <w:color w:val="2D2D2D"/>
          <w:sz w:val="22"/>
          <w:szCs w:val="22"/>
        </w:rPr>
        <w:t xml:space="preserve"> non-zero entries. This joint optimization over both the dictionaries (</w:t>
      </w:r>
      <w:r>
        <w:rPr>
          <w:rFonts w:ascii="Cambria Math" w:cs="Cambria Math" w:eastAsia="Cambria Math" w:hAnsi="Cambria Math"/>
          <w:i/>
          <w:iCs/>
          <w:color w:val="2D2D2D"/>
          <w:sz w:val="22"/>
          <w:szCs w:val="22"/>
        </w:rPr>
        <w:t xml:space="preserve">A, B, C</w:t>
      </w:r>
      <w:r>
        <w:rPr>
          <w:rFonts w:ascii="Arial" w:cs="Arial" w:eastAsia="Arial" w:hAnsi="Arial"/>
          <w:color w:val="2D2D2D"/>
          <w:sz w:val="22"/>
          <w:szCs w:val="22"/>
        </w:rPr>
        <w:t xml:space="preserve">) and the sparse representation (</w:t>
      </w:r>
      <w:r>
        <w:rPr>
          <w:rFonts w:ascii="Cambria Math" w:cs="Cambria Math" w:eastAsia="Cambria Math" w:hAnsi="Cambria Math"/>
          <w:i/>
          <w:iCs/>
          <w:color w:val="2D2D2D"/>
          <w:sz w:val="22"/>
          <w:szCs w:val="22"/>
        </w:rPr>
        <w:t xml:space="preserve">X</w:t>
      </w:r>
      <w:r>
        <w:rPr>
          <w:rFonts w:ascii="Arial" w:cs="Arial" w:eastAsia="Arial" w:hAnsi="Arial"/>
          <w:color w:val="2D2D2D"/>
          <w:sz w:val="22"/>
          <w:szCs w:val="22"/>
        </w:rPr>
        <w:t xml:space="preserve">) distinguishes GradTensor from pure decomposition methods.</w:t>
      </w:r>
    </w:p>
    <w:p>
      <w:pPr>
        <w:pStyle w:val="Heading2"/>
        <w:spacing w:after="160" w:before="280"/>
      </w:pPr>
      <w:r>
        <w:rPr>
          <w:rFonts w:ascii="Arial" w:cs="Arial" w:eastAsia="Arial" w:hAnsi="Arial"/>
          <w:b/>
          <w:bCs/>
          <w:color w:val="2E75B6"/>
          <w:sz w:val="26"/>
          <w:szCs w:val="26"/>
        </w:rPr>
        <w:t xml:space="preserve">3.2 Stage 1: Sparse Coding via Tensor OMP (TOMP)</w:t>
      </w:r>
    </w:p>
    <w:p>
      <w:pPr>
        <w:spacing w:after="160" w:line="320"/>
      </w:pPr>
      <w:r>
        <w:rPr>
          <w:rFonts w:ascii="Arial" w:cs="Arial" w:eastAsia="Arial" w:hAnsi="Arial"/>
          <w:b/>
          <w:bCs/>
          <w:color w:val="2D2D2D"/>
          <w:sz w:val="22"/>
          <w:szCs w:val="22"/>
        </w:rPr>
        <w:t xml:space="preserve">Given:</w:t>
      </w:r>
      <w:r>
        <w:rPr>
          <w:rFonts w:ascii="Arial" w:cs="Arial" w:eastAsia="Arial" w:hAnsi="Arial"/>
          <w:color w:val="2D2D2D"/>
          <w:sz w:val="22"/>
          <w:szCs w:val="22"/>
        </w:rPr>
        <w:t xml:space="preserve"> Fixed dictionaries </w:t>
      </w:r>
      <w:r>
        <w:rPr>
          <w:rFonts w:ascii="Cambria Math" w:cs="Cambria Math" w:eastAsia="Cambria Math" w:hAnsi="Cambria Math"/>
          <w:i/>
          <w:iCs/>
          <w:color w:val="2D2D2D"/>
          <w:sz w:val="22"/>
          <w:szCs w:val="22"/>
        </w:rPr>
        <w:t xml:space="preserve">A, B, C</w:t>
      </w:r>
      <w:r>
        <w:rPr>
          <w:rFonts w:ascii="Arial" w:cs="Arial" w:eastAsia="Arial" w:hAnsi="Arial"/>
          <w:color w:val="2D2D2D"/>
          <w:sz w:val="22"/>
          <w:szCs w:val="22"/>
        </w:rPr>
        <w:t xml:space="preserve">. </w:t>
      </w:r>
      <w:r>
        <w:rPr>
          <w:rFonts w:ascii="Arial" w:cs="Arial" w:eastAsia="Arial" w:hAnsi="Arial"/>
          <w:b/>
          <w:bCs/>
          <w:color w:val="2D2D2D"/>
          <w:sz w:val="22"/>
          <w:szCs w:val="22"/>
        </w:rPr>
        <w:t xml:space="preserve">Find:</w:t>
      </w:r>
      <w:r>
        <w:rPr>
          <w:rFonts w:ascii="Arial" w:cs="Arial" w:eastAsia="Arial" w:hAnsi="Arial"/>
          <w:color w:val="2D2D2D"/>
          <w:sz w:val="22"/>
          <w:szCs w:val="22"/>
        </w:rPr>
        <w:t xml:space="preserve"> Sparse core tensor </w:t>
      </w:r>
      <w:r>
        <w:rPr>
          <w:rFonts w:ascii="Cambria Math" w:cs="Cambria Math" w:eastAsia="Cambria Math" w:hAnsi="Cambria Math"/>
          <w:i/>
          <w:iCs/>
          <w:color w:val="2D2D2D"/>
          <w:sz w:val="22"/>
          <w:szCs w:val="22"/>
        </w:rPr>
        <w:t xml:space="preserve">X</w:t>
      </w:r>
      <w:r>
        <w:rPr>
          <w:rFonts w:ascii="Arial" w:cs="Arial" w:eastAsia="Arial" w:hAnsi="Arial"/>
          <w:color w:val="2D2D2D"/>
          <w:sz w:val="22"/>
          <w:szCs w:val="22"/>
        </w:rPr>
        <w:t xml:space="preserve">.</w:t>
      </w:r>
    </w:p>
    <w:p>
      <w:pPr>
        <w:spacing w:after="160" w:line="320"/>
      </w:pPr>
      <w:r>
        <w:rPr>
          <w:rFonts w:ascii="Arial" w:cs="Arial" w:eastAsia="Arial" w:hAnsi="Arial"/>
          <w:color w:val="2D2D2D"/>
          <w:sz w:val="22"/>
          <w:szCs w:val="22"/>
        </w:rPr>
        <w:t xml:space="preserve">The Tensor Orthogonal Matching Pursuit (TOMP) algorithm, adapted from the framework proposed by Caiafa and Cichocki (2012), operates as follows:</w:t>
      </w:r>
    </w:p>
    <w:p>
      <w:pPr>
        <w:pStyle w:val="ListParagraph"/>
        <w:numPr>
          <w:ilvl w:val="0"/>
          <w:numId w:val="2"/>
        </w:numPr>
        <w:spacing w:after="80" w:line="300"/>
      </w:pPr>
      <w:r>
        <w:rPr>
          <w:rFonts w:ascii="Arial" w:cs="Arial" w:eastAsia="Arial" w:hAnsi="Arial"/>
          <w:b/>
          <w:bCs/>
          <w:color w:val="2D2D2D"/>
          <w:sz w:val="22"/>
          <w:szCs w:val="22"/>
        </w:rPr>
        <w:t xml:space="preserve">Vectorize: </w:t>
      </w:r>
      <w:r>
        <w:rPr>
          <w:rFonts w:ascii="Arial" w:cs="Arial" w:eastAsia="Arial" w:hAnsi="Arial"/>
          <w:color w:val="2D2D2D"/>
          <w:sz w:val="22"/>
          <w:szCs w:val="22"/>
        </w:rPr>
        <w:t xml:space="preserve">Form the effective dictionary </w:t>
      </w:r>
      <w:r>
        <w:rPr>
          <w:rFonts w:ascii="Cambria Math" w:cs="Cambria Math" w:eastAsia="Cambria Math" w:hAnsi="Cambria Math"/>
          <w:i/>
          <w:iCs/>
          <w:color w:val="2D2D2D"/>
          <w:sz w:val="22"/>
          <w:szCs w:val="22"/>
        </w:rPr>
        <w:t xml:space="preserve">D = C ⊗ B ⊗ A</w:t>
      </w:r>
      <w:r>
        <w:rPr>
          <w:rFonts w:ascii="Arial" w:cs="Arial" w:eastAsia="Arial" w:hAnsi="Arial"/>
          <w:color w:val="2D2D2D"/>
          <w:sz w:val="22"/>
          <w:szCs w:val="22"/>
        </w:rPr>
        <w:t xml:space="preserve"> and the vectorized observation </w:t>
      </w:r>
      <w:r>
        <w:rPr>
          <w:rFonts w:ascii="Cambria Math" w:cs="Cambria Math" w:eastAsia="Cambria Math" w:hAnsi="Cambria Math"/>
          <w:i/>
          <w:iCs/>
          <w:color w:val="2D2D2D"/>
          <w:sz w:val="22"/>
          <w:szCs w:val="22"/>
        </w:rPr>
        <w:t xml:space="preserve">y = vec(Y)</w:t>
      </w:r>
      <w:r>
        <w:rPr>
          <w:rFonts w:ascii="Arial" w:cs="Arial" w:eastAsia="Arial" w:hAnsi="Arial"/>
          <w:color w:val="2D2D2D"/>
          <w:sz w:val="22"/>
          <w:szCs w:val="22"/>
        </w:rPr>
        <w:t xml:space="preserve">.</w:t>
      </w:r>
    </w:p>
    <w:p>
      <w:pPr>
        <w:pStyle w:val="ListParagraph"/>
        <w:numPr>
          <w:ilvl w:val="0"/>
          <w:numId w:val="2"/>
        </w:numPr>
        <w:spacing w:after="80" w:line="300"/>
      </w:pPr>
      <w:r>
        <w:rPr>
          <w:rFonts w:ascii="Arial" w:cs="Arial" w:eastAsia="Arial" w:hAnsi="Arial"/>
          <w:b/>
          <w:bCs/>
          <w:color w:val="2D2D2D"/>
          <w:sz w:val="22"/>
          <w:szCs w:val="22"/>
        </w:rPr>
        <w:t xml:space="preserve">Greedy Selection: </w:t>
      </w:r>
      <w:r>
        <w:rPr>
          <w:rFonts w:ascii="Arial" w:cs="Arial" w:eastAsia="Arial" w:hAnsi="Arial"/>
          <w:color w:val="2D2D2D"/>
          <w:sz w:val="22"/>
          <w:szCs w:val="22"/>
        </w:rPr>
        <w:t xml:space="preserve">At each iteration, identify the atom in </w:t>
      </w:r>
      <w:r>
        <w:rPr>
          <w:rFonts w:ascii="Cambria Math" w:cs="Cambria Math" w:eastAsia="Cambria Math" w:hAnsi="Cambria Math"/>
          <w:i/>
          <w:iCs/>
          <w:color w:val="2D2D2D"/>
          <w:sz w:val="22"/>
          <w:szCs w:val="22"/>
        </w:rPr>
        <w:t xml:space="preserve">D</w:t>
      </w:r>
      <w:r>
        <w:rPr>
          <w:rFonts w:ascii="Arial" w:cs="Arial" w:eastAsia="Arial" w:hAnsi="Arial"/>
          <w:color w:val="2D2D2D"/>
          <w:sz w:val="22"/>
          <w:szCs w:val="22"/>
        </w:rPr>
        <w:t xml:space="preserve"> most correlated with the current residual.</w:t>
      </w:r>
    </w:p>
    <w:p>
      <w:pPr>
        <w:pStyle w:val="ListParagraph"/>
        <w:numPr>
          <w:ilvl w:val="0"/>
          <w:numId w:val="2"/>
        </w:numPr>
        <w:spacing w:after="80" w:line="300"/>
      </w:pPr>
      <w:r>
        <w:rPr>
          <w:rFonts w:ascii="Arial" w:cs="Arial" w:eastAsia="Arial" w:hAnsi="Arial"/>
          <w:b/>
          <w:bCs/>
          <w:color w:val="2D2D2D"/>
          <w:sz w:val="22"/>
          <w:szCs w:val="22"/>
        </w:rPr>
        <w:t xml:space="preserve">Coefficient Update: </w:t>
      </w:r>
      <w:r>
        <w:rPr>
          <w:rFonts w:ascii="Arial" w:cs="Arial" w:eastAsia="Arial" w:hAnsi="Arial"/>
          <w:color w:val="2D2D2D"/>
          <w:sz w:val="22"/>
          <w:szCs w:val="22"/>
        </w:rPr>
        <w:t xml:space="preserve">Solve a least-squares problem over the selected atom set to update coefficients.</w:t>
      </w:r>
    </w:p>
    <w:p>
      <w:pPr>
        <w:pStyle w:val="ListParagraph"/>
        <w:numPr>
          <w:ilvl w:val="0"/>
          <w:numId w:val="2"/>
        </w:numPr>
        <w:spacing w:after="80" w:line="300"/>
      </w:pPr>
      <w:r>
        <w:rPr>
          <w:rFonts w:ascii="Arial" w:cs="Arial" w:eastAsia="Arial" w:hAnsi="Arial"/>
          <w:b/>
          <w:bCs/>
          <w:color w:val="2D2D2D"/>
          <w:sz w:val="22"/>
          <w:szCs w:val="22"/>
        </w:rPr>
        <w:t xml:space="preserve">Residual Update: </w:t>
      </w:r>
      <w:r>
        <w:rPr>
          <w:rFonts w:ascii="Arial" w:cs="Arial" w:eastAsia="Arial" w:hAnsi="Arial"/>
          <w:color w:val="2D2D2D"/>
          <w:sz w:val="22"/>
          <w:szCs w:val="22"/>
        </w:rPr>
        <w:t xml:space="preserve">Subtract the contribution of selected atoms and repeat until the sparsity budget </w:t>
      </w:r>
      <w:r>
        <w:rPr>
          <w:rFonts w:ascii="Arial" w:cs="Arial" w:eastAsia="Arial" w:hAnsi="Arial"/>
          <w:i/>
          <w:iCs/>
          <w:color w:val="2D2D2D"/>
          <w:sz w:val="22"/>
          <w:szCs w:val="22"/>
        </w:rPr>
        <w:t xml:space="preserve">s</w:t>
      </w:r>
      <w:r>
        <w:rPr>
          <w:rFonts w:ascii="Arial" w:cs="Arial" w:eastAsia="Arial" w:hAnsi="Arial"/>
          <w:color w:val="2D2D2D"/>
          <w:sz w:val="22"/>
          <w:szCs w:val="22"/>
        </w:rPr>
        <w:t xml:space="preserve"> is exhausted.</w:t>
      </w:r>
    </w:p>
    <w:p>
      <w:pPr>
        <w:spacing w:after="160" w:line="320"/>
      </w:pPr>
      <w:r>
        <w:rPr>
          <w:rFonts w:ascii="Arial" w:cs="Arial" w:eastAsia="Arial" w:hAnsi="Arial"/>
          <w:color w:val="2D2D2D"/>
          <w:sz w:val="22"/>
          <w:szCs w:val="22"/>
        </w:rPr>
        <w:t xml:space="preserve">This greedy approach avoids the combinatorial complexity of exact sparse recovery while providing theoretical approximation guarantees under restricted isometry conditions.</w:t>
      </w:r>
    </w:p>
    <w:p>
      <w:pPr>
        <w:pStyle w:val="Heading2"/>
        <w:spacing w:after="160" w:before="280"/>
      </w:pPr>
      <w:r>
        <w:rPr>
          <w:rFonts w:ascii="Arial" w:cs="Arial" w:eastAsia="Arial" w:hAnsi="Arial"/>
          <w:b/>
          <w:bCs/>
          <w:color w:val="2E75B6"/>
          <w:sz w:val="26"/>
          <w:szCs w:val="26"/>
        </w:rPr>
        <w:t xml:space="preserve">3.3 Stage 2: Dictionary Update via Gradient Descent</w:t>
      </w:r>
    </w:p>
    <w:p>
      <w:pPr>
        <w:spacing w:after="160" w:line="320"/>
      </w:pPr>
      <w:r>
        <w:rPr>
          <w:rFonts w:ascii="Arial" w:cs="Arial" w:eastAsia="Arial" w:hAnsi="Arial"/>
          <w:b/>
          <w:bCs/>
          <w:color w:val="2D2D2D"/>
          <w:sz w:val="22"/>
          <w:szCs w:val="22"/>
        </w:rPr>
        <w:t xml:space="preserve">Given:</w:t>
      </w:r>
      <w:r>
        <w:rPr>
          <w:rFonts w:ascii="Arial" w:cs="Arial" w:eastAsia="Arial" w:hAnsi="Arial"/>
          <w:color w:val="2D2D2D"/>
          <w:sz w:val="22"/>
          <w:szCs w:val="22"/>
        </w:rPr>
        <w:t xml:space="preserve"> Fixed sparse core tensor </w:t>
      </w:r>
      <w:r>
        <w:rPr>
          <w:rFonts w:ascii="Cambria Math" w:cs="Cambria Math" w:eastAsia="Cambria Math" w:hAnsi="Cambria Math"/>
          <w:i/>
          <w:iCs/>
          <w:color w:val="2D2D2D"/>
          <w:sz w:val="22"/>
          <w:szCs w:val="22"/>
        </w:rPr>
        <w:t xml:space="preserve">X</w:t>
      </w:r>
      <w:r>
        <w:rPr>
          <w:rFonts w:ascii="Arial" w:cs="Arial" w:eastAsia="Arial" w:hAnsi="Arial"/>
          <w:color w:val="2D2D2D"/>
          <w:sz w:val="22"/>
          <w:szCs w:val="22"/>
        </w:rPr>
        <w:t xml:space="preserve">. </w:t>
      </w:r>
      <w:r>
        <w:rPr>
          <w:rFonts w:ascii="Arial" w:cs="Arial" w:eastAsia="Arial" w:hAnsi="Arial"/>
          <w:b/>
          <w:bCs/>
          <w:color w:val="2D2D2D"/>
          <w:sz w:val="22"/>
          <w:szCs w:val="22"/>
        </w:rPr>
        <w:t xml:space="preserve">Find:</w:t>
      </w:r>
      <w:r>
        <w:rPr>
          <w:rFonts w:ascii="Arial" w:cs="Arial" w:eastAsia="Arial" w:hAnsi="Arial"/>
          <w:color w:val="2D2D2D"/>
          <w:sz w:val="22"/>
          <w:szCs w:val="22"/>
        </w:rPr>
        <w:t xml:space="preserve"> Updated dictionaries </w:t>
      </w:r>
      <w:r>
        <w:rPr>
          <w:rFonts w:ascii="Cambria Math" w:cs="Cambria Math" w:eastAsia="Cambria Math" w:hAnsi="Cambria Math"/>
          <w:i/>
          <w:iCs/>
          <w:color w:val="2D2D2D"/>
          <w:sz w:val="22"/>
          <w:szCs w:val="22"/>
        </w:rPr>
        <w:t xml:space="preserve">A, B, C</w:t>
      </w:r>
      <w:r>
        <w:rPr>
          <w:rFonts w:ascii="Arial" w:cs="Arial" w:eastAsia="Arial" w:hAnsi="Arial"/>
          <w:color w:val="2D2D2D"/>
          <w:sz w:val="22"/>
          <w:szCs w:val="22"/>
        </w:rPr>
        <w:t xml:space="preserve">.</w:t>
      </w:r>
    </w:p>
    <w:p>
      <w:pPr>
        <w:spacing w:after="160" w:line="320"/>
      </w:pPr>
      <w:r>
        <w:rPr>
          <w:rFonts w:ascii="Arial" w:cs="Arial" w:eastAsia="Arial" w:hAnsi="Arial"/>
          <w:color w:val="2D2D2D"/>
          <w:sz w:val="22"/>
          <w:szCs w:val="22"/>
        </w:rPr>
        <w:t xml:space="preserve">With the sparse codes fixed, the reconstruction error becomes a differentiable function of each factor matrix. The gradients are computed analytically using mode-</w:t>
      </w:r>
      <w:r>
        <w:rPr>
          <w:rFonts w:ascii="Arial" w:cs="Arial" w:eastAsia="Arial" w:hAnsi="Arial"/>
          <w:i/>
          <w:iCs/>
          <w:color w:val="2D2D2D"/>
          <w:sz w:val="22"/>
          <w:szCs w:val="22"/>
        </w:rPr>
        <w:t xml:space="preserve">n</w:t>
      </w:r>
      <w:r>
        <w:rPr>
          <w:rFonts w:ascii="Arial" w:cs="Arial" w:eastAsia="Arial" w:hAnsi="Arial"/>
          <w:color w:val="2D2D2D"/>
          <w:sz w:val="22"/>
          <w:szCs w:val="22"/>
        </w:rPr>
        <w:t xml:space="preserve"> unfoldings of the tensor. For example, the gradient with respect to </w:t>
      </w:r>
      <w:r>
        <w:rPr>
          <w:rFonts w:ascii="Cambria Math" w:cs="Cambria Math" w:eastAsia="Cambria Math" w:hAnsi="Cambria Math"/>
          <w:i/>
          <w:iCs/>
          <w:color w:val="2D2D2D"/>
          <w:sz w:val="22"/>
          <w:szCs w:val="22"/>
        </w:rPr>
        <w:t xml:space="preserve">A</w:t>
      </w:r>
      <w:r>
        <w:rPr>
          <w:rFonts w:ascii="Arial" w:cs="Arial" w:eastAsia="Arial" w:hAnsi="Arial"/>
          <w:color w:val="2D2D2D"/>
          <w:sz w:val="22"/>
          <w:szCs w:val="22"/>
        </w:rPr>
        <w:t xml:space="preserve"> is:</w:t>
      </w:r>
    </w:p>
    <w:p>
      <w:pPr>
        <w:spacing w:after="160" w:before="160"/>
        <w:jc w:val="center"/>
      </w:pPr>
      <w:r>
        <w:rPr>
          <w:rFonts w:ascii="Cambria Math" w:cs="Cambria Math" w:eastAsia="Cambria Math" w:hAnsi="Cambria Math"/>
          <w:i/>
          <w:iCs/>
          <w:color w:val="2D2D2D"/>
          <w:sz w:val="22"/>
          <w:szCs w:val="22"/>
        </w:rPr>
        <w:t xml:space="preserve">∇_A F = − (Y − X ×₁ A ×₂ B ×₃ C)_{(1)} (X ×₂ B ×₃ C)^T_{(1)}</w:t>
      </w:r>
    </w:p>
    <w:p>
      <w:pPr>
        <w:spacing w:after="160" w:line="320"/>
      </w:pPr>
      <w:r>
        <w:rPr>
          <w:rFonts w:ascii="Arial" w:cs="Arial" w:eastAsia="Arial" w:hAnsi="Arial"/>
          <w:color w:val="2D2D2D"/>
          <w:sz w:val="22"/>
          <w:szCs w:val="22"/>
        </w:rPr>
        <w:t xml:space="preserve">where the subscript (1) denotes mode-1 matricization. Each dictionary is updated one at a time via the standard gradient step </w:t>
      </w:r>
      <w:r>
        <w:rPr>
          <w:rFonts w:ascii="Cambria Math" w:cs="Cambria Math" w:eastAsia="Cambria Math" w:hAnsi="Cambria Math"/>
          <w:i/>
          <w:iCs/>
          <w:color w:val="2D2D2D"/>
          <w:sz w:val="22"/>
          <w:szCs w:val="22"/>
        </w:rPr>
        <w:t xml:space="preserve">A^{(k+1)} = A^{(k)} − η ∇_A F</w:t>
      </w:r>
      <w:r>
        <w:rPr>
          <w:rFonts w:ascii="Arial" w:cs="Arial" w:eastAsia="Arial" w:hAnsi="Arial"/>
          <w:color w:val="2D2D2D"/>
          <w:sz w:val="22"/>
          <w:szCs w:val="22"/>
        </w:rPr>
        <w:t xml:space="preserve">, with analogous updates for </w:t>
      </w:r>
      <w:r>
        <w:rPr>
          <w:rFonts w:ascii="Cambria Math" w:cs="Cambria Math" w:eastAsia="Cambria Math" w:hAnsi="Cambria Math"/>
          <w:i/>
          <w:iCs/>
          <w:color w:val="2D2D2D"/>
          <w:sz w:val="22"/>
          <w:szCs w:val="22"/>
        </w:rPr>
        <w:t xml:space="preserve">B</w:t>
      </w:r>
      <w:r>
        <w:rPr>
          <w:rFonts w:ascii="Arial" w:cs="Arial" w:eastAsia="Arial" w:hAnsi="Arial"/>
          <w:color w:val="2D2D2D"/>
          <w:sz w:val="22"/>
          <w:szCs w:val="22"/>
        </w:rPr>
        <w:t xml:space="preserve"> and </w:t>
      </w:r>
      <w:r>
        <w:rPr>
          <w:rFonts w:ascii="Cambria Math" w:cs="Cambria Math" w:eastAsia="Cambria Math" w:hAnsi="Cambria Math"/>
          <w:i/>
          <w:iCs/>
          <w:color w:val="2D2D2D"/>
          <w:sz w:val="22"/>
          <w:szCs w:val="22"/>
        </w:rPr>
        <w:t xml:space="preserve">C</w:t>
      </w:r>
      <w:r>
        <w:rPr>
          <w:rFonts w:ascii="Arial" w:cs="Arial" w:eastAsia="Arial" w:hAnsi="Arial"/>
          <w:color w:val="2D2D2D"/>
          <w:sz w:val="22"/>
          <w:szCs w:val="22"/>
        </w:rPr>
        <w:t xml:space="preserve">. This </w:t>
      </w:r>
      <w:r>
        <w:rPr>
          <w:rFonts w:ascii="Arial" w:cs="Arial" w:eastAsia="Arial" w:hAnsi="Arial"/>
          <w:b/>
          <w:bCs/>
          <w:color w:val="2D2D2D"/>
          <w:sz w:val="22"/>
          <w:szCs w:val="22"/>
        </w:rPr>
        <w:t xml:space="preserve">alternating minimization</w:t>
      </w:r>
      <w:r>
        <w:rPr>
          <w:rFonts w:ascii="Arial" w:cs="Arial" w:eastAsia="Arial" w:hAnsi="Arial"/>
          <w:color w:val="2D2D2D"/>
          <w:sz w:val="22"/>
          <w:szCs w:val="22"/>
        </w:rPr>
        <w:t xml:space="preserve"> strategy ensures monotonic decrease in the objective function.</w:t>
      </w:r>
    </w:p>
    <w:p>
      <w:pPr>
        <w:pStyle w:val="Heading2"/>
        <w:spacing w:after="160" w:before="280"/>
      </w:pPr>
      <w:r>
        <w:rPr>
          <w:rFonts w:ascii="Arial" w:cs="Arial" w:eastAsia="Arial" w:hAnsi="Arial"/>
          <w:b/>
          <w:bCs/>
          <w:color w:val="2E75B6"/>
          <w:sz w:val="26"/>
          <w:szCs w:val="26"/>
        </w:rPr>
        <w:t xml:space="preserve">3.4 Full Algorithm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none" w:sz="0"/>
              <w:right w:val="single" w:color="2E75B6" w:sz="4"/>
            </w:tcBorders>
            <w:shd w:fill="1B2A4A" w:val="clear"/>
            <w:tcMar>
              <w:top w:type="dxa" w:w="80"/>
              <w:left w:type="dxa" w:w="200"/>
              <w:bottom w:type="dxa" w:w="80"/>
              <w:right w:type="dxa" w:w="200"/>
            </w:tcMar>
          </w:tcPr>
          <w:p>
            <w:r>
              <w:rPr>
                <w:rFonts w:ascii="Arial" w:cs="Arial" w:eastAsia="Arial" w:hAnsi="Arial"/>
                <w:b/>
                <w:bCs/>
                <w:color w:val="FFFFFF"/>
                <w:sz w:val="22"/>
                <w:szCs w:val="22"/>
              </w:rPr>
              <w:t xml:space="preserve">Algorithm: GradTensor</w:t>
            </w:r>
          </w:p>
        </w:tc>
      </w:tr>
      <w:tr>
        <w:tc>
          <w:tcPr>
            <w:tcW w:type="dxa" w:w="9360"/>
            <w:tcBorders>
              <w:top w:val="none" w:sz="0"/>
              <w:left w:val="single" w:color="2E75B6" w:sz="4"/>
              <w:bottom w:val="single" w:color="2E75B6" w:sz="4"/>
              <w:right w:val="single" w:color="2E75B6" w:sz="4"/>
            </w:tcBorders>
            <w:shd w:fill="EDF2F8" w:val="clear"/>
            <w:tcMar>
              <w:top w:type="dxa" w:w="120"/>
              <w:left w:type="dxa" w:w="200"/>
              <w:bottom w:type="dxa" w:w="120"/>
              <w:right w:type="dxa" w:w="200"/>
            </w:tcMar>
          </w:tcPr>
          <w:p>
            <w:pPr>
              <w:spacing w:after="60"/>
            </w:pPr>
            <w:r>
              <w:rPr>
                <w:rFonts w:ascii="Arial" w:cs="Arial" w:eastAsia="Arial" w:hAnsi="Arial"/>
                <w:b/>
                <w:bCs/>
                <w:color w:val="2D2D2D"/>
                <w:sz w:val="22"/>
                <w:szCs w:val="22"/>
              </w:rPr>
              <w:t xml:space="preserve">Input: </w:t>
            </w:r>
            <w:r>
              <w:rPr>
                <w:rFonts w:ascii="Arial" w:cs="Arial" w:eastAsia="Arial" w:hAnsi="Arial"/>
                <w:color w:val="2D2D2D"/>
                <w:sz w:val="22"/>
                <w:szCs w:val="22"/>
              </w:rPr>
              <w:t xml:space="preserve">Tensor Y, dictionary sizes J₁, J₂, J₃, sparsity s, learning rate η</w:t>
            </w:r>
          </w:p>
          <w:p>
            <w:pPr>
              <w:spacing w:after="60"/>
            </w:pPr>
            <w:r>
              <w:rPr>
                <w:rFonts w:ascii="Arial" w:cs="Arial" w:eastAsia="Arial" w:hAnsi="Arial"/>
                <w:b/>
                <w:bCs/>
                <w:color w:val="2D2D2D"/>
                <w:sz w:val="22"/>
                <w:szCs w:val="22"/>
              </w:rPr>
              <w:t xml:space="preserve">Initialize: </w:t>
            </w:r>
            <w:r>
              <w:rPr>
                <w:rFonts w:ascii="Arial" w:cs="Arial" w:eastAsia="Arial" w:hAnsi="Arial"/>
                <w:color w:val="2D2D2D"/>
                <w:sz w:val="22"/>
                <w:szCs w:val="22"/>
              </w:rPr>
              <w:t xml:space="preserve">A, B, C via truncated SVD of mode-n unfoldings of Y</w:t>
            </w:r>
          </w:p>
          <w:p>
            <w:pPr>
              <w:spacing w:after="60"/>
            </w:pPr>
            <w:r>
              <w:rPr>
                <w:rFonts w:ascii="Arial" w:cs="Arial" w:eastAsia="Arial" w:hAnsi="Arial"/>
                <w:b/>
                <w:bCs/>
                <w:color w:val="2D2D2D"/>
                <w:sz w:val="22"/>
                <w:szCs w:val="22"/>
              </w:rPr>
              <w:t xml:space="preserve">Repeat until convergence:</w:t>
            </w:r>
          </w:p>
          <w:p>
            <w:pPr>
              <w:spacing w:after="40"/>
              <w:ind w:left="400"/>
            </w:pPr>
            <w:r>
              <w:rPr>
                <w:rFonts w:ascii="Arial" w:cs="Arial" w:eastAsia="Arial" w:hAnsi="Arial"/>
                <w:color w:val="2D2D2D"/>
                <w:sz w:val="22"/>
                <w:szCs w:val="22"/>
              </w:rPr>
              <w:t xml:space="preserve">1. Sparse Coding: X ← TOMP(Y, A, B, C, s)</w:t>
            </w:r>
          </w:p>
          <w:p>
            <w:pPr>
              <w:spacing w:after="40"/>
              <w:ind w:left="400"/>
            </w:pPr>
            <w:r>
              <w:rPr>
                <w:rFonts w:ascii="Arial" w:cs="Arial" w:eastAsia="Arial" w:hAnsi="Arial"/>
                <w:color w:val="2D2D2D"/>
                <w:sz w:val="22"/>
                <w:szCs w:val="22"/>
              </w:rPr>
              <w:t xml:space="preserve">2. Dictionary Update:</w:t>
            </w:r>
          </w:p>
          <w:p>
            <w:pPr>
              <w:spacing w:after="40"/>
              <w:ind w:left="800"/>
            </w:pPr>
            <w:r>
              <w:rPr>
                <w:rFonts w:ascii="Arial" w:cs="Arial" w:eastAsia="Arial" w:hAnsi="Arial"/>
                <w:color w:val="2D2D2D"/>
                <w:sz w:val="22"/>
                <w:szCs w:val="22"/>
              </w:rPr>
              <w:t xml:space="preserve">a.  A ← A − η ∇ₐ F</w:t>
            </w:r>
          </w:p>
          <w:p>
            <w:pPr>
              <w:spacing w:after="40"/>
              <w:ind w:left="800"/>
            </w:pPr>
            <w:r>
              <w:rPr>
                <w:rFonts w:ascii="Arial" w:cs="Arial" w:eastAsia="Arial" w:hAnsi="Arial"/>
                <w:color w:val="2D2D2D"/>
                <w:sz w:val="22"/>
                <w:szCs w:val="22"/>
              </w:rPr>
              <w:t xml:space="preserve">b.  B ← B − η ∇ᵇ F</w:t>
            </w:r>
          </w:p>
          <w:p>
            <w:pPr>
              <w:spacing w:after="40"/>
              <w:ind w:left="800"/>
            </w:pPr>
            <w:r>
              <w:rPr>
                <w:rFonts w:ascii="Arial" w:cs="Arial" w:eastAsia="Arial" w:hAnsi="Arial"/>
                <w:color w:val="2D2D2D"/>
                <w:sz w:val="22"/>
                <w:szCs w:val="22"/>
              </w:rPr>
              <w:t xml:space="preserve">c.  C ← C − η ∇ᶜ F</w:t>
            </w:r>
          </w:p>
          <w:p>
            <w:pPr>
              <w:spacing w:after="60"/>
            </w:pPr>
            <w:r>
              <w:rPr>
                <w:rFonts w:ascii="Arial" w:cs="Arial" w:eastAsia="Arial" w:hAnsi="Arial"/>
                <w:b/>
                <w:bCs/>
                <w:color w:val="2D2D2D"/>
                <w:sz w:val="22"/>
                <w:szCs w:val="22"/>
              </w:rPr>
              <w:t xml:space="preserve">Output: </w:t>
            </w:r>
            <w:r>
              <w:rPr>
                <w:rFonts w:ascii="Arial" w:cs="Arial" w:eastAsia="Arial" w:hAnsi="Arial"/>
                <w:color w:val="2D2D2D"/>
                <w:sz w:val="22"/>
                <w:szCs w:val="22"/>
              </w:rPr>
              <w:t xml:space="preserve">Learned dictionaries A, B, C and sparse core tensor X</w:t>
            </w:r>
          </w:p>
        </w:tc>
      </w:tr>
    </w:tbl>
    <w:p>
      <w:pPr>
        <w:spacing w:after="200"/>
      </w:pPr>
    </w:p>
    <w:p>
      <w:pPr>
        <w:pStyle w:val="Heading2"/>
        <w:spacing w:after="160" w:before="280"/>
      </w:pPr>
      <w:r>
        <w:rPr>
          <w:rFonts w:ascii="Arial" w:cs="Arial" w:eastAsia="Arial" w:hAnsi="Arial"/>
          <w:b/>
          <w:bCs/>
          <w:color w:val="2E75B6"/>
          <w:sz w:val="26"/>
          <w:szCs w:val="26"/>
        </w:rPr>
        <w:t xml:space="preserve">3.5 Initialization Strategy</w:t>
      </w:r>
    </w:p>
    <w:p>
      <w:pPr>
        <w:spacing w:after="160" w:line="320"/>
      </w:pPr>
      <w:r>
        <w:rPr>
          <w:rFonts w:ascii="Arial" w:cs="Arial" w:eastAsia="Arial" w:hAnsi="Arial"/>
          <w:color w:val="2D2D2D"/>
          <w:sz w:val="22"/>
          <w:szCs w:val="22"/>
        </w:rPr>
        <w:t xml:space="preserve">Proper initialization is critical for convergence to a good local minimum. GradTensor initializes each factor matrix using the </w:t>
      </w:r>
      <w:r>
        <w:rPr>
          <w:rFonts w:ascii="Arial" w:cs="Arial" w:eastAsia="Arial" w:hAnsi="Arial"/>
          <w:b/>
          <w:bCs/>
          <w:color w:val="2D2D2D"/>
          <w:sz w:val="22"/>
          <w:szCs w:val="22"/>
        </w:rPr>
        <w:t xml:space="preserve">leading left singular vectors</w:t>
      </w:r>
      <w:r>
        <w:rPr>
          <w:rFonts w:ascii="Arial" w:cs="Arial" w:eastAsia="Arial" w:hAnsi="Arial"/>
          <w:color w:val="2D2D2D"/>
          <w:sz w:val="22"/>
          <w:szCs w:val="22"/>
        </w:rPr>
        <w:t xml:space="preserve"> of the corresponding mode-</w:t>
      </w:r>
      <w:r>
        <w:rPr>
          <w:rFonts w:ascii="Arial" w:cs="Arial" w:eastAsia="Arial" w:hAnsi="Arial"/>
          <w:i/>
          <w:iCs/>
          <w:color w:val="2D2D2D"/>
          <w:sz w:val="22"/>
          <w:szCs w:val="22"/>
        </w:rPr>
        <w:t xml:space="preserve">n</w:t>
      </w:r>
      <w:r>
        <w:rPr>
          <w:rFonts w:ascii="Arial" w:cs="Arial" w:eastAsia="Arial" w:hAnsi="Arial"/>
          <w:color w:val="2D2D2D"/>
          <w:sz w:val="22"/>
          <w:szCs w:val="22"/>
        </w:rPr>
        <w:t xml:space="preserve"> unfolding of </w:t>
      </w:r>
      <w:r>
        <w:rPr>
          <w:rFonts w:ascii="Cambria Math" w:cs="Cambria Math" w:eastAsia="Cambria Math" w:hAnsi="Cambria Math"/>
          <w:i/>
          <w:iCs/>
          <w:color w:val="2D2D2D"/>
          <w:sz w:val="22"/>
          <w:szCs w:val="22"/>
        </w:rPr>
        <w:t xml:space="preserve">Y</w:t>
      </w:r>
      <w:r>
        <w:rPr>
          <w:rFonts w:ascii="Arial" w:cs="Arial" w:eastAsia="Arial" w:hAnsi="Arial"/>
          <w:color w:val="2D2D2D"/>
          <w:sz w:val="22"/>
          <w:szCs w:val="22"/>
        </w:rPr>
        <w:t xml:space="preserve">. This SVD-based initialization (analogous to Higher-Order SVD) provides a principled starting point that captures the dominant variance along each mode, significantly reducing the number of iterations needed for convergence.</w:t>
      </w:r>
    </w:p>
    <w:p>
      <w:pPr>
        <w:pStyle w:val="Heading1"/>
        <w:pBdr>
          <w:bottom w:val="single" w:color="2E75B6" w:sz="6" w:space="4"/>
        </w:pBdr>
        <w:spacing w:after="200" w:before="360"/>
      </w:pPr>
      <w:r>
        <w:rPr>
          <w:rFonts w:ascii="Arial" w:cs="Arial" w:eastAsia="Arial" w:hAnsi="Arial"/>
          <w:b/>
          <w:bCs/>
          <w:color w:val="1B2A4A"/>
          <w:sz w:val="32"/>
          <w:szCs w:val="32"/>
        </w:rPr>
        <w:t xml:space="preserve">4. Theoretical Analysis</w:t>
      </w:r>
    </w:p>
    <w:p>
      <w:pPr>
        <w:pStyle w:val="Heading2"/>
        <w:spacing w:after="160" w:before="280"/>
      </w:pPr>
      <w:r>
        <w:rPr>
          <w:rFonts w:ascii="Arial" w:cs="Arial" w:eastAsia="Arial" w:hAnsi="Arial"/>
          <w:b/>
          <w:bCs/>
          <w:color w:val="2E75B6"/>
          <w:sz w:val="26"/>
          <w:szCs w:val="26"/>
        </w:rPr>
        <w:t xml:space="preserve">4.1 Convergence Properties</w:t>
      </w:r>
    </w:p>
    <w:p>
      <w:pPr>
        <w:spacing w:after="160" w:line="320"/>
      </w:pPr>
      <w:r>
        <w:rPr>
          <w:rFonts w:ascii="Arial" w:cs="Arial" w:eastAsia="Arial" w:hAnsi="Arial"/>
          <w:color w:val="2D2D2D"/>
          <w:sz w:val="22"/>
          <w:szCs w:val="22"/>
        </w:rPr>
        <w:t xml:space="preserve">The alternating minimization scheme in GradTensor guarantees that the objective function is non-increasing at each iteration. Specifically, the TOMP step finds a sparse </w:t>
      </w:r>
      <w:r>
        <w:rPr>
          <w:rFonts w:ascii="Cambria Math" w:cs="Cambria Math" w:eastAsia="Cambria Math" w:hAnsi="Cambria Math"/>
          <w:i/>
          <w:iCs/>
          <w:color w:val="2D2D2D"/>
          <w:sz w:val="22"/>
          <w:szCs w:val="22"/>
        </w:rPr>
        <w:t xml:space="preserve">X</w:t>
      </w:r>
      <w:r>
        <w:rPr>
          <w:rFonts w:ascii="Arial" w:cs="Arial" w:eastAsia="Arial" w:hAnsi="Arial"/>
          <w:color w:val="2D2D2D"/>
          <w:sz w:val="22"/>
          <w:szCs w:val="22"/>
        </w:rPr>
        <w:t xml:space="preserve"> that approximately minimizes reconstruction error for fixed dictionaries, while the gradient step reduces error for fixed sparse codes. Although global optimality cannot be guaranteed due to the non-convex nature of the problem, the SVD initialization and the structured nature of the Tucker model empirically yield consistent convergence across random initializations.</w:t>
      </w:r>
    </w:p>
    <w:p>
      <w:pPr>
        <w:pStyle w:val="Heading2"/>
        <w:spacing w:after="160" w:before="280"/>
      </w:pPr>
      <w:r>
        <w:rPr>
          <w:rFonts w:ascii="Arial" w:cs="Arial" w:eastAsia="Arial" w:hAnsi="Arial"/>
          <w:b/>
          <w:bCs/>
          <w:color w:val="2E75B6"/>
          <w:sz w:val="26"/>
          <w:szCs w:val="26"/>
        </w:rPr>
        <w:t xml:space="preserve">4.2 Complexity Analysis</w:t>
      </w:r>
    </w:p>
    <w:p>
      <w:pPr>
        <w:spacing w:after="160" w:line="320"/>
      </w:pPr>
      <w:r>
        <w:rPr>
          <w:rFonts w:ascii="Arial" w:cs="Arial" w:eastAsia="Arial" w:hAnsi="Arial"/>
          <w:color w:val="2D2D2D"/>
          <w:sz w:val="22"/>
          <w:szCs w:val="22"/>
        </w:rPr>
        <w:t xml:space="preserve">The dominant computational cost per iteration arises from the TOMP sparse coding step, which requires forming and operating with the Kronecker dictionary </w:t>
      </w:r>
      <w:r>
        <w:rPr>
          <w:rFonts w:ascii="Cambria Math" w:cs="Cambria Math" w:eastAsia="Cambria Math" w:hAnsi="Cambria Math"/>
          <w:i/>
          <w:iCs/>
          <w:color w:val="2D2D2D"/>
          <w:sz w:val="22"/>
          <w:szCs w:val="22"/>
        </w:rPr>
        <w:t xml:space="preserve">D = C ⊗ B ⊗ A</w:t>
      </w:r>
      <w:r>
        <w:rPr>
          <w:rFonts w:ascii="Arial" w:cs="Arial" w:eastAsia="Arial" w:hAnsi="Arial"/>
          <w:color w:val="2D2D2D"/>
          <w:sz w:val="22"/>
          <w:szCs w:val="22"/>
        </w:rPr>
        <w:t xml:space="preserve">. Direct computation would be prohibitive for large tensors; however, exploiting the Kronecker structure allows mode-wise operations that reduce complexity from </w:t>
      </w:r>
      <w:r>
        <w:rPr>
          <w:rFonts w:ascii="Cambria Math" w:cs="Cambria Math" w:eastAsia="Cambria Math" w:hAnsi="Cambria Math"/>
          <w:i/>
          <w:iCs/>
          <w:color w:val="2D2D2D"/>
          <w:sz w:val="22"/>
          <w:szCs w:val="22"/>
        </w:rPr>
        <w:t xml:space="preserve">O(∏ I_n · ∏ J_n)</w:t>
      </w:r>
      <w:r>
        <w:rPr>
          <w:rFonts w:ascii="Arial" w:cs="Arial" w:eastAsia="Arial" w:hAnsi="Arial"/>
          <w:color w:val="2D2D2D"/>
          <w:sz w:val="22"/>
          <w:szCs w:val="22"/>
        </w:rPr>
        <w:t xml:space="preserve"> to </w:t>
      </w:r>
      <w:r>
        <w:rPr>
          <w:rFonts w:ascii="Cambria Math" w:cs="Cambria Math" w:eastAsia="Cambria Math" w:hAnsi="Cambria Math"/>
          <w:i/>
          <w:iCs/>
          <w:color w:val="2D2D2D"/>
          <w:sz w:val="22"/>
          <w:szCs w:val="22"/>
        </w:rPr>
        <w:t xml:space="preserve">O(∑ I_n · J_n)</w:t>
      </w:r>
      <w:r>
        <w:rPr>
          <w:rFonts w:ascii="Arial" w:cs="Arial" w:eastAsia="Arial" w:hAnsi="Arial"/>
          <w:color w:val="2D2D2D"/>
          <w:sz w:val="22"/>
          <w:szCs w:val="22"/>
        </w:rPr>
        <w:t xml:space="preserve">, a dramatic improvement that makes the algorithm practical for real-world tensor dimensions.</w:t>
      </w:r>
    </w:p>
    <w:p>
      <w:pPr>
        <w:pStyle w:val="Heading2"/>
        <w:spacing w:after="160" w:before="280"/>
      </w:pPr>
      <w:r>
        <w:rPr>
          <w:rFonts w:ascii="Arial" w:cs="Arial" w:eastAsia="Arial" w:hAnsi="Arial"/>
          <w:b/>
          <w:bCs/>
          <w:color w:val="2E75B6"/>
          <w:sz w:val="26"/>
          <w:szCs w:val="26"/>
        </w:rPr>
        <w:t xml:space="preserve">4.3 Sparsity and Interpretability</w:t>
      </w:r>
    </w:p>
    <w:p>
      <w:pPr>
        <w:spacing w:after="160" w:line="320"/>
      </w:pPr>
      <w:r>
        <w:rPr>
          <w:rFonts w:ascii="Arial" w:cs="Arial" w:eastAsia="Arial" w:hAnsi="Arial"/>
          <w:color w:val="2D2D2D"/>
          <w:sz w:val="22"/>
          <w:szCs w:val="22"/>
        </w:rPr>
        <w:t xml:space="preserve">The sparsity constraint on the core tensor serves a dual role. Statistically, it acts as a regularizer that prevents overfitting to noise and reduces the effective number of parameters. Semantically, each non-zero entry in the sparse core tensor represents a </w:t>
      </w:r>
      <w:r>
        <w:rPr>
          <w:rFonts w:ascii="Arial" w:cs="Arial" w:eastAsia="Arial" w:hAnsi="Arial"/>
          <w:i/>
          <w:iCs/>
          <w:color w:val="2D2D2D"/>
          <w:sz w:val="22"/>
          <w:szCs w:val="22"/>
        </w:rPr>
        <w:t xml:space="preserve">meaningful interaction</w:t>
      </w:r>
      <w:r>
        <w:rPr>
          <w:rFonts w:ascii="Arial" w:cs="Arial" w:eastAsia="Arial" w:hAnsi="Arial"/>
          <w:color w:val="2D2D2D"/>
          <w:sz w:val="22"/>
          <w:szCs w:val="22"/>
        </w:rPr>
        <w:t xml:space="preserve"> between specific features from each mode dictionary. In the speaker identification application, for example, sparse core entries correspond to specific combinations of spectral, temporal, and cepstral features that characterize individual speakers.</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5. Experimental Evaluation</w:t>
      </w:r>
    </w:p>
    <w:p>
      <w:pPr>
        <w:pStyle w:val="Heading2"/>
        <w:spacing w:after="160" w:before="280"/>
      </w:pPr>
      <w:r>
        <w:rPr>
          <w:rFonts w:ascii="Arial" w:cs="Arial" w:eastAsia="Arial" w:hAnsi="Arial"/>
          <w:b/>
          <w:bCs/>
          <w:color w:val="2E75B6"/>
          <w:sz w:val="26"/>
          <w:szCs w:val="26"/>
        </w:rPr>
        <w:t xml:space="preserve">5.1 Convergence Verification</w:t>
      </w:r>
    </w:p>
    <w:p>
      <w:pPr>
        <w:spacing w:after="160" w:line="320"/>
      </w:pPr>
      <w:r>
        <w:rPr>
          <w:rFonts w:ascii="Arial" w:cs="Arial" w:eastAsia="Arial" w:hAnsi="Arial"/>
          <w:color w:val="2D2D2D"/>
          <w:sz w:val="22"/>
          <w:szCs w:val="22"/>
        </w:rPr>
        <w:t xml:space="preserve">The first experiment validates convergence on synthetic tensor data of dimension 100 × 100 × 100, generated from a known Tucker model with controlled sparsity (mode sparsity μ = 1/6). Averaged over 100 independent trials, GradTensor exhibits reliable monotonic decrease in reconstruction error, typically converging within 20–30 iterations.</w:t>
      </w:r>
    </w:p>
    <w:p>
      <w:pPr>
        <w:pStyle w:val="Heading2"/>
        <w:spacing w:after="160" w:before="280"/>
      </w:pPr>
      <w:r>
        <w:rPr>
          <w:rFonts w:ascii="Arial" w:cs="Arial" w:eastAsia="Arial" w:hAnsi="Arial"/>
          <w:b/>
          <w:bCs/>
          <w:color w:val="2E75B6"/>
          <w:sz w:val="26"/>
          <w:szCs w:val="26"/>
        </w:rPr>
        <w:t xml:space="preserve">5.2 3D Image Reconstruction</w:t>
      </w:r>
    </w:p>
    <w:p>
      <w:pPr>
        <w:spacing w:after="160" w:line="320"/>
      </w:pPr>
      <w:r>
        <w:rPr>
          <w:rFonts w:ascii="Arial" w:cs="Arial" w:eastAsia="Arial" w:hAnsi="Arial"/>
          <w:color w:val="2D2D2D"/>
          <w:sz w:val="22"/>
          <w:szCs w:val="22"/>
        </w:rPr>
        <w:t xml:space="preserve">The reconstruction capability is evaluated on a human abdomen 3D medical image of dimension 151 × 125 × 141. The algorithm learns dictionaries and sparse codes at various sparsity levels. Results demonstrate that even with aggressive sparsity constraints (retaining only a fraction of core tensor entries), GradTensor achieves high-fidelity reconstruction, preserving anatomical detail while achieving significant compression.</w:t>
      </w:r>
    </w:p>
    <w:p>
      <w:pPr>
        <w:pStyle w:val="Heading2"/>
        <w:spacing w:after="160" w:before="280"/>
      </w:pPr>
      <w:r>
        <w:rPr>
          <w:rFonts w:ascii="Arial" w:cs="Arial" w:eastAsia="Arial" w:hAnsi="Arial"/>
          <w:b/>
          <w:bCs/>
          <w:color w:val="2E75B6"/>
          <w:sz w:val="26"/>
          <w:szCs w:val="26"/>
        </w:rPr>
        <w:t xml:space="preserve">5.3 Speaker Identification</w:t>
      </w:r>
    </w:p>
    <w:p>
      <w:pPr>
        <w:spacing w:after="160" w:line="320"/>
      </w:pPr>
      <w:r>
        <w:rPr>
          <w:rFonts w:ascii="Arial" w:cs="Arial" w:eastAsia="Arial" w:hAnsi="Arial"/>
          <w:color w:val="2D2D2D"/>
          <w:sz w:val="22"/>
          <w:szCs w:val="22"/>
        </w:rPr>
        <w:t xml:space="preserve">The most significant experiment applies GradTensor to speaker identification. The approach trains a separate tensor dictionary for each speaker, then classifies test utterances by measuring reconstruction error under each dictionary. The speaker whose dictionary best reconstructs a test sample is identified as the speaker. Three methods are compared: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1760"/>
        <w:gridCol w:w="2600"/>
      </w:tblGrid>
      <w:tr>
        <w:tc>
          <w:tcPr>
            <w:tcW w:type="dxa" w:w="2200"/>
            <w:tcBorders>
              <w:top w:val="single" w:color="B4C7DC" w:sz="1"/>
              <w:left w:val="single" w:color="B4C7DC" w:sz="1"/>
              <w:bottom w:val="single" w:color="B4C7DC" w:sz="1"/>
              <w:right w:val="single" w:color="B4C7D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W w:type="dxa" w:w="1600"/>
            <w:tcBorders>
              <w:top w:val="single" w:color="B4C7DC" w:sz="1"/>
              <w:left w:val="single" w:color="B4C7DC" w:sz="1"/>
              <w:bottom w:val="single" w:color="B4C7DC" w:sz="1"/>
              <w:right w:val="single" w:color="B4C7D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1200"/>
            <w:tcBorders>
              <w:top w:val="single" w:color="B4C7DC" w:sz="1"/>
              <w:left w:val="single" w:color="B4C7DC" w:sz="1"/>
              <w:bottom w:val="single" w:color="B4C7DC" w:sz="1"/>
              <w:right w:val="single" w:color="B4C7D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Sparse?</w:t>
            </w:r>
          </w:p>
        </w:tc>
        <w:tc>
          <w:tcPr>
            <w:tcW w:type="dxa" w:w="1760"/>
            <w:tcBorders>
              <w:top w:val="single" w:color="B4C7DC" w:sz="1"/>
              <w:left w:val="single" w:color="B4C7DC" w:sz="1"/>
              <w:bottom w:val="single" w:color="B4C7DC" w:sz="1"/>
              <w:right w:val="single" w:color="B4C7D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Learns Dict?</w:t>
            </w:r>
          </w:p>
        </w:tc>
        <w:tc>
          <w:tcPr>
            <w:tcW w:type="dxa" w:w="2600"/>
            <w:tcBorders>
              <w:top w:val="single" w:color="B4C7DC" w:sz="1"/>
              <w:left w:val="single" w:color="B4C7DC" w:sz="1"/>
              <w:bottom w:val="single" w:color="B4C7DC" w:sz="1"/>
              <w:right w:val="single" w:color="B4C7D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Performance</w:t>
            </w:r>
          </w:p>
        </w:tc>
      </w:tr>
      <w:tr>
        <w:tc>
          <w:tcPr>
            <w:tcW w:type="dxa" w:w="2200"/>
            <w:tcBorders>
              <w:top w:val="single" w:color="B4C7DC" w:sz="1"/>
              <w:left w:val="single" w:color="B4C7DC" w:sz="1"/>
              <w:bottom w:val="single" w:color="B4C7DC" w:sz="1"/>
              <w:right w:val="single" w:color="B4C7DC" w:sz="1"/>
            </w:tcBorders>
            <w:shd w:fill="EDF2F8" w:val="clear"/>
            <w:tcMar>
              <w:top w:type="dxa" w:w="80"/>
              <w:left w:type="dxa" w:w="120"/>
              <w:bottom w:type="dxa" w:w="80"/>
              <w:right w:type="dxa" w:w="120"/>
            </w:tcMar>
            <w:vAlign w:val="center"/>
          </w:tcPr>
          <w:p>
            <w:pPr>
              <w:jc w:val="left"/>
            </w:pPr>
            <w:r>
              <w:rPr>
                <w:rFonts w:ascii="Arial" w:cs="Arial" w:eastAsia="Arial" w:hAnsi="Arial"/>
                <w:color w:val="2D2D2D"/>
                <w:sz w:val="22"/>
                <w:szCs w:val="22"/>
              </w:rPr>
              <w:t xml:space="preserve">Tucker</w:t>
            </w:r>
          </w:p>
        </w:tc>
        <w:tc>
          <w:tcPr>
            <w:tcW w:type="dxa" w:w="1600"/>
            <w:tcBorders>
              <w:top w:val="single" w:color="B4C7DC" w:sz="1"/>
              <w:left w:val="single" w:color="B4C7DC" w:sz="1"/>
              <w:bottom w:val="single" w:color="B4C7DC" w:sz="1"/>
              <w:right w:val="single" w:color="B4C7DC" w:sz="1"/>
            </w:tcBorders>
            <w:shd w:fill="EDF2F8" w:val="clear"/>
            <w:tcMar>
              <w:top w:type="dxa" w:w="80"/>
              <w:left w:type="dxa" w:w="120"/>
              <w:bottom w:type="dxa" w:w="80"/>
              <w:right w:type="dxa" w:w="120"/>
            </w:tcMar>
            <w:vAlign w:val="center"/>
          </w:tcPr>
          <w:p>
            <w:pPr>
              <w:jc w:val="center"/>
            </w:pPr>
            <w:r>
              <w:rPr>
                <w:rFonts w:ascii="Arial" w:cs="Arial" w:eastAsia="Arial" w:hAnsi="Arial"/>
                <w:color w:val="2D2D2D"/>
                <w:sz w:val="22"/>
                <w:szCs w:val="22"/>
              </w:rPr>
              <w:t xml:space="preserve">Tensor</w:t>
            </w:r>
          </w:p>
        </w:tc>
        <w:tc>
          <w:tcPr>
            <w:tcW w:type="dxa" w:w="1200"/>
            <w:tcBorders>
              <w:top w:val="single" w:color="B4C7DC" w:sz="1"/>
              <w:left w:val="single" w:color="B4C7DC" w:sz="1"/>
              <w:bottom w:val="single" w:color="B4C7DC" w:sz="1"/>
              <w:right w:val="single" w:color="B4C7DC" w:sz="1"/>
            </w:tcBorders>
            <w:shd w:fill="EDF2F8" w:val="clear"/>
            <w:tcMar>
              <w:top w:type="dxa" w:w="80"/>
              <w:left w:type="dxa" w:w="120"/>
              <w:bottom w:type="dxa" w:w="80"/>
              <w:right w:type="dxa" w:w="120"/>
            </w:tcMar>
            <w:vAlign w:val="center"/>
          </w:tcPr>
          <w:p>
            <w:pPr>
              <w:jc w:val="center"/>
            </w:pPr>
            <w:r>
              <w:rPr>
                <w:rFonts w:ascii="Arial" w:cs="Arial" w:eastAsia="Arial" w:hAnsi="Arial"/>
                <w:color w:val="2D2D2D"/>
                <w:sz w:val="22"/>
                <w:szCs w:val="22"/>
              </w:rPr>
              <w:t xml:space="preserve">No</w:t>
            </w:r>
          </w:p>
        </w:tc>
        <w:tc>
          <w:tcPr>
            <w:tcW w:type="dxa" w:w="1760"/>
            <w:tcBorders>
              <w:top w:val="single" w:color="B4C7DC" w:sz="1"/>
              <w:left w:val="single" w:color="B4C7DC" w:sz="1"/>
              <w:bottom w:val="single" w:color="B4C7DC" w:sz="1"/>
              <w:right w:val="single" w:color="B4C7DC" w:sz="1"/>
            </w:tcBorders>
            <w:shd w:fill="EDF2F8" w:val="clear"/>
            <w:tcMar>
              <w:top w:type="dxa" w:w="80"/>
              <w:left w:type="dxa" w:w="120"/>
              <w:bottom w:type="dxa" w:w="80"/>
              <w:right w:type="dxa" w:w="120"/>
            </w:tcMar>
            <w:vAlign w:val="center"/>
          </w:tcPr>
          <w:p>
            <w:pPr>
              <w:jc w:val="center"/>
            </w:pPr>
            <w:r>
              <w:rPr>
                <w:rFonts w:ascii="Arial" w:cs="Arial" w:eastAsia="Arial" w:hAnsi="Arial"/>
                <w:color w:val="2D2D2D"/>
                <w:sz w:val="22"/>
                <w:szCs w:val="22"/>
              </w:rPr>
              <w:t xml:space="preserve">No</w:t>
            </w:r>
          </w:p>
        </w:tc>
        <w:tc>
          <w:tcPr>
            <w:tcW w:type="dxa" w:w="2600"/>
            <w:tcBorders>
              <w:top w:val="single" w:color="B4C7DC" w:sz="1"/>
              <w:left w:val="single" w:color="B4C7DC" w:sz="1"/>
              <w:bottom w:val="single" w:color="B4C7DC" w:sz="1"/>
              <w:right w:val="single" w:color="B4C7DC" w:sz="1"/>
            </w:tcBorders>
            <w:shd w:fill="EDF2F8" w:val="clear"/>
            <w:tcMar>
              <w:top w:type="dxa" w:w="80"/>
              <w:left w:type="dxa" w:w="120"/>
              <w:bottom w:type="dxa" w:w="80"/>
              <w:right w:type="dxa" w:w="120"/>
            </w:tcMar>
            <w:vAlign w:val="center"/>
          </w:tcPr>
          <w:p>
            <w:pPr>
              <w:jc w:val="center"/>
            </w:pPr>
            <w:r>
              <w:rPr>
                <w:rFonts w:ascii="Arial" w:cs="Arial" w:eastAsia="Arial" w:hAnsi="Arial"/>
                <w:color w:val="2D2D2D"/>
                <w:sz w:val="22"/>
                <w:szCs w:val="22"/>
              </w:rPr>
              <w:t xml:space="preserve">Moderate</w:t>
            </w:r>
          </w:p>
        </w:tc>
      </w:tr>
      <w:tr>
        <w:tc>
          <w:tcPr>
            <w:tcW w:type="dxa" w:w="2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pPr>
              <w:jc w:val="left"/>
            </w:pPr>
            <w:r>
              <w:rPr>
                <w:rFonts w:ascii="Arial" w:cs="Arial" w:eastAsia="Arial" w:hAnsi="Arial"/>
                <w:color w:val="2D2D2D"/>
                <w:sz w:val="22"/>
                <w:szCs w:val="22"/>
              </w:rPr>
              <w:t xml:space="preserve">K-SVD</w:t>
            </w:r>
          </w:p>
        </w:tc>
        <w:tc>
          <w:tcPr>
            <w:tcW w:type="dxa" w:w="16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pPr>
              <w:jc w:val="center"/>
            </w:pPr>
            <w:r>
              <w:rPr>
                <w:rFonts w:ascii="Arial" w:cs="Arial" w:eastAsia="Arial" w:hAnsi="Arial"/>
                <w:color w:val="2D2D2D"/>
                <w:sz w:val="22"/>
                <w:szCs w:val="22"/>
              </w:rPr>
              <w:t xml:space="preserve">Matrix</w:t>
            </w:r>
          </w:p>
        </w:tc>
        <w:tc>
          <w:tcPr>
            <w:tcW w:type="dxa" w:w="12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pPr>
              <w:jc w:val="center"/>
            </w:pPr>
            <w:r>
              <w:rPr>
                <w:rFonts w:ascii="Arial" w:cs="Arial" w:eastAsia="Arial" w:hAnsi="Arial"/>
                <w:color w:val="2D2D2D"/>
                <w:sz w:val="22"/>
                <w:szCs w:val="22"/>
              </w:rPr>
              <w:t xml:space="preserve">Yes</w:t>
            </w:r>
          </w:p>
        </w:tc>
        <w:tc>
          <w:tcPr>
            <w:tcW w:type="dxa" w:w="176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pPr>
              <w:jc w:val="center"/>
            </w:pPr>
            <w:r>
              <w:rPr>
                <w:rFonts w:ascii="Arial" w:cs="Arial" w:eastAsia="Arial" w:hAnsi="Arial"/>
                <w:color w:val="2D2D2D"/>
                <w:sz w:val="22"/>
                <w:szCs w:val="22"/>
              </w:rPr>
              <w:t xml:space="preserve">Yes</w:t>
            </w:r>
          </w:p>
        </w:tc>
        <w:tc>
          <w:tcPr>
            <w:tcW w:type="dxa" w:w="2600"/>
            <w:tcBorders>
              <w:top w:val="single" w:color="B4C7DC" w:sz="1"/>
              <w:left w:val="single" w:color="B4C7DC" w:sz="1"/>
              <w:bottom w:val="single" w:color="B4C7DC" w:sz="1"/>
              <w:right w:val="single" w:color="B4C7DC" w:sz="1"/>
            </w:tcBorders>
            <w:tcMar>
              <w:top w:type="dxa" w:w="80"/>
              <w:left w:type="dxa" w:w="120"/>
              <w:bottom w:type="dxa" w:w="80"/>
              <w:right w:type="dxa" w:w="120"/>
            </w:tcMar>
            <w:vAlign w:val="center"/>
          </w:tcPr>
          <w:p>
            <w:pPr>
              <w:jc w:val="center"/>
            </w:pPr>
            <w:r>
              <w:rPr>
                <w:rFonts w:ascii="Arial" w:cs="Arial" w:eastAsia="Arial" w:hAnsi="Arial"/>
                <w:color w:val="2D2D2D"/>
                <w:sz w:val="22"/>
                <w:szCs w:val="22"/>
              </w:rPr>
              <w:t xml:space="preserve">Good</w:t>
            </w:r>
          </w:p>
        </w:tc>
      </w:tr>
      <w:tr>
        <w:tc>
          <w:tcPr>
            <w:tcW w:type="dxa" w:w="2200"/>
            <w:tcBorders>
              <w:top w:val="single" w:color="B4C7DC" w:sz="1"/>
              <w:left w:val="single" w:color="B4C7DC" w:sz="1"/>
              <w:bottom w:val="single" w:color="B4C7DC" w:sz="1"/>
              <w:right w:val="single" w:color="B4C7DC" w:sz="1"/>
            </w:tcBorders>
            <w:shd w:fill="D5E8F0" w:val="clear"/>
            <w:tcMar>
              <w:top w:type="dxa" w:w="80"/>
              <w:left w:type="dxa" w:w="120"/>
              <w:bottom w:type="dxa" w:w="80"/>
              <w:right w:type="dxa" w:w="120"/>
            </w:tcMar>
            <w:vAlign w:val="center"/>
          </w:tcPr>
          <w:p>
            <w:pPr>
              <w:jc w:val="left"/>
            </w:pPr>
            <w:r>
              <w:rPr>
                <w:rFonts w:ascii="Arial" w:cs="Arial" w:eastAsia="Arial" w:hAnsi="Arial"/>
                <w:b/>
                <w:bCs/>
                <w:color w:val="2D2D2D"/>
                <w:sz w:val="22"/>
                <w:szCs w:val="22"/>
              </w:rPr>
              <w:t xml:space="preserve">GradTensor</w:t>
            </w:r>
          </w:p>
        </w:tc>
        <w:tc>
          <w:tcPr>
            <w:tcW w:type="dxa" w:w="1600"/>
            <w:tcBorders>
              <w:top w:val="single" w:color="B4C7DC" w:sz="1"/>
              <w:left w:val="single" w:color="B4C7DC" w:sz="1"/>
              <w:bottom w:val="single" w:color="B4C7DC" w:sz="1"/>
              <w:right w:val="single" w:color="B4C7D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D2D2D"/>
                <w:sz w:val="22"/>
                <w:szCs w:val="22"/>
              </w:rPr>
              <w:t xml:space="preserve">Tensor</w:t>
            </w:r>
          </w:p>
        </w:tc>
        <w:tc>
          <w:tcPr>
            <w:tcW w:type="dxa" w:w="1200"/>
            <w:tcBorders>
              <w:top w:val="single" w:color="B4C7DC" w:sz="1"/>
              <w:left w:val="single" w:color="B4C7DC" w:sz="1"/>
              <w:bottom w:val="single" w:color="B4C7DC" w:sz="1"/>
              <w:right w:val="single" w:color="B4C7D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D2D2D"/>
                <w:sz w:val="22"/>
                <w:szCs w:val="22"/>
              </w:rPr>
              <w:t xml:space="preserve">Yes</w:t>
            </w:r>
          </w:p>
        </w:tc>
        <w:tc>
          <w:tcPr>
            <w:tcW w:type="dxa" w:w="1760"/>
            <w:tcBorders>
              <w:top w:val="single" w:color="B4C7DC" w:sz="1"/>
              <w:left w:val="single" w:color="B4C7DC" w:sz="1"/>
              <w:bottom w:val="single" w:color="B4C7DC" w:sz="1"/>
              <w:right w:val="single" w:color="B4C7D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D2D2D"/>
                <w:sz w:val="22"/>
                <w:szCs w:val="22"/>
              </w:rPr>
              <w:t xml:space="preserve">Yes</w:t>
            </w:r>
          </w:p>
        </w:tc>
        <w:tc>
          <w:tcPr>
            <w:tcW w:type="dxa" w:w="2600"/>
            <w:tcBorders>
              <w:top w:val="single" w:color="B4C7DC" w:sz="1"/>
              <w:left w:val="single" w:color="B4C7DC" w:sz="1"/>
              <w:bottom w:val="single" w:color="B4C7DC" w:sz="1"/>
              <w:right w:val="single" w:color="B4C7DC" w:sz="1"/>
            </w:tcBorders>
            <w:shd w:fill="D5E8F0" w:val="clear"/>
            <w:tcMar>
              <w:top w:type="dxa" w:w="80"/>
              <w:left w:type="dxa" w:w="120"/>
              <w:bottom w:type="dxa" w:w="80"/>
              <w:right w:type="dxa" w:w="120"/>
            </w:tcMar>
            <w:vAlign w:val="center"/>
          </w:tcPr>
          <w:p>
            <w:pPr>
              <w:jc w:val="center"/>
            </w:pPr>
            <w:r>
              <w:rPr>
                <w:rFonts w:ascii="Arial" w:cs="Arial" w:eastAsia="Arial" w:hAnsi="Arial"/>
                <w:b/>
                <w:bCs/>
                <w:color w:val="2D2D2D"/>
                <w:sz w:val="22"/>
                <w:szCs w:val="22"/>
              </w:rPr>
              <w:t xml:space="preserve">Best</w:t>
            </w:r>
          </w:p>
        </w:tc>
      </w:tr>
    </w:tbl>
    <w:p>
      <w:pPr>
        <w:spacing w:after="200" w:before="60"/>
        <w:jc w:val="center"/>
      </w:pPr>
      <w:r>
        <w:rPr>
          <w:rFonts w:ascii="Arial" w:cs="Arial" w:eastAsia="Arial" w:hAnsi="Arial"/>
          <w:i/>
          <w:iCs/>
          <w:color w:val="666666"/>
          <w:sz w:val="18"/>
          <w:szCs w:val="18"/>
        </w:rPr>
        <w:t xml:space="preserve">Table 1: Comparative overview of dictionary learning methods for speaker identification.</w:t>
      </w:r>
    </w:p>
    <w:p>
      <w:pPr>
        <w:spacing w:after="160" w:line="320"/>
      </w:pPr>
      <w:r>
        <w:rPr>
          <w:rFonts w:ascii="Arial" w:cs="Arial" w:eastAsia="Arial" w:hAnsi="Arial"/>
          <w:color w:val="2D2D2D"/>
          <w:sz w:val="22"/>
          <w:szCs w:val="22"/>
        </w:rPr>
        <w:t xml:space="preserve">GradTensor achieves the highest classification accuracy, outperforming both K-SVD and standard Tucker decomposition. The improvement is attributed to two factors: preservation of tensor structure (advantage over K-SVD) and sparse core representation (advantage over standard Tucker). The sparse core enables clearer discrimination between speakers by isolating the most informative cross-modal feature interactions.</w:t>
      </w:r>
    </w:p>
    <w:p>
      <w:pPr>
        <w:pStyle w:val="Heading1"/>
        <w:pBdr>
          <w:bottom w:val="single" w:color="2E75B6" w:sz="6" w:space="4"/>
        </w:pBdr>
        <w:spacing w:after="200" w:before="360"/>
      </w:pPr>
      <w:r>
        <w:rPr>
          <w:rFonts w:ascii="Arial" w:cs="Arial" w:eastAsia="Arial" w:hAnsi="Arial"/>
          <w:b/>
          <w:bCs/>
          <w:color w:val="1B2A4A"/>
          <w:sz w:val="32"/>
          <w:szCs w:val="32"/>
        </w:rPr>
        <w:t xml:space="preserve">6. Related Work and Broader Context</w:t>
      </w:r>
    </w:p>
    <w:p>
      <w:pPr>
        <w:pStyle w:val="Heading2"/>
        <w:spacing w:after="160" w:before="280"/>
      </w:pPr>
      <w:r>
        <w:rPr>
          <w:rFonts w:ascii="Arial" w:cs="Arial" w:eastAsia="Arial" w:hAnsi="Arial"/>
          <w:b/>
          <w:bCs/>
          <w:color w:val="2E75B6"/>
          <w:sz w:val="26"/>
          <w:szCs w:val="26"/>
        </w:rPr>
        <w:t xml:space="preserve">6.1 Tensor Decomposition Methods</w:t>
      </w:r>
    </w:p>
    <w:p>
      <w:pPr>
        <w:spacing w:after="160" w:line="320"/>
      </w:pPr>
      <w:r>
        <w:rPr>
          <w:rFonts w:ascii="Arial" w:cs="Arial" w:eastAsia="Arial" w:hAnsi="Arial"/>
          <w:color w:val="2D2D2D"/>
          <w:sz w:val="22"/>
          <w:szCs w:val="22"/>
        </w:rPr>
        <w:t xml:space="preserve">The Tucker decomposition (Tucker, 1966) and its constrained variants form a rich family of methods. Higher-Order SVD (HOSVD) by De Lathauwer, De Moor, and Vandewalle (2000) provides an orthogonal Tucker decomposition via sequential SVDs. Non-negative Tucker decomposition (NTD) constrains factors to be non-negative, useful in applications such as voice conversion (Takashima et al., 2019). The CP decomposition (Harshman, 1970) can be viewed as a special case of Tucker where the core tensor is super-diagonal.</w:t>
      </w:r>
    </w:p>
    <w:p>
      <w:pPr>
        <w:pStyle w:val="Heading2"/>
        <w:spacing w:after="160" w:before="280"/>
      </w:pPr>
      <w:r>
        <w:rPr>
          <w:rFonts w:ascii="Arial" w:cs="Arial" w:eastAsia="Arial" w:hAnsi="Arial"/>
          <w:b/>
          <w:bCs/>
          <w:color w:val="2E75B6"/>
          <w:sz w:val="26"/>
          <w:szCs w:val="26"/>
        </w:rPr>
        <w:t xml:space="preserve">6.2 Dictionary Learning Approaches</w:t>
      </w:r>
    </w:p>
    <w:p>
      <w:pPr>
        <w:spacing w:after="160" w:line="320"/>
      </w:pPr>
      <w:r>
        <w:rPr>
          <w:rFonts w:ascii="Arial" w:cs="Arial" w:eastAsia="Arial" w:hAnsi="Arial"/>
          <w:color w:val="2D2D2D"/>
          <w:sz w:val="22"/>
          <w:szCs w:val="22"/>
        </w:rPr>
        <w:t xml:space="preserve">K-SVD (Aharon et al., 2006) remains the gold standard for vector-domain dictionary learning. Extensions to tensors include the Tensor-MOD (T-MOD) and K-HOSVD algorithms by Roemer, Del Galdo, and Haardt (2014), which adapt dictionary learning to exploit multidimensional separability. Joint Multiple Dictionary Learning (Fu et al., 2014) extends tensor dictionary learning to simultaneously learn from multiple tensor observations. More recently, Dantas, Cohen, and Gribonval (2018) proposed modeling dictionaries as sums of Kronecker products, generalizing the Tucker dictionary framework.</w:t>
      </w:r>
    </w:p>
    <w:p>
      <w:pPr>
        <w:pStyle w:val="Heading2"/>
        <w:spacing w:after="160" w:before="280"/>
      </w:pPr>
      <w:r>
        <w:rPr>
          <w:rFonts w:ascii="Arial" w:cs="Arial" w:eastAsia="Arial" w:hAnsi="Arial"/>
          <w:b/>
          <w:bCs/>
          <w:color w:val="2E75B6"/>
          <w:sz w:val="26"/>
          <w:szCs w:val="26"/>
        </w:rPr>
        <w:t xml:space="preserve">6.3 Sparse Tucker Decomposition Variants</w:t>
      </w:r>
    </w:p>
    <w:p>
      <w:pPr>
        <w:spacing w:after="160" w:line="320"/>
      </w:pPr>
      <w:r>
        <w:rPr>
          <w:rFonts w:ascii="Arial" w:cs="Arial" w:eastAsia="Arial" w:hAnsi="Arial"/>
          <w:color w:val="2D2D2D"/>
          <w:sz w:val="22"/>
          <w:szCs w:val="22"/>
        </w:rPr>
        <w:t xml:space="preserve">Beyond GradTensor, several works have explored sparsity in Tucker models. Caiafa and Cichocki (2012) introduced block sparse representations using Kronecker bases with fixed dictionaries. The Pruning Sparse Tucker Decomposition (PSTD) estimates appropriate multilinear tensor rank by maximizing core tensor sparsity under error bounds. Gan et al. (2020) combined Tucker decomposition with dictionary dimensionality reduction for tensor compression, relating sparse coefficients to core tensors for improved denoising.</w:t>
      </w:r>
    </w:p>
    <w:p>
      <w:pPr>
        <w:pStyle w:val="Heading2"/>
        <w:spacing w:after="160" w:before="280"/>
      </w:pPr>
      <w:r>
        <w:rPr>
          <w:rFonts w:ascii="Arial" w:cs="Arial" w:eastAsia="Arial" w:hAnsi="Arial"/>
          <w:b/>
          <w:bCs/>
          <w:color w:val="2E75B6"/>
          <w:sz w:val="26"/>
          <w:szCs w:val="26"/>
        </w:rPr>
        <w:t xml:space="preserve">6.4 Applications in Medical Imaging</w:t>
      </w:r>
    </w:p>
    <w:p>
      <w:pPr>
        <w:spacing w:after="160" w:line="320"/>
      </w:pPr>
      <w:r>
        <w:rPr>
          <w:rFonts w:ascii="Arial" w:cs="Arial" w:eastAsia="Arial" w:hAnsi="Arial"/>
          <w:color w:val="2D2D2D"/>
          <w:sz w:val="22"/>
          <w:szCs w:val="22"/>
        </w:rPr>
        <w:t xml:space="preserve">Tensor dictionary learning has found significant application in medical imaging, particularly in CT reconstruction. Tan et al. (2015) developed tensor-based dictionary learning for dynamic tomographic reconstruction, and spectral CT reconstruction methods have similarly leveraged tensor-structured dictionaries. These applications underscore the practical value of preserving multi-dimensional data structure during sparse representation learning.</w:t>
      </w:r>
    </w:p>
    <w:p>
      <w:pPr>
        <w:pStyle w:val="Heading1"/>
        <w:pBdr>
          <w:bottom w:val="single" w:color="2E75B6" w:sz="6" w:space="4"/>
        </w:pBdr>
        <w:spacing w:after="200" w:before="360"/>
      </w:pPr>
      <w:r>
        <w:rPr>
          <w:rFonts w:ascii="Arial" w:cs="Arial" w:eastAsia="Arial" w:hAnsi="Arial"/>
          <w:b/>
          <w:bCs/>
          <w:color w:val="1B2A4A"/>
          <w:sz w:val="32"/>
          <w:szCs w:val="32"/>
        </w:rPr>
        <w:t xml:space="preserve">7. Discussion</w:t>
      </w:r>
    </w:p>
    <w:p>
      <w:pPr>
        <w:pStyle w:val="Heading2"/>
        <w:spacing w:after="160" w:before="280"/>
      </w:pPr>
      <w:r>
        <w:rPr>
          <w:rFonts w:ascii="Arial" w:cs="Arial" w:eastAsia="Arial" w:hAnsi="Arial"/>
          <w:b/>
          <w:bCs/>
          <w:color w:val="2E75B6"/>
          <w:sz w:val="26"/>
          <w:szCs w:val="26"/>
        </w:rPr>
        <w:t xml:space="preserve">7.1 Advantages of GradTensor</w:t>
      </w:r>
    </w:p>
    <w:p>
      <w:pPr>
        <w:spacing w:after="160" w:line="320"/>
      </w:pPr>
      <w:r>
        <w:rPr>
          <w:rFonts w:ascii="Arial" w:cs="Arial" w:eastAsia="Arial" w:hAnsi="Arial"/>
          <w:b/>
          <w:bCs/>
          <w:color w:val="2D2D2D"/>
          <w:sz w:val="22"/>
          <w:szCs w:val="22"/>
        </w:rPr>
        <w:t xml:space="preserve">Structural Preservation. </w:t>
      </w:r>
      <w:r>
        <w:rPr>
          <w:rFonts w:ascii="Arial" w:cs="Arial" w:eastAsia="Arial" w:hAnsi="Arial"/>
          <w:color w:val="2D2D2D"/>
          <w:sz w:val="22"/>
          <w:szCs w:val="22"/>
        </w:rPr>
        <w:t xml:space="preserve">By operating directly on tensors rather than vectorized representations, GradTensor maintains the natural geometric relationships within high-dimensional data. For an I × I × I tensor, vectorization would produce a dictionary of dimension I³ × J³, whereas GradTensor works with three small dictionaries of dimension I × J, dramatically reducing storage and computation.</w:t>
      </w:r>
    </w:p>
    <w:p>
      <w:pPr>
        <w:spacing w:after="160" w:line="320"/>
      </w:pPr>
      <w:r>
        <w:rPr>
          <w:rFonts w:ascii="Arial" w:cs="Arial" w:eastAsia="Arial" w:hAnsi="Arial"/>
          <w:b/>
          <w:bCs/>
          <w:color w:val="2D2D2D"/>
          <w:sz w:val="22"/>
          <w:szCs w:val="22"/>
        </w:rPr>
        <w:t xml:space="preserve">Interpretability. </w:t>
      </w:r>
      <w:r>
        <w:rPr>
          <w:rFonts w:ascii="Arial" w:cs="Arial" w:eastAsia="Arial" w:hAnsi="Arial"/>
          <w:color w:val="2D2D2D"/>
          <w:sz w:val="22"/>
          <w:szCs w:val="22"/>
        </w:rPr>
        <w:t xml:space="preserve">The sparse core tensor provides a transparent view of which feature interactions matter. In speaker identification, this translates to understanding which spectral–temporal–cepstral combinations distinguish one speaker from another.</w:t>
      </w:r>
    </w:p>
    <w:p>
      <w:pPr>
        <w:spacing w:after="160" w:line="320"/>
      </w:pPr>
      <w:r>
        <w:rPr>
          <w:rFonts w:ascii="Arial" w:cs="Arial" w:eastAsia="Arial" w:hAnsi="Arial"/>
          <w:b/>
          <w:bCs/>
          <w:color w:val="2D2D2D"/>
          <w:sz w:val="22"/>
          <w:szCs w:val="22"/>
        </w:rPr>
        <w:t xml:space="preserve">Sample Efficiency. </w:t>
      </w:r>
      <w:r>
        <w:rPr>
          <w:rFonts w:ascii="Arial" w:cs="Arial" w:eastAsia="Arial" w:hAnsi="Arial"/>
          <w:color w:val="2D2D2D"/>
          <w:sz w:val="22"/>
          <w:szCs w:val="22"/>
        </w:rPr>
        <w:t xml:space="preserve">Recent theoretical work on dictionary learning for tensor-structured data suggests that sample complexity scales linearly with the sum of dictionary dimension products rather than their product, implying that tensor-aware methods require fundamentally fewer training examples.</w:t>
      </w:r>
    </w:p>
    <w:p>
      <w:pPr>
        <w:pStyle w:val="Heading2"/>
        <w:spacing w:after="160" w:before="280"/>
      </w:pPr>
      <w:r>
        <w:rPr>
          <w:rFonts w:ascii="Arial" w:cs="Arial" w:eastAsia="Arial" w:hAnsi="Arial"/>
          <w:b/>
          <w:bCs/>
          <w:color w:val="2E75B6"/>
          <w:sz w:val="26"/>
          <w:szCs w:val="26"/>
        </w:rPr>
        <w:t xml:space="preserve">7.2 Limitations and Open Questions</w:t>
      </w:r>
    </w:p>
    <w:p>
      <w:pPr>
        <w:spacing w:after="160" w:line="320"/>
      </w:pPr>
      <w:r>
        <w:rPr>
          <w:rFonts w:ascii="Arial" w:cs="Arial" w:eastAsia="Arial" w:hAnsi="Arial"/>
          <w:color w:val="2D2D2D"/>
          <w:sz w:val="22"/>
          <w:szCs w:val="22"/>
        </w:rPr>
        <w:t xml:space="preserve">Several limitations merit discussion. First, the algorithm requires pre-specification of dictionary sizes (J₁, J₂, J₃) and sparsity level s, which may require cross-validation in practice. Second, while gradient descent provides reliable updates, second-order methods or adaptive learning rates (e.g., Adam) could potentially accelerate convergence. Third, the current formulation does not incorporate non-negativity or other structural constraints on the factor matrices, which may be beneficial in certain applications. Finally, scalability to very large tensors remains an open challenge, though the Kronecker structure already provides substantial computational advantages.</w:t>
      </w:r>
    </w:p>
    <w:p>
      <w:pPr>
        <w:pStyle w:val="Heading2"/>
        <w:spacing w:after="160" w:before="280"/>
      </w:pPr>
      <w:r>
        <w:rPr>
          <w:rFonts w:ascii="Arial" w:cs="Arial" w:eastAsia="Arial" w:hAnsi="Arial"/>
          <w:b/>
          <w:bCs/>
          <w:color w:val="2E75B6"/>
          <w:sz w:val="26"/>
          <w:szCs w:val="26"/>
        </w:rPr>
        <w:t xml:space="preserve">7.3 Connections to Deep Learning</w:t>
      </w:r>
    </w:p>
    <w:p>
      <w:pPr>
        <w:spacing w:after="160" w:line="320"/>
      </w:pPr>
      <w:r>
        <w:rPr>
          <w:rFonts w:ascii="Arial" w:cs="Arial" w:eastAsia="Arial" w:hAnsi="Arial"/>
          <w:color w:val="2D2D2D"/>
          <w:sz w:val="22"/>
          <w:szCs w:val="22"/>
        </w:rPr>
        <w:t xml:space="preserve">An intriguing connection exists between GradTensor and modern deep learning architectures. The multi-layer factorization </w:t>
      </w:r>
      <w:r>
        <w:rPr>
          <w:rFonts w:ascii="Cambria Math" w:cs="Cambria Math" w:eastAsia="Cambria Math" w:hAnsi="Cambria Math"/>
          <w:i/>
          <w:iCs/>
          <w:color w:val="2D2D2D"/>
          <w:sz w:val="22"/>
          <w:szCs w:val="22"/>
        </w:rPr>
        <w:t xml:space="preserve">Y = X ×₁ A ×₂ B ×₃ C</w:t>
      </w:r>
      <w:r>
        <w:rPr>
          <w:rFonts w:ascii="Arial" w:cs="Arial" w:eastAsia="Arial" w:hAnsi="Arial"/>
          <w:color w:val="2D2D2D"/>
          <w:sz w:val="22"/>
          <w:szCs w:val="22"/>
        </w:rPr>
        <w:t xml:space="preserve"> can be viewed as a single-layer multilinear network with a structured bottleneck (the sparse core). Tensor decompositions are increasingly used to compress neural network weight tensors, and the dictionary learning perspective suggests that learned tensor factors may serve as interpretable feature extractors. Recent work on tensor train decompositions for neural network compression and tensorized attention mechanisms further underscores this connection.</w:t>
      </w:r>
    </w:p>
    <w:p>
      <w:pPr>
        <w:pStyle w:val="Heading1"/>
        <w:pBdr>
          <w:bottom w:val="single" w:color="2E75B6" w:sz="6" w:space="4"/>
        </w:pBdr>
        <w:spacing w:after="200" w:before="360"/>
      </w:pPr>
      <w:r>
        <w:rPr>
          <w:rFonts w:ascii="Arial" w:cs="Arial" w:eastAsia="Arial" w:hAnsi="Arial"/>
          <w:b/>
          <w:bCs/>
          <w:color w:val="1B2A4A"/>
          <w:sz w:val="32"/>
          <w:szCs w:val="32"/>
        </w:rPr>
        <w:t xml:space="preserve">8. Conclusion</w:t>
      </w:r>
    </w:p>
    <w:p>
      <w:pPr>
        <w:spacing w:after="160" w:line="320"/>
      </w:pPr>
      <w:r>
        <w:rPr>
          <w:rFonts w:ascii="Arial" w:cs="Arial" w:eastAsia="Arial" w:hAnsi="Arial"/>
          <w:color w:val="2D2D2D"/>
          <w:sz w:val="22"/>
          <w:szCs w:val="22"/>
        </w:rPr>
        <w:t xml:space="preserve">GradTensor represents a principled and effective approach to dictionary learning in the tensor domain. By combining Tucker decomposition with sparse coding and gradient-based optimization, it achieves three simultaneous objectives: compact representation through core tensor sparsity, faithful reconstruction by learning adaptive mode-specific dictionaries, and discriminative power demonstrated through superior classification performance in speaker identification.</w:t>
      </w:r>
    </w:p>
    <w:p>
      <w:pPr>
        <w:spacing w:after="160" w:line="320"/>
      </w:pPr>
      <w:r>
        <w:rPr>
          <w:rFonts w:ascii="Arial" w:cs="Arial" w:eastAsia="Arial" w:hAnsi="Arial"/>
          <w:color w:val="2D2D2D"/>
          <w:sz w:val="22"/>
          <w:szCs w:val="22"/>
        </w:rPr>
        <w:t xml:space="preserve">The key contributions of this work are: (1) the formulation of tensor dictionary learning as joint optimization over sparse core tensors and factor matrices, (2) the two-stage alternating algorithm combining TOMP for sparse coding with gradient descent for dictionary updates, and (3) empirical validation showing consistent improvements over both Tucker decomposition and K-SVD in reconstruction and classification tasks.</w:t>
      </w:r>
    </w:p>
    <w:p>
      <w:pPr>
        <w:spacing w:after="160" w:line="320"/>
      </w:pPr>
      <w:r>
        <w:rPr>
          <w:rFonts w:ascii="Arial" w:cs="Arial" w:eastAsia="Arial" w:hAnsi="Arial"/>
          <w:color w:val="2D2D2D"/>
          <w:sz w:val="22"/>
          <w:szCs w:val="22"/>
        </w:rPr>
        <w:t xml:space="preserve">As high-dimensional data continues to proliferate across domains—from medical imaging to audio processing to video analysis—methods that respect and exploit tensor structure will become increasingly important. GradTensor provides a strong foundation for this endeavor, with clear pathways for extension to larger-scale problems, online learning settings, and integration with deep learning frameworks.</w:t>
      </w:r>
    </w:p>
    <w:p>
      <w:r>
        <w:br w:type="page"/>
      </w:r>
    </w:p>
    <w:p>
      <w:pPr>
        <w:pStyle w:val="Heading1"/>
        <w:pBdr>
          <w:bottom w:val="single" w:color="2E75B6" w:sz="6" w:space="4"/>
        </w:pBdr>
        <w:spacing w:after="200" w:before="360"/>
      </w:pPr>
      <w:r>
        <w:rPr>
          <w:rFonts w:ascii="Arial" w:cs="Arial" w:eastAsia="Arial" w:hAnsi="Arial"/>
          <w:b/>
          <w:bCs/>
          <w:color w:val="1B2A4A"/>
          <w:sz w:val="32"/>
          <w:szCs w:val="32"/>
        </w:rPr>
        <w:t xml:space="preserve">References</w:t>
      </w:r>
    </w:p>
    <w:p>
      <w:pPr>
        <w:spacing w:after="160" w:line="320"/>
      </w:pPr>
      <w:r>
        <w:rPr>
          <w:rFonts w:ascii="Arial" w:cs="Arial" w:eastAsia="Arial" w:hAnsi="Arial"/>
          <w:color w:val="2D2D2D"/>
          <w:sz w:val="22"/>
          <w:szCs w:val="22"/>
        </w:rPr>
        <w:t xml:space="preserve">Aharon, M., Elad, M., &amp; Bruckstein, A. (2006). K-SVD: An algorithm for designing overcomplete dictionaries for sparse representation. IEEE Transactions on Signal Processing, 54(11), 4311–4322.</w:t>
      </w:r>
    </w:p>
    <w:p>
      <w:pPr>
        <w:spacing w:after="160" w:line="320"/>
      </w:pPr>
      <w:r>
        <w:rPr>
          <w:rFonts w:ascii="Arial" w:cs="Arial" w:eastAsia="Arial" w:hAnsi="Arial"/>
          <w:color w:val="2D2D2D"/>
          <w:sz w:val="22"/>
          <w:szCs w:val="22"/>
        </w:rPr>
        <w:t xml:space="preserve">Caiafa, C. F., &amp; Cichocki, A. (2012). Block sparse representation of tensors using Kronecker bases. IEEE International Conference on Acoustics, Speech and Signal Processing, 2709–2712.</w:t>
      </w:r>
    </w:p>
    <w:p>
      <w:pPr>
        <w:spacing w:after="160" w:line="320"/>
      </w:pPr>
      <w:r>
        <w:rPr>
          <w:rFonts w:ascii="Arial" w:cs="Arial" w:eastAsia="Arial" w:hAnsi="Arial"/>
          <w:color w:val="2D2D2D"/>
          <w:sz w:val="22"/>
          <w:szCs w:val="22"/>
        </w:rPr>
        <w:t xml:space="preserve">Dantas, C. F., Cohen, J. E., &amp; Gribonval, R. (2018). Learning fast dictionaries for sparse representations using low-rank tensor decompositions. In Latent Variable Analysis and Signal Separation (LVA/ICA), LNCS 10891, Springer.</w:t>
      </w:r>
    </w:p>
    <w:p>
      <w:pPr>
        <w:spacing w:after="160" w:line="320"/>
      </w:pPr>
      <w:r>
        <w:rPr>
          <w:rFonts w:ascii="Arial" w:cs="Arial" w:eastAsia="Arial" w:hAnsi="Arial"/>
          <w:color w:val="2D2D2D"/>
          <w:sz w:val="22"/>
          <w:szCs w:val="22"/>
        </w:rPr>
        <w:t xml:space="preserve">De Lathauwer, L., De Moor, B., &amp; Vandewalle, J. (2000). A multilinear singular value decomposition. SIAM Journal on Matrix Analysis and Applications, 21(4), 1253–1278.</w:t>
      </w:r>
    </w:p>
    <w:p>
      <w:pPr>
        <w:spacing w:after="160" w:line="320"/>
      </w:pPr>
      <w:r>
        <w:rPr>
          <w:rFonts w:ascii="Arial" w:cs="Arial" w:eastAsia="Arial" w:hAnsi="Arial"/>
          <w:color w:val="2D2D2D"/>
          <w:sz w:val="22"/>
          <w:szCs w:val="22"/>
        </w:rPr>
        <w:t xml:space="preserve">Fu, Y., Gao, J., Hong, X., &amp; Tien, D. (2014). Joint multiple dictionary learning for tensor sparse coding. International Joint Conference on Neural Networks (IJCNN), Beijing, China.</w:t>
      </w:r>
    </w:p>
    <w:p>
      <w:pPr>
        <w:spacing w:after="160" w:line="320"/>
      </w:pPr>
      <w:r>
        <w:rPr>
          <w:rFonts w:ascii="Arial" w:cs="Arial" w:eastAsia="Arial" w:hAnsi="Arial"/>
          <w:color w:val="2D2D2D"/>
          <w:sz w:val="22"/>
          <w:szCs w:val="22"/>
        </w:rPr>
        <w:t xml:space="preserve">Gan, C., Mao, J., Zhang, Z., &amp; Zhu, Q. (2020). A tensor compression algorithm using Tucker decomposition and dictionary dimensionality reduction. International Journal of Distributed Sensor Networks, 16(3).</w:t>
      </w:r>
    </w:p>
    <w:p>
      <w:pPr>
        <w:spacing w:after="160" w:line="320"/>
      </w:pPr>
      <w:r>
        <w:rPr>
          <w:rFonts w:ascii="Arial" w:cs="Arial" w:eastAsia="Arial" w:hAnsi="Arial"/>
          <w:color w:val="2D2D2D"/>
          <w:sz w:val="22"/>
          <w:szCs w:val="22"/>
        </w:rPr>
        <w:t xml:space="preserve">Harshman, R. A. (1970). Foundations of the PARAFAC procedure: Models and conditions for an explanatory multi-modal factor analysis. UCLA Working Papers in Phonetics, 16, 1–84.</w:t>
      </w:r>
    </w:p>
    <w:p>
      <w:pPr>
        <w:spacing w:after="160" w:line="320"/>
      </w:pPr>
      <w:r>
        <w:rPr>
          <w:rFonts w:ascii="Arial" w:cs="Arial" w:eastAsia="Arial" w:hAnsi="Arial"/>
          <w:color w:val="2D2D2D"/>
          <w:sz w:val="22"/>
          <w:szCs w:val="22"/>
        </w:rPr>
        <w:t xml:space="preserve">Kolda, T. G., &amp; Bader, B. W. (2009). Tensor decompositions and applications. SIAM Review, 51(3), 455–500.</w:t>
      </w:r>
    </w:p>
    <w:p>
      <w:pPr>
        <w:spacing w:after="160" w:line="320"/>
      </w:pPr>
      <w:r>
        <w:rPr>
          <w:rFonts w:ascii="Arial" w:cs="Arial" w:eastAsia="Arial" w:hAnsi="Arial"/>
          <w:color w:val="2D2D2D"/>
          <w:sz w:val="22"/>
          <w:szCs w:val="22"/>
        </w:rPr>
        <w:t xml:space="preserve">Pati, Y. C., Rezaiifar, R., &amp; Krishnaprasad, P. S. (1993). Orthogonal matching pursuit: Recursive function approximation with applications to wavelet decomposition. Asilomar Conference on Signals, Systems and Computers, 1, 40–44.</w:t>
      </w:r>
    </w:p>
    <w:p>
      <w:pPr>
        <w:spacing w:after="160" w:line="320"/>
      </w:pPr>
      <w:r>
        <w:rPr>
          <w:rFonts w:ascii="Arial" w:cs="Arial" w:eastAsia="Arial" w:hAnsi="Arial"/>
          <w:color w:val="2D2D2D"/>
          <w:sz w:val="22"/>
          <w:szCs w:val="22"/>
        </w:rPr>
        <w:t xml:space="preserve">Roemer, F., Del Galdo, G., &amp; Haardt, M. (2014). Tensor-based algorithms for learning multidimensional separable dictionaries. IEEE ICASSP, 3963–3967.</w:t>
      </w:r>
    </w:p>
    <w:p>
      <w:pPr>
        <w:spacing w:after="160" w:line="320"/>
      </w:pPr>
      <w:r>
        <w:rPr>
          <w:rFonts w:ascii="Arial" w:cs="Arial" w:eastAsia="Arial" w:hAnsi="Arial"/>
          <w:color w:val="2D2D2D"/>
          <w:sz w:val="22"/>
          <w:szCs w:val="22"/>
        </w:rPr>
        <w:t xml:space="preserve">Tan, S., Zhang, Y., Wang, G., et al. (2015). Tensor-based dictionary learning for dynamic tomographic reconstruction. Physics in Medicine and Biology, 60(7), 2803–2818.</w:t>
      </w:r>
    </w:p>
    <w:p>
      <w:pPr>
        <w:spacing w:after="160" w:line="320"/>
      </w:pPr>
      <w:r>
        <w:rPr>
          <w:rFonts w:ascii="Arial" w:cs="Arial" w:eastAsia="Arial" w:hAnsi="Arial"/>
          <w:color w:val="2D2D2D"/>
          <w:sz w:val="22"/>
          <w:szCs w:val="22"/>
        </w:rPr>
        <w:t xml:space="preserve">Tucker, L. R. (1966). Some mathematical notes on three-mode factor analysis. Psychometrika, 31(3), 279–311.</w:t>
      </w:r>
    </w:p>
    <w:p>
      <w:pPr>
        <w:spacing w:after="160" w:line="320"/>
      </w:pPr>
      <w:r>
        <w:rPr>
          <w:rFonts w:ascii="Arial" w:cs="Arial" w:eastAsia="Arial" w:hAnsi="Arial"/>
          <w:color w:val="2D2D2D"/>
          <w:sz w:val="22"/>
          <w:szCs w:val="22"/>
        </w:rPr>
        <w:t xml:space="preserve">Zubair, S., &amp; Wang, W. (2013). Tensor dictionary learning with sparse Tucker decomposition. 18th International Conference on Digital Signal Processing (DSP), IEEE, 1–6.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6"/>
        <w:szCs w:val="16"/>
      </w:rPr>
      <w:t xml:space="preserve">GradTensor: Sparse Tucker Tensor Dictionary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2026-04-09T17:04:01.950Z</dcterms:created>
  <dcterms:modified xsi:type="dcterms:W3CDTF">2026-04-09T17:04:01.951Z</dcterms:modified>
</cp:coreProperties>
</file>

<file path=docProps/custom.xml><?xml version="1.0" encoding="utf-8"?>
<Properties xmlns="http://schemas.openxmlformats.org/officeDocument/2006/custom-properties" xmlns:vt="http://schemas.openxmlformats.org/officeDocument/2006/docPropsVTypes"/>
</file>