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56"/>
          <w:szCs w:val="56"/>
        </w:rPr>
        <w:t xml:space="preserve">Agentic RCA</w:t>
      </w:r>
    </w:p>
    <w:p>
      <w:pPr>
        <w:spacing w:after="60"/>
      </w:pPr>
      <w:r>
        <w:rPr>
          <w:b/>
          <w:bCs/>
          <w:color w:val="1E2330"/>
          <w:sz w:val="40"/>
          <w:szCs w:val="40"/>
        </w:rPr>
        <w:t xml:space="preserve">Web UI Guide</w:t>
      </w:r>
    </w:p>
    <w:p>
      <w:pPr>
        <w:pBdr>
          <w:bottom w:val="single" w:color="4F46E5" w:sz="12" w:space="6"/>
        </w:pBdr>
        <w:spacing w:after="200"/>
      </w:pPr>
      <w:r>
        <w:rPr>
          <w:i/>
          <w:iCs/>
          <w:color w:val="5F6470"/>
          <w:sz w:val="22"/>
          <w:szCs w:val="22"/>
        </w:rPr>
        <w:t xml:space="preserve">How to start the interface, run an analysis, read the report, download a PDF, and compare two methods.</w:t>
      </w:r>
    </w:p>
    <w:p>
      <w:pPr>
        <w:spacing w:after="120" w:line="276"/>
      </w:pPr>
      <w:r>
        <w:t xml:space="preserve">The web UI is a React (TypeScript + Tailwind) app served by the FastAPI service (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api.py</w:t>
      </w:r>
      <w:r>
        <w:t xml:space="preserve">). You type a problem statement, pick a method, and press </w:t>
      </w:r>
      <w:r>
        <w:rPr>
          <w:b/>
          <w:bCs/>
        </w:rPr>
        <w:t xml:space="preserve">Run analysis</w:t>
      </w:r>
      <w:r>
        <w:t xml:space="preserve">. The agent then plans, generates, critiques and revises a root-cause analysis using your open-source model, and the finished report renders right on the page with a </w:t>
      </w:r>
      <w:r>
        <w:rPr>
          <w:b/>
          <w:bCs/>
        </w:rPr>
        <w:t xml:space="preserve">Download PDF</w:t>
      </w:r>
      <w:r>
        <w:t xml:space="preserve"> button. There is no login, no database, and nothing leaves your machine.</w:t>
      </w:r>
    </w:p>
    <w:p>
      <w:pPr>
        <w:pStyle w:val="Heading1"/>
      </w:pPr>
      <w:r>
        <w:t xml:space="preserve">1. Before you start</w:t>
      </w:r>
    </w:p>
    <w:p>
      <w:pPr>
        <w:spacing w:after="120" w:line="276"/>
      </w:pPr>
      <w:r>
        <w:t xml:space="preserve">The UI needs the API running, and the API needs a model to talk 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Install dependencies from the repo root: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pip install -r requirements.txt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Have a model available. The default is local Ollama: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ollama pull qwen2.5:7b</w:t>
      </w:r>
      <w:r>
        <w:t xml:space="preserve"> (and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llama3.2:latest</w:t>
      </w:r>
      <w:r>
        <w:t xml:space="preserve"> for the validation pass). A hosted-open endpoint configured in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.env</w:t>
      </w:r>
      <w:r>
        <w:t xml:space="preserve"> works too — the UI only talks to the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Confirm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.env</w:t>
      </w:r>
      <w:r>
        <w:t xml:space="preserve"> points at the provider you want (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LLM_PROVIDER</w:t>
      </w:r>
      <w:r>
        <w:t xml:space="preserve">,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RCA_MODEL</w:t>
      </w:r>
      <w:r>
        <w:t xml:space="preserve">).</w:t>
      </w:r>
    </w:p>
    <w:p>
      <w:pPr>
        <w:pStyle w:val="Heading1"/>
      </w:pPr>
      <w:r>
        <w:t xml:space="preserve">2. Start the server</w:t>
      </w:r>
    </w:p>
    <w:p>
      <w:pPr>
        <w:spacing w:after="120" w:line="276"/>
      </w:pPr>
      <w:r>
        <w:t xml:space="preserve">A production build of the React app ships in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frontend/dist</w:t>
      </w:r>
      <w:r>
        <w:t xml:space="preserve">, so the simplest path is to run the API from the repo root with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uvicorn api:app --reload</w:t>
      </w:r>
      <w:r>
        <w:t xml:space="preserve"> and open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http://127.0.0.1:8000/</w:t>
      </w:r>
      <w:r>
        <w:t xml:space="preserve">. The console loads immediately. If you only see JSON or a 404, make sure you opened the root URL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/</w:t>
      </w:r>
      <w:r>
        <w:t xml:space="preserve"> and not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/rca</w:t>
      </w:r>
      <w:r>
        <w:t xml:space="preserve">.</w:t>
      </w:r>
    </w:p>
    <w:p>
      <w:pPr>
        <w:pStyle w:val="Heading2"/>
      </w:pPr>
      <w:r>
        <w:t xml:space="preserve">Rebuilding or developing the UI (optional)</w:t>
      </w:r>
    </w:p>
    <w:p>
      <w:pPr>
        <w:spacing w:after="120" w:line="276"/>
      </w:pPr>
      <w:r>
        <w:t xml:space="preserve">The front-end lives in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frontend/</w:t>
      </w:r>
      <w:r>
        <w:t xml:space="preserve"> (Vite + React + TypeScript + Tailwind) and only needs Node: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B3F8F"/>
          <w:sz w:val="20"/>
          <w:szCs w:val="20"/>
        </w:rPr>
        <w:t xml:space="preserve">cd frontend</w:t>
      </w:r>
      <w:r>
        <w:t xml:space="preserve"> then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B3F8F"/>
          <w:sz w:val="20"/>
          <w:szCs w:val="20"/>
        </w:rPr>
        <w:t xml:space="preserve">npm run build</w:t>
      </w:r>
      <w:r>
        <w:t xml:space="preserve"> — rebuild the production bundle FastAPI serves at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3B3F8F"/>
          <w:sz w:val="20"/>
          <w:szCs w:val="20"/>
        </w:rPr>
        <w:t xml:space="preserve">npm run dev</w:t>
      </w:r>
      <w:r>
        <w:t xml:space="preserve"> — hot-reload dev server on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http://127.0.0.1:5173</w:t>
      </w:r>
      <w:r>
        <w:t xml:space="preserve">, which proxies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/ui</w:t>
      </w:r>
      <w:r>
        <w:t xml:space="preserve">,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/rca</w:t>
      </w:r>
      <w:r>
        <w:t xml:space="preserve"> and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/health</w:t>
      </w:r>
      <w:r>
        <w:t xml:space="preserve"> to the API on port 8000.</w:t>
      </w:r>
    </w:p>
    <w:p>
      <w:pPr>
        <w:pStyle w:val="Heading1"/>
      </w:pPr>
      <w:r>
        <w:t xml:space="preserve">3. Fill in the analysis form</w:t>
      </w:r>
    </w:p>
    <w:p>
      <w:pPr>
        <w:spacing w:after="120" w:line="276"/>
      </w:pPr>
      <w:r>
        <w:t xml:space="preserve">The left-hand panel is the input form.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Problem statement</w:t>
      </w:r>
      <w:r>
        <w:t xml:space="preserve"> (required) — a plain-English description of the incident. Example chips beneath the box fill it instantly. Minimum 10 characters.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Method</w:t>
      </w:r>
      <w:r>
        <w:t xml:space="preserve"> — 5 Whys (a deepening causal chain), Fishbone (causes grouped into People / Process / Tooling / Environment / Data), or Fault Tree (a simplified top-event → AND/OR gates → basic causes).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Compare two methods</w:t>
      </w:r>
      <w:r>
        <w:t xml:space="preserve"> — a toggle that reveals a second method selector so the same problem is analysed by both, side by side.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Severity</w:t>
      </w:r>
      <w:r>
        <w:t xml:space="preserve"> (optional) — low / medium / high / critical. Click again to clear it.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System area</w:t>
      </w:r>
      <w:r>
        <w:t xml:space="preserve"> (optional) — e.g. payments, auth, batch jobs.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Context</w:t>
      </w:r>
      <w:r>
        <w:t xml:space="preserve"> (optional) — paste logs, a timeline, or recent changes. This text is treated strictly as data for the model, never as instructions.</w:t>
      </w:r>
    </w:p>
    <w:p>
      <w:pPr>
        <w:spacing w:after="120" w:line="276"/>
      </w:pPr>
      <w:r>
        <w:t xml:space="preserve">Press </w:t>
      </w:r>
      <w:r>
        <w:rPr>
          <w:b/>
          <w:bCs/>
        </w:rPr>
        <w:t xml:space="preserve">Run analysis</w:t>
      </w:r>
      <w:r>
        <w:t xml:space="preserve">. The button shows a spinner and the results panel takes over.</w:t>
      </w:r>
    </w:p>
    <w:p>
      <w:pPr>
        <w:pStyle w:val="Heading1"/>
      </w:pPr>
      <w:r>
        <w:t xml:space="preserve">4. Watch the live agent stages</w:t>
      </w:r>
    </w:p>
    <w:p>
      <w:pPr>
        <w:spacing w:after="120" w:line="276"/>
      </w:pPr>
      <w:r>
        <w:t xml:space="preserve">While the analysis runs, a status stepper shows where the agent is: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Plan</w:t>
      </w:r>
      <w:r>
        <w:t xml:space="preserve"> — pick the method and set up the run.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Generate</w:t>
      </w:r>
      <w:r>
        <w:t xml:space="preserve"> — the open model drafts the first structured RCA.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Critique</w:t>
      </w:r>
      <w:r>
        <w:t xml:space="preserve"> — deterministic checks look for shallow whys, symptoms posing as causes, and blame language (shows the round number).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Revise</w:t>
      </w:r>
      <w:r>
        <w:t xml:space="preserve"> — findings are fed back to the model for a bounded fix, max 2 rounds (shows the round number).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Validate</w:t>
      </w:r>
      <w:r>
        <w:t xml:space="preserve"> — an optional stronger reviewer model sets the final confidence.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Render</w:t>
      </w:r>
      <w:r>
        <w:t xml:space="preserve"> — the PDF, HTML and JSON artifacts are written.</w:t>
      </w:r>
    </w:p>
    <w:p>
      <w:pPr>
        <w:spacing w:after="120" w:line="276"/>
      </w:pPr>
      <w:r>
        <w:t xml:space="preserve">Completed stages turn green with a check; the current stage pulses. Local inference can take from several seconds to a couple of minutes depending on hardware and model — that is expected. The stepper streams over Server-Sent Events and falls back to polling automatically if SSE is blocked.</w:t>
      </w:r>
    </w:p>
    <w:p>
      <w:pPr>
        <w:pStyle w:val="Heading1"/>
      </w:pPr>
      <w:r>
        <w:t xml:space="preserve">5. Read the report</w:t>
      </w:r>
    </w:p>
    <w:p>
      <w:pPr>
        <w:spacing w:after="120" w:line="276"/>
      </w:pPr>
      <w:r>
        <w:t xml:space="preserve">When the run finishes, the report renders inline and mirrors the PDF exactly: a header band with the problem, method, model, latency and a colour-coded confidence chip (green = high, amber = medium, red = low); an executive summary; a numbered, deepening why-chain stepper; for 5 Whys, an interactive Mermaid 5-Why tree; a method-specific section for Fishbone or Fault Tree; a highlighted root-cause callout; and the contributing factors, recommendations, assumptions, evidence needed and validation notes, followed by an AI-disclosure disclaimer.</w:t>
      </w:r>
    </w:p>
    <w:p>
      <w:pPr>
        <w:pStyle w:val="Heading1"/>
      </w:pPr>
      <w:r>
        <w:t xml:space="preserve">6. Download the PDF and open the standalone report</w:t>
      </w:r>
    </w:p>
    <w:p>
      <w:pPr>
        <w:spacing w:after="120" w:line="276"/>
      </w:pPr>
      <w:r>
        <w:t xml:space="preserve">In the report card header, </w:t>
      </w:r>
      <w:r>
        <w:rPr>
          <w:b/>
          <w:bCs/>
        </w:rPr>
        <w:t xml:space="preserve">PDF</w:t>
      </w:r>
      <w:r>
        <w:t xml:space="preserve"> downloads the generated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Agentic_RCA.pdf</w:t>
      </w:r>
      <w:r>
        <w:t xml:space="preserve"> for this run, and </w:t>
      </w:r>
      <w:r>
        <w:rPr>
          <w:b/>
          <w:bCs/>
        </w:rPr>
        <w:t xml:space="preserve">Open</w:t>
      </w:r>
      <w:r>
        <w:t xml:space="preserve"> opens the standalone HTML report in a new tab (handy for printing or sharing a single file). Artifacts for each web run are also written under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outputs/ui/&lt;job_id&gt;/</w:t>
      </w:r>
      <w:r>
        <w:t xml:space="preserve">.</w:t>
      </w:r>
    </w:p>
    <w:p>
      <w:pPr>
        <w:pStyle w:val="Heading1"/>
      </w:pPr>
      <w:r>
        <w:t xml:space="preserve">7. Compare two methods</w:t>
      </w:r>
    </w:p>
    <w:p>
      <w:pPr>
        <w:spacing w:after="120" w:line="276"/>
      </w:pPr>
      <w:r>
        <w:t xml:space="preserve">Turn on </w:t>
      </w:r>
      <w:r>
        <w:rPr>
          <w:b/>
          <w:bCs/>
        </w:rPr>
        <w:t xml:space="preserve">Compare two methods</w:t>
      </w:r>
      <w:r>
        <w:t xml:space="preserve">, pick a second method, and run. The results panel splits into two columns — for example 5 Whys on the left and Fishbone on the right — each with its own live stepper, confidence chip, report, and Download-PDF button. This is the fastest way to see how different RCA lenses frame the same incident.</w:t>
      </w:r>
    </w:p>
    <w:p>
      <w:pPr>
        <w:pStyle w:val="Heading1"/>
      </w:pPr>
      <w:r>
        <w:t xml:space="preserve">8. Troubleshooting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“provider unreachable” error card</w:t>
      </w:r>
      <w:r>
        <w:t xml:space="preserve"> — the model endpoint is down. Locally, start Ollama (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ollama serve</w:t>
      </w:r>
      <w:r>
        <w:t xml:space="preserve">) and confirm the model is pulled. Hosted, check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HOSTED_OPEN_BASE_URL</w:t>
      </w:r>
      <w:r>
        <w:t xml:space="preserve"> /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HOSTED_OPEN_API_KEY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“provider auth” error</w:t>
      </w:r>
      <w:r>
        <w:t xml:space="preserve"> — a hosted endpoint rejected your key (HTTP 401).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Blank page or raw JSON</w:t>
      </w:r>
      <w:r>
        <w:t xml:space="preserve"> — open the root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http://127.0.0.1:8000/</w:t>
      </w:r>
      <w:r>
        <w:t xml:space="preserve">, not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/rca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Port already in use</w:t>
      </w:r>
      <w:r>
        <w:t xml:space="preserve"> — run </w:t>
      </w:r>
      <w:r>
        <w:rPr>
          <w:rFonts w:ascii="Consolas" w:cs="Consolas" w:eastAsia="Consolas" w:hAnsi="Consolas"/>
          <w:color w:val="3B3F8F"/>
          <w:sz w:val="20"/>
          <w:szCs w:val="20"/>
        </w:rPr>
        <w:t xml:space="preserve">uvicorn api:app --port 8001</w:t>
      </w:r>
      <w:r>
        <w:t xml:space="preserve"> and open that port.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The 5-Why tree is missing</w:t>
      </w:r>
      <w:r>
        <w:t xml:space="preserve"> — you are offline and the Mermaid library could not load; the Why-chain section shows the same path.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 run takes a long time</w:t>
      </w:r>
      <w:r>
        <w:t xml:space="preserve"> — local inference is the bottleneck. The agent loop is bounded (max 2 revise rounds plus a global timeout), so it always finishes with a report or a clean error.</w:t>
      </w:r>
    </w:p>
    <w:p>
      <w:pPr>
        <w:pStyle w:val="Heading1"/>
      </w:pPr>
      <w:r>
        <w:t xml:space="preserve">9. Writing good problem statements</w:t>
      </w:r>
    </w:p>
    <w:p>
      <w:pPr>
        <w:spacing w:after="120" w:line="276"/>
      </w:pPr>
      <w:r>
        <w:t xml:space="preserve">Sharper analyses come from statements that name a concrete, observable symptom and a recent change, for example: “Login API returns HTTP 500 immediately after a deployment” or “Nightly invoice jobs stopped running after a scheduler change.” Add anything you have to the Context box — a timeline, an error string, the change that preceded the incident. More grounding context yields a more specific root cause and fewer assumptions.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470"/>
        <w:sz w:val="16"/>
        <w:szCs w:val="16"/>
      </w:rPr>
      <w:t xml:space="preserve">Page </w:t>
    </w:r>
    <w:r>
      <w:rPr>
        <w:color w:val="5F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BEA" w:sz="4" w:space="4"/>
      </w:pBdr>
      <w:jc w:val="right"/>
    </w:pPr>
    <w:r>
      <w:rPr>
        <w:color w:val="5F6470"/>
        <w:sz w:val="16"/>
        <w:szCs w:val="16"/>
      </w:rPr>
      <w:t xml:space="preserve">Agentic RCA · Web UI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23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RCA — Web UI Guide</dc:title>
  <dc:creator>Agentic RCA MCP Server</dc:creator>
  <cp:lastModifiedBy>Un-named</cp:lastModifiedBy>
  <cp:revision>1</cp:revision>
  <dcterms:created xsi:type="dcterms:W3CDTF">2026-06-15T14:45:43.140Z</dcterms:created>
  <dcterms:modified xsi:type="dcterms:W3CDTF">2026-06-15T14:45:43.140Z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