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I declare that the content of this postgraduate thesis titled *A Dual-Objective Decision Support Model for SME Credit Appraisal in Sri Lankan Development Banking*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I am grateful to People's Bank for the appraisal instrument that forms the foundation of this work. The *Project / Business Appraisal Report for SME Credit Facility* is a carefully constructed document, and the analysis here rests entirely on the institutional expertise embedded in it.</w:t>
      </w:r>
    </w:p>
    <w:p>
      <w:pPr>
        <w:spacing w:line="360" w:lineRule="auto" w:after="120"/>
      </w:pPr>
      <w:r>
        <w:rPr>
          <w:rFonts w:ascii="Times New Roman" w:hAnsi="Times New Roman"/>
          <w:sz w:val="24"/>
        </w:rPr>
        <w:t>I acknowledge Li, Mickel and Taylor (2018) for placing the SBA National dataset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Most of that literature examines whether credit is *available*. This study examines something narrower and less studied: how a bank *decides*,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Between the evidence and the certification there is no stated procedure. The form specifies exhaustively *what* to consider and says nothing about *how to weigh it*.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(2016)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(§5.10.3)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That refusal is supported by evidence: appraisal at a multilateral development bank shows development and credit concerns to be empirically independent (§3.6.2), so a combined score would discard real information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(§5.10).</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Examine the People's Bank *Project / Business Appraisal Report for SME Credit Facility*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sz w:val="24"/>
        </w:rPr>
        <w:t>Status note. Objective 2.2.7 was met in that the instrument, solver and</w:t>
      </w:r>
    </w:p>
    <w:p>
      <w:pPr>
        <w:spacing w:line="360" w:lineRule="auto" w:after="120"/>
        <w:ind w:left="576"/>
      </w:pPr>
      <w:r>
        <w:rPr>
          <w:rFonts w:ascii="Times New Roman" w:hAnsi="Times New Roman"/>
          <w:sz w:val="24"/>
        </w:rPr>
        <w:t>analysis pipeline were built and verified. The elicitation itself was **not</w:t>
      </w:r>
    </w:p>
    <w:p>
      <w:pPr>
        <w:spacing w:line="360" w:lineRule="auto" w:after="120"/>
        <w:ind w:left="576"/>
      </w:pPr>
      <w:r>
        <w:rPr>
          <w:rFonts w:ascii="Times New Roman" w:hAnsi="Times New Roman"/>
          <w:sz w:val="24"/>
        </w:rPr>
        <w:t>administered**: no practitioner responses were obtained within the study period.</w:t>
      </w:r>
    </w:p>
    <w:p>
      <w:pPr>
        <w:spacing w:line="360" w:lineRule="auto" w:after="120"/>
        <w:ind w:left="576"/>
      </w:pPr>
      <w:r>
        <w:rPr>
          <w:rFonts w:ascii="Times New Roman" w:hAnsi="Times New Roman"/>
          <w:sz w:val="24"/>
        </w:rPr>
        <w:t>Section 5.9 reports this, and Section 6.3 treats it as a principal limitation.</w:t>
      </w:r>
    </w:p>
    <w:p>
      <w:pPr>
        <w:spacing w:line="360" w:lineRule="auto" w:after="120"/>
        <w:ind w:left="576"/>
      </w:pPr>
      <w:r>
        <w:rPr>
          <w:rFonts w:ascii="Times New Roman" w:hAnsi="Times New Roman"/>
          <w:sz w:val="24"/>
        </w:rPr>
        <w:t>The criteria model accordingly carries placeholder weights throughout, and every</w:t>
      </w:r>
    </w:p>
    <w:p>
      <w:pPr>
        <w:spacing w:line="360" w:lineRule="auto" w:after="120"/>
        <w:ind w:left="576"/>
      </w:pPr>
      <w:r>
        <w:rPr>
          <w:rFonts w:ascii="Times New Roman" w:hAnsi="Times New Roman"/>
          <w:sz w:val="24"/>
        </w:rPr>
        <w:t>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Quantitative credit assessment begins with Altman (1968), who applied multiple discriminant analysis to twenty-two financial ratios across sixty-six firms to produce the Z-score. Ohlson (1980) replaced discriminant analysis with conditional logit, shifting the output from a classification to a probability — a change that matters here, because a probability can be checked for *calibration* while a class label cannot (§5.12).</w:t>
      </w:r>
    </w:p>
    <w:p>
      <w:pPr>
        <w:spacing w:line="360" w:lineRule="auto" w:after="120"/>
      </w:pPr>
      <w:r>
        <w:rPr>
          <w:rFonts w:ascii="Times New Roman" w:hAnsi="Times New Roman"/>
          <w:sz w:val="24"/>
        </w:rPr>
        <w:t>Hand and Henley (1997) reviewed the statistical methods then in use, and Thomas, Crook and Edelman (1992; Thomas, Edelman and Crook, 2002) provided the standard textbook treatments. The most useful modern reference point is Lessmann et al. (2015),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(2006) establish access to finance as a binding growth constraint for SMEs internationally.</w:t>
      </w:r>
    </w:p>
    <w:p>
      <w:pPr>
        <w:spacing w:line="360" w:lineRule="auto" w:after="120"/>
      </w:pPr>
      <w:r>
        <w:rPr>
          <w:rFonts w:ascii="Times New Roman" w:hAnsi="Times New Roman"/>
          <w:sz w:val="24"/>
        </w:rPr>
        <w:t xml:space="preserve">Berger and Udell (2006)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Stein (2002) explains why that is difficult. He distinguishes *hard* information, which can be credibly transmitted through a hierarchy, from *soft*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sz w:val="24"/>
        </w:rPr>
        <w:t>This is the central tension of the present study. Formalising narrative</w:t>
      </w:r>
    </w:p>
    <w:p>
      <w:pPr>
        <w:spacing w:line="360" w:lineRule="auto" w:after="120"/>
        <w:ind w:left="576"/>
      </w:pPr>
      <w:r>
        <w:rPr>
          <w:rFonts w:ascii="Times New Roman" w:hAnsi="Times New Roman"/>
          <w:sz w:val="24"/>
        </w:rPr>
        <w:t>appraisal is an attempt to harden soft information. Stein's analysis implies</w:t>
      </w:r>
    </w:p>
    <w:p>
      <w:pPr>
        <w:spacing w:line="360" w:lineRule="auto" w:after="120"/>
        <w:ind w:left="576"/>
      </w:pPr>
      <w:r>
        <w:rPr>
          <w:rFonts w:ascii="Times New Roman" w:hAnsi="Times New Roman"/>
          <w:sz w:val="24"/>
        </w:rPr>
        <w:t>something is necessarily lost in that transformation. The design response — a</w:t>
      </w:r>
    </w:p>
    <w:p>
      <w:pPr>
        <w:spacing w:line="360" w:lineRule="auto" w:after="120"/>
        <w:ind w:left="576"/>
      </w:pPr>
      <w:r>
        <w:rPr>
          <w:rFonts w:ascii="Times New Roman" w:hAnsi="Times New Roman"/>
          <w:sz w:val="24"/>
        </w:rPr>
        <w:t>five-point linguistic scale represented as fuzzy numbers rather than a forced</w:t>
      </w:r>
    </w:p>
    <w:p>
      <w:pPr>
        <w:spacing w:line="360" w:lineRule="auto" w:after="120"/>
        <w:ind w:left="576"/>
      </w:pPr>
      <w:r>
        <w:rPr>
          <w:rFonts w:ascii="Times New Roman" w:hAnsi="Times New Roman"/>
          <w:sz w:val="24"/>
        </w:rPr>
        <w:t>crisp value (§4.11.2) — is an attempt to lose less, not to avoid the loss.</w:t>
      </w:r>
    </w:p>
    <w:p>
      <w:pPr>
        <w:spacing w:line="360" w:lineRule="auto" w:after="120"/>
      </w:pPr>
      <w:r>
        <w:rPr>
          <w:rFonts w:ascii="Times New Roman" w:hAnsi="Times New Roman"/>
          <w:sz w:val="24"/>
        </w:rPr>
        <w:t>Ciampi, Giannozzi, Marzi and Altman (2021)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*process*,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(2016)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*structure*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(2025)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(1960), Landis and Koch (1977)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(1965) introduced fuzzy sets, providing a representation for gradations of membership rather than binary classification. Saaty (1980, 1990) introduced the Analytic Hierarchy Process,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(1996) proposed extent analysis for fuzzy AHP, and Chen (2000)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*cannot recover true weights*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(2015)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(2016) gave a linear formulation with a unique solution, which is the form implemented here (§5.10).</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(§5.10.1).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(2021)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no located study formalises a *specific, named, operational appraisal instrument*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 xml:space="preserve">Arvanitis, Stampini and Vencatachellum (2015) examine ex-ante appraisal at the African Development Bank and report a result of direct consequence: </w:t>
      </w:r>
      <w:r>
        <w:rPr>
          <w:rFonts w:ascii="Times New Roman" w:hAnsi="Times New Roman"/>
          <w:b/>
          <w:sz w:val="24"/>
        </w:rPr>
        <w:t>development and risk concerns considered during project appraisal are empirically independent of one another</w:t>
      </w:r>
      <w:r>
        <w:rPr>
          <w:rFonts w:ascii="Times New Roman" w:hAnsi="Times New Roman"/>
          <w:sz w:val="24"/>
        </w:rPr>
        <w:t>, and no assumption should be made about one from the other.</w:t>
      </w:r>
    </w:p>
    <w:p>
      <w:pPr>
        <w:spacing w:line="360" w:lineRule="auto" w:after="120"/>
      </w:pPr>
      <w:r>
        <w:rPr>
          <w:rFonts w:ascii="Times New Roman" w:hAnsi="Times New Roman"/>
          <w:sz w:val="24"/>
        </w:rP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(Ribeiro, Singh and Guestrin, 2016) fits an interpretable local surrogate around a prediction, and SHAP (Lundberg and Lee, 2017)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(§5.11).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(2023)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(Altman, 1968,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(Roy and Shaw, 2021, and the</w:t>
      </w:r>
    </w:p>
    <w:p>
      <w:pPr>
        <w:spacing w:line="360" w:lineRule="auto" w:after="120"/>
      </w:pPr>
      <w:r>
        <w:rPr>
          <w:rFonts w:ascii="Times New Roman" w:hAnsi="Times New Roman"/>
          <w:sz w:val="24"/>
        </w:rPr>
        <w:t>surrounding literature in §5.10.3);</w:t>
      </w:r>
    </w:p>
    <w:p>
      <w:pPr>
        <w:pStyle w:val="ListBullet"/>
        <w:spacing w:line="360" w:lineRule="auto" w:after="120"/>
      </w:pPr>
      <w:r>
        <w:rPr>
          <w:rFonts w:ascii="Times New Roman" w:hAnsi="Times New Roman"/>
          <w:sz w:val="24"/>
        </w:rPr>
        <w:t>scoring social or developmental impact alongside credit risk (Gutiérrez-Nieto</w:t>
      </w:r>
    </w:p>
    <w:p>
      <w:pPr>
        <w:spacing w:line="360" w:lineRule="auto" w:after="120"/>
      </w:pPr>
      <w:r>
        <w:rPr>
          <w:rFonts w:ascii="Times New Roman" w:hAnsi="Times New Roman"/>
          <w:sz w:val="24"/>
        </w:rPr>
        <w:t>et al., 2016);</w:t>
      </w:r>
    </w:p>
    <w:p>
      <w:pPr>
        <w:pStyle w:val="ListBullet"/>
        <w:spacing w:line="360" w:lineRule="auto" w:after="120"/>
      </w:pPr>
      <w:r>
        <w:rPr>
          <w:rFonts w:ascii="Times New Roman" w:hAnsi="Times New Roman"/>
          <w:sz w:val="24"/>
        </w:rPr>
        <w:t>observing that development banks appraise against two objectives (Arvanitis</w:t>
      </w:r>
    </w:p>
    <w:p>
      <w:pPr>
        <w:spacing w:line="360" w:lineRule="auto" w:after="120"/>
      </w:pPr>
      <w:r>
        <w:rPr>
          <w:rFonts w:ascii="Times New Roman" w:hAnsi="Times New Roman"/>
          <w:sz w:val="24"/>
        </w:rPr>
        <w:t>et al., 2015).</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Given Arvanitis et al.'s independence result, this study reports them separately by design and never produces a combined figure.</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(Hevner et al., 2004): knowledge is produced by building an artefact and evaluating it, rather than by testing hypotheses about existing phenomena. The process follows the six activities set out by Peffers et al. (2007)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§5.10–5.6</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§5.10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(§5.10.3).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The source instrument is the People's Bank *Project / Business Appraisal Report for SME Credit Facility*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(§5.18.2). One constraint governed the process:</w:t>
      </w:r>
    </w:p>
    <w:p>
      <w:pPr>
        <w:spacing w:line="360" w:lineRule="auto" w:after="120"/>
        <w:ind w:left="576"/>
      </w:pPr>
      <w:r>
        <w:rPr>
          <w:rFonts w:ascii="Times New Roman" w:hAnsi="Times New Roman"/>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(§5.10).</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(Rezaei, 2015)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 (Rezaei, 2016)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AUC, Kolmogorov-Smirnov separation, average precision, Brier score,</w:t>
      </w:r>
    </w:p>
    <w:p>
      <w:pPr>
        <w:spacing w:line="360" w:lineRule="auto" w:after="120"/>
      </w:pPr>
      <w:r>
        <w:rPr>
          <w:rFonts w:ascii="Times New Roman" w:hAnsi="Times New Roman"/>
          <w:sz w:val="24"/>
        </w:rPr>
        <w:t>F1 at the Youden-optimal threshold.</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*Project / Business Appraisal Report for SME Credit Facility*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This is the gap the artefact addresses. The form specifies *what* to consider exhaustively and *how to weigh it*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§5.10.</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§5.15: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During verification, an appraisal with only seven of forty-nine criteria entered — 14% complete — returned a credit risk score of 73.7 and the recommendation *"Band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sz w:val="24"/>
        </w:rPr>
        <w:t>*Project / Business Appraisal Report for SME Credit Facility*,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§5.10–5.5</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§5.18</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(Li, Mickel and Taylor, 2018)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§5.18.</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*"is the term a multiple of twelve"* — a quantity with no economic content whatsoever — achieves </w:t>
      </w:r>
      <w:r>
        <w:rPr>
          <w:rFonts w:ascii="Times New Roman" w:hAnsi="Times New Roman"/>
          <w:b/>
          <w:sz w:val="24"/>
        </w:rPr>
        <w:t>AUC 0.8894</w:t>
      </w:r>
      <w:r>
        <w:rPr>
          <w:rFonts w:ascii="Times New Roman" w:hAnsi="Times New Roman"/>
          <w:sz w:val="24"/>
        </w:rPr>
        <w:t>.</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sz w:val="24"/>
        </w:rPr>
        <w:t>**An instrument-specific appraisal model cannot be validated against a dataset</w:t>
      </w:r>
    </w:p>
    <w:p>
      <w:pPr>
        <w:spacing w:line="360" w:lineRule="auto" w:after="120"/>
        <w:ind w:left="576"/>
      </w:pPr>
      <w:r>
        <w:rPr>
          <w:rFonts w:ascii="Times New Roman" w:hAnsi="Times New Roman"/>
          <w:sz w:val="24"/>
        </w:rPr>
        <w:t>that does not contain its variables.** Substituting available proxies for the</w:t>
      </w:r>
    </w:p>
    <w:p>
      <w:pPr>
        <w:spacing w:line="360" w:lineRule="auto" w:after="120"/>
        <w:ind w:left="576"/>
      </w:pPr>
      <w:r>
        <w:rPr>
          <w:rFonts w:ascii="Times New Roman" w:hAnsi="Times New Roman"/>
          <w:sz w:val="24"/>
        </w:rPr>
        <w:t>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5.18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§5.10–5.6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5.19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validation; a linear scorecard fitted to a benign cycle ranks *backwards*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§5.10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(Rezaei, 2016)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(2023)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sz w:val="24"/>
        </w:rPr>
        <w:t>*shape*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(§5.10)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b/>
          <w:sz w:val="24"/>
        </w:rPr>
        <w:t>Authenticated sign-off</w:t>
      </w:r>
      <w:r>
        <w:rPr>
          <w:rFonts w:ascii="Times New Roman" w:hAnsi="Times New Roman"/>
          <w:sz w:val="24"/>
        </w:rPr>
        <w:t xml:space="preserve"> (§4.12) replaced a typed name. An audit trail of self-declared signatories records nothing; the signatory is now the authenticated user and roles are enforced server-side.</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(Cortés et al., 2016)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Referencing follows the Harvard (author-date) convention. Where a source was located through a database search but the full text has not been obtained, that is recorded in the accompanying bibliography (docs/02-literature/bibliography.md) rather than concealed here.</w:t>
      </w:r>
    </w:p>
    <w:p>
      <w:pPr>
        <w:spacing w:line="360" w:lineRule="auto" w:after="120"/>
      </w:pPr>
      <w:r>
        <w:rPr>
          <w:rFonts w:ascii="Times New Roman" w:hAnsi="Times New Roman"/>
          <w:sz w:val="24"/>
        </w:rPr>
        <w:t>Altman, E.I. (1968) 'Financial Ratios, Discriminant Analysis and the Prediction of Corporate Bankruptcy', *Journal of Finance*, 23(4), pp. 589–609. doi:10.1111/j.1540-6261.1968.tb00843.x</w:t>
      </w:r>
    </w:p>
    <w:p>
      <w:pPr>
        <w:spacing w:line="360" w:lineRule="auto" w:after="120"/>
      </w:pPr>
      <w:r>
        <w:rPr>
          <w:rFonts w:ascii="Times New Roman" w:hAnsi="Times New Roman"/>
          <w:sz w:val="24"/>
        </w:rPr>
        <w:t>Arvanitis, Y., Stampini, M. and Vencatachellum, D. (2015) 'Balancing development returns and credit risks: project appraisal in a multilateral development bank',</w:t>
      </w:r>
    </w:p>
    <w:p>
      <w:pPr>
        <w:spacing w:line="360" w:lineRule="auto" w:after="120"/>
      </w:pPr>
      <w:r>
        <w:rPr>
          <w:rFonts w:ascii="Times New Roman" w:hAnsi="Times New Roman"/>
          <w:sz w:val="24"/>
        </w:rPr>
        <w:t>*Impact Assessment and Project Appraisal*, 33(3), pp. 195–206. doi:10.1080/14615517.2015.1041837</w:t>
      </w:r>
    </w:p>
    <w:p>
      <w:pPr>
        <w:spacing w:line="360" w:lineRule="auto" w:after="120"/>
      </w:pPr>
      <w:r>
        <w:rPr>
          <w:rFonts w:ascii="Times New Roman" w:hAnsi="Times New Roman"/>
          <w:sz w:val="24"/>
        </w:rPr>
        <w:t>Beck, T. and Demirgüç-Kunt, A. (2006) 'Small and medium-size enterprises: Access to finance as a growth constraint', *Journal of Banking &amp; Finance*, 30(11), pp. 2931–2943.</w:t>
      </w:r>
    </w:p>
    <w:p>
      <w:pPr>
        <w:spacing w:line="360" w:lineRule="auto" w:after="120"/>
      </w:pPr>
      <w:r>
        <w:rPr>
          <w:rFonts w:ascii="Times New Roman" w:hAnsi="Times New Roman"/>
          <w:sz w:val="24"/>
        </w:rPr>
        <w:t>Berger, A.N. and Udell, G.F. (2006) 'A more complete conceptual framework for SME finance', *Journal of Banking &amp; Finance*, 30(11), pp. 2945–2966.</w:t>
      </w:r>
    </w:p>
    <w:p>
      <w:pPr>
        <w:spacing w:line="360" w:lineRule="auto" w:after="120"/>
      </w:pPr>
      <w:r>
        <w:rPr>
          <w:rFonts w:ascii="Times New Roman" w:hAnsi="Times New Roman"/>
          <w:sz w:val="24"/>
        </w:rPr>
        <w:t>Brier, G.W. (1950) 'Verification of forecasts expressed in terms of probability',</w:t>
      </w:r>
    </w:p>
    <w:p>
      <w:pPr>
        <w:spacing w:line="360" w:lineRule="auto" w:after="120"/>
      </w:pPr>
      <w:r>
        <w:rPr>
          <w:rFonts w:ascii="Times New Roman" w:hAnsi="Times New Roman"/>
          <w:sz w:val="24"/>
        </w:rPr>
        <w:t>*Monthly Weather Review*, 78(1), pp. 1–3.</w:t>
      </w:r>
    </w:p>
    <w:p>
      <w:pPr>
        <w:spacing w:line="360" w:lineRule="auto" w:after="120"/>
      </w:pPr>
      <w:r>
        <w:rPr>
          <w:rFonts w:ascii="Times New Roman" w:hAnsi="Times New Roman"/>
          <w:sz w:val="24"/>
        </w:rPr>
        <w:t>Chang, D.-Y. (1996) 'Applications of the extent analysis method on fuzzy AHP',</w:t>
      </w:r>
    </w:p>
    <w:p>
      <w:pPr>
        <w:spacing w:line="360" w:lineRule="auto" w:after="120"/>
      </w:pPr>
      <w:r>
        <w:rPr>
          <w:rFonts w:ascii="Times New Roman" w:hAnsi="Times New Roman"/>
          <w:sz w:val="24"/>
        </w:rPr>
        <w:t>*European Journal of Operational Research*, 95(3), pp. 649–655.</w:t>
      </w:r>
    </w:p>
    <w:p>
      <w:pPr>
        <w:spacing w:line="360" w:lineRule="auto" w:after="120"/>
      </w:pPr>
      <w:r>
        <w:rPr>
          <w:rFonts w:ascii="Times New Roman" w:hAnsi="Times New Roman"/>
          <w:sz w:val="24"/>
        </w:rPr>
        <w:t>Chen, C.-T. (2000) 'Extensions of the TOPSIS for group decision-making under fuzzy environment', *Fuzzy Sets and Systems*, 114(1), pp. 1–9.</w:t>
      </w:r>
    </w:p>
    <w:p>
      <w:pPr>
        <w:spacing w:line="360" w:lineRule="auto" w:after="120"/>
      </w:pPr>
      <w:r>
        <w:rPr>
          <w:rFonts w:ascii="Times New Roman" w:hAnsi="Times New Roman"/>
          <w:sz w:val="24"/>
        </w:rPr>
        <w:t>Ciampi, F., Giannozzi, A., Marzi, G. and Altman, E.I. (2021) 'Rethinking SME default prediction: a systematic literature review and future perspectives',</w:t>
      </w:r>
    </w:p>
    <w:p>
      <w:pPr>
        <w:spacing w:line="360" w:lineRule="auto" w:after="120"/>
      </w:pPr>
      <w:r>
        <w:rPr>
          <w:rFonts w:ascii="Times New Roman" w:hAnsi="Times New Roman"/>
          <w:sz w:val="24"/>
        </w:rPr>
        <w:t>*Scientometrics*, 126, pp. 2141–2188. doi:10.1007/s11192-020-03856-0</w:t>
      </w:r>
    </w:p>
    <w:p>
      <w:pPr>
        <w:spacing w:line="360" w:lineRule="auto" w:after="120"/>
      </w:pPr>
      <w:r>
        <w:rPr>
          <w:rFonts w:ascii="Times New Roman" w:hAnsi="Times New Roman"/>
          <w:sz w:val="24"/>
        </w:rPr>
        <w:t>Cohen, J. (1960) 'A coefficient of agreement for nominal scales', *Educational and Psychological Measurement*, 20(1), pp. 37–46.</w:t>
      </w:r>
    </w:p>
    <w:p>
      <w:pPr>
        <w:spacing w:line="360" w:lineRule="auto" w:after="120"/>
      </w:pPr>
      <w:r>
        <w:rPr>
          <w:rFonts w:ascii="Times New Roman" w:hAnsi="Times New Roman"/>
          <w:sz w:val="24"/>
        </w:rPr>
        <w:t>Cortés, K.R., Duchin, R. and Sosyura, D. (2016) 'Clouded judgment: The role of sentiment in credit origination', *Journal of Financial Economics*, 121(2), pp. 392–413.</w:t>
      </w:r>
    </w:p>
    <w:p>
      <w:pPr>
        <w:spacing w:line="360" w:lineRule="auto" w:after="120"/>
      </w:pPr>
      <w:r>
        <w:rPr>
          <w:rFonts w:ascii="Times New Roman" w:hAnsi="Times New Roman"/>
          <w:sz w:val="24"/>
        </w:rPr>
        <w:t>DeLong, E.R., DeLong, D.M. and Clarke-Pearson, D.L. (1988) 'Comparing the areas under two or more correlated receiver operating characteristic curves: a nonparametric approach', *Biometrics*, 44(3), pp. 837–845.</w:t>
      </w:r>
    </w:p>
    <w:p>
      <w:pPr>
        <w:spacing w:line="360" w:lineRule="auto" w:after="120"/>
      </w:pPr>
      <w:r>
        <w:rPr>
          <w:rFonts w:ascii="Times New Roman" w:hAnsi="Times New Roman"/>
          <w:sz w:val="24"/>
        </w:rPr>
        <w:t>Gutiérrez-Nieto, B., Serrano-Cinca, C. and Camón-Cala, J. (2016) 'A Credit Score System for Socially Responsible Lending', *Journal of Business Ethics*, 133(4), pp. 691–701. doi:10.1007/s10551-014-2448-5</w:t>
      </w:r>
    </w:p>
    <w:p>
      <w:pPr>
        <w:spacing w:line="360" w:lineRule="auto" w:after="120"/>
      </w:pPr>
      <w:r>
        <w:rPr>
          <w:rFonts w:ascii="Times New Roman" w:hAnsi="Times New Roman"/>
          <w:sz w:val="24"/>
        </w:rPr>
        <w:t>Hand, D.J. and Henley, W.E. (1997) 'Statistical Classification Methods in Consumer Credit Scoring: A Review', *Journal of the Royal Statistical Society Series A*, 160(3), pp. 523–541.</w:t>
      </w:r>
    </w:p>
    <w:p>
      <w:pPr>
        <w:spacing w:line="360" w:lineRule="auto" w:after="120"/>
      </w:pPr>
      <w:r>
        <w:rPr>
          <w:rFonts w:ascii="Times New Roman" w:hAnsi="Times New Roman"/>
          <w:sz w:val="24"/>
        </w:rPr>
        <w:t>Hanley, J.A. and McNeil, B.J. (1982) 'The meaning and use of the area under a receiver operating characteristic (ROC) curve', *Radiology*, 143(1), pp. 29–36.</w:t>
      </w:r>
    </w:p>
    <w:p>
      <w:pPr>
        <w:spacing w:line="360" w:lineRule="auto" w:after="120"/>
      </w:pPr>
      <w:r>
        <w:rPr>
          <w:rFonts w:ascii="Times New Roman" w:hAnsi="Times New Roman"/>
          <w:sz w:val="24"/>
        </w:rPr>
        <w:t>Hevner, A.R., March, S.T., Park, J. and Ram, S. (2004) 'Design Science in Information Systems Research', *MIS Quarterly*, 28(1), pp. 75–105.</w:t>
      </w:r>
    </w:p>
    <w:p>
      <w:pPr>
        <w:spacing w:line="360" w:lineRule="auto" w:after="120"/>
      </w:pPr>
      <w:r>
        <w:rPr>
          <w:rFonts w:ascii="Times New Roman" w:hAnsi="Times New Roman"/>
          <w:sz w:val="24"/>
        </w:rPr>
        <w:t>Kapoor, S. and Narayanan, A. (2023) 'Leakage and the reproducibility crisis in machine-learning-based science', *Patterns*, 4(9), 100804. doi:10.1016/j.patter.2023.100804</w:t>
      </w:r>
    </w:p>
    <w:p>
      <w:pPr>
        <w:spacing w:line="360" w:lineRule="auto" w:after="120"/>
      </w:pPr>
      <w:r>
        <w:rPr>
          <w:rFonts w:ascii="Times New Roman" w:hAnsi="Times New Roman"/>
          <w:sz w:val="24"/>
        </w:rPr>
        <w:t>Landis, J.R. and Koch, G.G. (1977) 'The measurement of observer agreement for categorical data', *Biometrics*, 33(1), pp. 159–174.</w:t>
      </w:r>
    </w:p>
    <w:p>
      <w:pPr>
        <w:spacing w:line="360" w:lineRule="auto" w:after="120"/>
      </w:pPr>
      <w:r>
        <w:rPr>
          <w:rFonts w:ascii="Times New Roman" w:hAnsi="Times New Roman"/>
          <w:sz w:val="24"/>
        </w:rPr>
        <w:t>Lessmann, S., Baesens, B., Seow, H.-V. and Thomas, L.C. (2015) 'Benchmarking state-of-the-art classification algorithms for credit scoring: An update of research', *European Journal of Operational Research*, 247(1), pp. 124–136.</w:t>
      </w:r>
    </w:p>
    <w:p>
      <w:pPr>
        <w:spacing w:line="360" w:lineRule="auto" w:after="120"/>
      </w:pPr>
      <w:r>
        <w:rPr>
          <w:rFonts w:ascii="Times New Roman" w:hAnsi="Times New Roman"/>
          <w:sz w:val="24"/>
        </w:rPr>
        <w:t>Li, M., Mickel, A. and Taylor, S. (2018) '"Should This Loan be Approved or Denied?": A Large Dataset with Class Assignment Guidelines', *Journal of Statistics Education*, 26(1), pp. 55–66. doi:10.1080/10691898.2018.1434342</w:t>
      </w:r>
    </w:p>
    <w:p>
      <w:pPr>
        <w:spacing w:line="360" w:lineRule="auto" w:after="120"/>
      </w:pPr>
      <w:r>
        <w:rPr>
          <w:rFonts w:ascii="Times New Roman" w:hAnsi="Times New Roman"/>
          <w:sz w:val="24"/>
        </w:rPr>
        <w:t>Lundberg, S.M. and Lee, S.-I. (2017) 'A Unified Approach to Interpreting Model Predictions', *Advances in Neural Information Processing Systems 30*, pp. 4765–4774.</w:t>
      </w:r>
    </w:p>
    <w:p>
      <w:pPr>
        <w:spacing w:line="360" w:lineRule="auto" w:after="120"/>
      </w:pPr>
      <w:r>
        <w:rPr>
          <w:rFonts w:ascii="Times New Roman" w:hAnsi="Times New Roman"/>
          <w:sz w:val="24"/>
        </w:rPr>
        <w:t>Ohlson, J.A. (1980) 'Financial Ratios and the Probabilistic Prediction of Bankruptcy', *Journal of Accounting Research*, 18(1), pp. 109–131.</w:t>
      </w:r>
    </w:p>
    <w:p>
      <w:pPr>
        <w:spacing w:line="360" w:lineRule="auto" w:after="120"/>
      </w:pPr>
      <w:r>
        <w:rPr>
          <w:rFonts w:ascii="Times New Roman" w:hAnsi="Times New Roman"/>
          <w:sz w:val="24"/>
        </w:rPr>
        <w:t>Peffers, K., Tuunanen, T., Rothenberger, M.A. and Chatterjee, S. (2007) 'A Design Science Research Methodology for Information Systems Research', *Journal of Management Information Systems*, 24(3), pp. 45–77.</w:t>
      </w:r>
    </w:p>
    <w:p>
      <w:pPr>
        <w:spacing w:line="360" w:lineRule="auto" w:after="120"/>
      </w:pPr>
      <w:r>
        <w:rPr>
          <w:rFonts w:ascii="Times New Roman" w:hAnsi="Times New Roman"/>
          <w:sz w:val="24"/>
        </w:rPr>
        <w:t>Rezaei, J. (2015) 'Best-worst multi-criteria decision-making method', *Omega*, 53, pp. 49–57. doi:10.1016/j.omega.2014.11.009</w:t>
      </w:r>
    </w:p>
    <w:p>
      <w:pPr>
        <w:spacing w:line="360" w:lineRule="auto" w:after="120"/>
      </w:pPr>
      <w:r>
        <w:rPr>
          <w:rFonts w:ascii="Times New Roman" w:hAnsi="Times New Roman"/>
          <w:sz w:val="24"/>
        </w:rPr>
        <w:t>Rezaei, J. (2016) 'Best-worst multi-criteria decision-making method: Some properties and a linear model', *Omega*, 64, pp. 126–130.</w:t>
      </w:r>
    </w:p>
    <w:p>
      <w:pPr>
        <w:spacing w:line="360" w:lineRule="auto" w:after="120"/>
      </w:pPr>
      <w:r>
        <w:rPr>
          <w:rFonts w:ascii="Times New Roman" w:hAnsi="Times New Roman"/>
          <w:sz w:val="24"/>
        </w:rPr>
        <w:t>Ribeiro, M.T., Singh, S. and Guestrin, C. (2016) '"Why Should I Trust You?": Explaining the Predictions of Any Classifier', *Proceedings of the 22nd ACM SIGKDD International Conference on Knowledge Discovery and Data Mining*, pp. 1135–1144.</w:t>
      </w:r>
    </w:p>
    <w:p>
      <w:pPr>
        <w:spacing w:line="360" w:lineRule="auto" w:after="120"/>
      </w:pPr>
      <w:r>
        <w:rPr>
          <w:rFonts w:ascii="Times New Roman" w:hAnsi="Times New Roman"/>
          <w:sz w:val="24"/>
        </w:rPr>
        <w:t>Roy, P.K. and Shaw, K. (2021) 'A multicriteria credit scoring model for SMEs using hybrid BWM and TOPSIS', *Financial Innovation*, 7(1). doi:10.1186/s40854-021-00295-5</w:t>
      </w:r>
    </w:p>
    <w:p>
      <w:pPr>
        <w:spacing w:line="360" w:lineRule="auto" w:after="120"/>
      </w:pPr>
      <w:r>
        <w:rPr>
          <w:rFonts w:ascii="Times New Roman" w:hAnsi="Times New Roman"/>
          <w:sz w:val="24"/>
        </w:rPr>
        <w:t>Saaty, T.L. (1980) *The Analytic Hierarchy Process*. New York: McGraw-Hill.</w:t>
      </w:r>
    </w:p>
    <w:p>
      <w:pPr>
        <w:spacing w:line="360" w:lineRule="auto" w:after="120"/>
      </w:pPr>
      <w:r>
        <w:rPr>
          <w:rFonts w:ascii="Times New Roman" w:hAnsi="Times New Roman"/>
          <w:sz w:val="24"/>
        </w:rPr>
        <w:t>Saaty, T.L. (1990) 'An exposition of the AHP in reply to the paper "Remarks on the Analytic Hierarchy Process"', *Management Science*, 36(3), pp. 259–268.</w:t>
      </w:r>
    </w:p>
    <w:p>
      <w:pPr>
        <w:spacing w:line="360" w:lineRule="auto" w:after="120"/>
      </w:pPr>
      <w:r>
        <w:rPr>
          <w:rFonts w:ascii="Times New Roman" w:hAnsi="Times New Roman"/>
          <w:sz w:val="24"/>
        </w:rPr>
        <w:t>SharafEldin, M.A., Idrees, A.M. and Ouf, S. (2025) 'A Proposed Framework for Loan Default Prediction Using Machine Learning Techniques', *International Journal of Advanced Computer Science and Applications*, 16(6), pp. 412–425.</w:t>
      </w:r>
    </w:p>
    <w:p>
      <w:pPr>
        <w:spacing w:line="360" w:lineRule="auto" w:after="120"/>
      </w:pPr>
      <w:r>
        <w:rPr>
          <w:rFonts w:ascii="Times New Roman" w:hAnsi="Times New Roman"/>
          <w:sz w:val="24"/>
        </w:rPr>
        <w:t>Stein, J.C. (2002) 'Information Production and Capital Allocation: Decentralized versus Hierarchical Firms', *Journal of Finance*, 57(5), pp. 1891–1921.</w:t>
      </w:r>
    </w:p>
    <w:p>
      <w:pPr>
        <w:spacing w:line="360" w:lineRule="auto" w:after="120"/>
      </w:pPr>
      <w:r>
        <w:rPr>
          <w:rFonts w:ascii="Times New Roman" w:hAnsi="Times New Roman"/>
          <w:sz w:val="24"/>
        </w:rPr>
        <w:t>Thomas, L.C., Crook, J.N. and Edelman, D.B. (1992) *Credit Scoring and Credit Control*. Oxford: Clarendon Press.</w:t>
      </w:r>
    </w:p>
    <w:p>
      <w:pPr>
        <w:spacing w:line="360" w:lineRule="auto" w:after="120"/>
      </w:pPr>
      <w:r>
        <w:rPr>
          <w:rFonts w:ascii="Times New Roman" w:hAnsi="Times New Roman"/>
          <w:sz w:val="24"/>
        </w:rPr>
        <w:t>Thomas, L.C., Edelman, D.B. and Crook, J.N. (2002) *Credit Scoring and its Applications*. Philadelphia: SIAM.</w:t>
      </w:r>
    </w:p>
    <w:p>
      <w:pPr>
        <w:spacing w:line="360" w:lineRule="auto" w:after="120"/>
      </w:pPr>
      <w:r>
        <w:rPr>
          <w:rFonts w:ascii="Times New Roman" w:hAnsi="Times New Roman"/>
          <w:sz w:val="24"/>
        </w:rPr>
        <w:t>Zadeh, L.A. (1965) 'Fuzzy sets', *Information and Control*, 8(3), pp. 338–353.</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Every criterion records the clause of the People's Bank *Project / Business Appraisal Report for SME Credit Facility*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Eight comparison levels: one comparing the six credit-risk dimensions, and one for the criteria within each of the seven dimensions. Under the Best-Worst Method each level of *n* items requires 2*n*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This exercise asks how much weight the different parts of an SME credit</w:t>
      </w:r>
    </w:p>
    <w:p>
      <w:pPr>
        <w:spacing w:line="360" w:lineRule="auto" w:after="120"/>
        <w:ind w:left="576"/>
      </w:pPr>
      <w:r>
        <w:rPr>
          <w:rFonts w:ascii="Times New Roman" w:hAnsi="Times New Roman"/>
          <w:sz w:val="24"/>
        </w:rPr>
        <w:t>appraisal should carry. It takes about 15 minutes and involves 86 quick</w:t>
      </w:r>
    </w:p>
    <w:p>
      <w:pPr>
        <w:spacing w:line="360" w:lineRule="auto" w:after="120"/>
        <w:ind w:left="576"/>
      </w:pPr>
      <w:r>
        <w:rPr>
          <w:rFonts w:ascii="Times New Roman" w:hAnsi="Times New Roman"/>
          <w:sz w:val="24"/>
        </w:rPr>
        <w:t>comparisons. There are no right answers — the study is measuring experienced</w:t>
      </w:r>
    </w:p>
    <w:p>
      <w:pPr>
        <w:spacing w:line="360" w:lineRule="auto" w:after="120"/>
        <w:ind w:left="576"/>
      </w:pPr>
      <w:r>
        <w:rPr>
          <w:rFonts w:ascii="Times New Roman" w:hAnsi="Times New Roman"/>
          <w:sz w:val="24"/>
        </w:rPr>
        <w:t>judgement, including where practitioners disagree.</w:t>
      </w:r>
    </w:p>
    <w:p>
      <w:pPr>
        <w:spacing w:line="360" w:lineRule="auto" w:after="120"/>
        <w:ind w:left="576"/>
      </w:pPr>
      <w:r>
        <w:rPr>
          <w:rFonts w:ascii="Times New Roman" w:hAnsi="Times New Roman"/>
          <w:sz w:val="24"/>
        </w:rPr>
        <w:t>Participation and confidentiality. Participation is voluntary and you may</w:t>
      </w:r>
    </w:p>
    <w:p>
      <w:pPr>
        <w:spacing w:line="360" w:lineRule="auto" w:after="120"/>
        <w:ind w:left="576"/>
      </w:pPr>
      <w:r>
        <w:rPr>
          <w:rFonts w:ascii="Times New Roman" w:hAnsi="Times New Roman"/>
          <w:sz w:val="24"/>
        </w:rPr>
        <w:t>stop at any point. Do not enter your name or any customer information.</w:t>
      </w:r>
    </w:p>
    <w:p>
      <w:pPr>
        <w:spacing w:line="360" w:lineRule="auto" w:after="120"/>
        <w:ind w:left="576"/>
      </w:pPr>
      <w:r>
        <w:rPr>
          <w:rFonts w:ascii="Times New Roman" w:hAnsi="Times New Roman"/>
          <w:sz w:val="24"/>
        </w:rPr>
        <w:t>Responses are identified only by the code you choose below, are used solely for</w:t>
      </w:r>
    </w:p>
    <w:p>
      <w:pPr>
        <w:spacing w:line="360" w:lineRule="auto" w:after="120"/>
        <w:ind w:left="576"/>
      </w:pPr>
      <w:r>
        <w:rPr>
          <w:rFonts w:ascii="Times New Roman" w:hAnsi="Times New Roman"/>
          <w:sz w:val="24"/>
        </w:rPr>
        <w:t>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