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account for the large majority of businesses in Sri Lanka and a substantial share of employment.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b/>
        </w:rPr>
        <w:t>larger where decisions carry more discretion and reviews are less automated</w:t>
      </w:r>
      <w:r>
        <w:t>, which is exactly the regime this form operates in.</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r>
        <w:t>These differ from the questions in the original research proposal. The literature review (§2.3.3) established that the contribution originally claimed — applying fuzzy multi-criteria methods to SME credit scoring — is already published. The questions were revised accordingly rather than restated in a form the literature no longer supports.</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r>
        <w:t>Contributions 1 and 2 are the substantial ones. Contributions 3 to 5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Elicitation results, discussion, limitations, conclusion</w:t>
            </w:r>
          </w:p>
        </w:tc>
      </w:tr>
    </w:tbl>
    <w:p/>
    <w:p>
      <w:r>
        <w:t>A note on presentation. This thesis reports several things that did not work: a claimed contribution withdrawn after the literature review, a scorecard that failed to discriminate, and a mechanism hypothesis tested and rejected.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Before</w:t>
      </w:r>
    </w:p>
    <w:p>
      <w:pPr>
        <w:ind w:left="504"/>
      </w:pPr>
      <w:r>
        <w:rPr>
          <w:i/>
          <w:sz w:val="20"/>
        </w:rPr>
        <w:t>submission, obtain and read each paper directly — do not cite from a summary.</w:t>
      </w:r>
    </w:p>
    <w:p>
      <w:pPr>
        <w:ind w:left="504"/>
      </w:pPr>
      <w:r>
        <w:rPr>
          <w:i/>
          <w:sz w:val="20"/>
        </w:rPr>
        <w:t>Where this chapter says a claim is "not found in the searched literature", that</w:t>
      </w:r>
    </w:p>
    <w:p>
      <w:pPr>
        <w:ind w:left="504"/>
      </w:pPr>
      <w:r>
        <w:rPr>
          <w:i/>
          <w:sz w:val="20"/>
        </w:rPr>
        <w:t>is a statement about a non-exhaustive search, not a claim of priority.</w:t>
      </w:r>
    </w:p>
    <w:p>
      <w:pPr>
        <w:pStyle w:val="Heading2"/>
      </w:pPr>
      <w:r>
        <w:t>2.1 Scope</w:t>
      </w:r>
    </w:p>
    <w:p>
      <w:r>
        <w:t>This review covers four bodies of work bearing on the research questions: credit scoring for SMEs; multi-criteria decision methods applied to credit; non-financial objectives in lending; and explainability requirements. It closes by stating what the present study adds — which, after examining the literature, is narrower than initially supposed.</w:t>
      </w:r>
    </w:p>
    <w:p>
      <w:pPr>
        <w:pStyle w:val="Heading2"/>
      </w:pPr>
      <w:r>
        <w:t>2.2 SME credit assessment</w:t>
      </w:r>
    </w:p>
    <w:p>
      <w:r>
        <w:t>Credit scoring has a long statistical lineage, from discriminant analysis through logistic regression to modern machine learning. For SMEs the problem is harder than for consumer credit: financial statements are often unaudited or absent, trading histories are short, and collateral is thin.</w:t>
      </w:r>
    </w:p>
    <w:p>
      <w:r>
        <w:t>In Sri Lanka specifically, access to finance is repeatedly identified as a principal constraint on SME growth. The supply-side barriers documented include absent formal records, lack of tangible collateral, non-submission of financial statements, and limited management capacity — with policy responses proposed around SME credit rating, credit guarantee schemes and SME-friendly banking practice (Institute of Policy Studies, Sri Lanka). This establishes the practical motivation for the present study but does not address the appraisal *process* itself, which is where this research is situated.</w:t>
      </w:r>
    </w:p>
    <w:p>
      <w:pPr>
        <w:pStyle w:val="Heading3"/>
      </w:pPr>
      <w:r>
        <w:t>2.2.1 Variability in human credit judgement</w:t>
      </w:r>
    </w:p>
    <w:p>
      <w:r>
        <w:t>This study is premised on manual appraisal being inconsistent. That premise should not rest on assertion, and it does not have to.</w:t>
      </w:r>
    </w:p>
    <w:p>
      <w:r>
        <w:t>Cortés, Duchin and Sosyura (2016) provide causal evidence. Using daily fluctuations in local sunshine as an instrument for sentiment, they show that the mood of lower-level financial officers affects day-to-day credit decisions: positive sentiment raises approval rates, negative sentiment lowers them by a larger magnitude, and the variation affects subsequent financial performance and produces real effects. Officers are, measurably, influenced by something with no bearing whatever on the borrower.</w:t>
      </w:r>
    </w:p>
    <w:p>
      <w:r>
        <w:t xml:space="preserve">Two features of their result matter directly here. The effects are </w:t>
      </w:r>
      <w:r>
        <w:rPr>
          <w:b/>
        </w:rPr>
        <w:t>stronger when decisions require more discretion and when reviews are less automated</w:t>
      </w:r>
      <w:r>
        <w:t xml:space="preserve"> — which describes the People's Bank instrument precisely, since clause 7 asks for a viability judgement with no stated procedure for reaching it. And the mechanism is not incompetence but ordinary human variability, which is why the response pursued in this study is to structure the judgement rather than to remove the officer.</w:t>
      </w:r>
    </w:p>
    <w:p>
      <w:r>
        <w:t>Related work reaches similar conclusions from other directions: studies of discretion in loan rate setting, and of loan officers' subjective judgement in microfinance, where risk classification rests on recollected professional experience rather than an explicit model.</w:t>
      </w:r>
    </w:p>
    <w:p>
      <w:r>
        <w:t>The premise is therefore supported by the literature even though this study does not itself measure inter-rater reliability. That omission remains the most significant gap in the present work (§6.4), and Cortés et al. indicate what a well-designed measurement would look for.</w:t>
      </w:r>
    </w:p>
    <w:p>
      <w:pPr>
        <w:pStyle w:val="Heading2"/>
      </w:pPr>
      <w:r>
        <w:t>2.3 Multi-criteria decision methods in credit evaluation</w:t>
      </w:r>
    </w:p>
    <w:p>
      <w:pPr>
        <w:pStyle w:val="Heading3"/>
      </w:pPr>
      <w:r>
        <w:t>2.3.1 Fuzzy MCDM for credit scoring</w:t>
      </w:r>
    </w:p>
    <w:p>
      <w:r>
        <w:t>Where credit judgement is linguistic and imprecise, fuzzy set theory offers a representation that discards less information than forcing a crisp number. Fuzzy AHP has been applied to generate criteria weights in credit scoring decision-support systems, with fuzzy linguistic variables used explicitly to capture the vagueness arising from human subjectivity. More recent work combines fuzzy AHP with neural approaches for SME credit risk assessment, identifying financial status and development planning as dominant risk themes.</w:t>
      </w:r>
    </w:p>
    <w:p>
      <w:pPr>
        <w:pStyle w:val="Heading3"/>
      </w:pPr>
      <w:r>
        <w:t>2.3.2 Best-Worst Method</w:t>
      </w:r>
    </w:p>
    <w:p>
      <w:r>
        <w:t>The Best-Worst Method (Rezaei, 2015) determines criteria weights from two comparison vectors: the best criterion against all others, and all others against the worst. It requires 2n−3 comparisons rather than AHP's n(n−1)/2, and the anchoring of every comparison to a fixed reference tends to produce more consistent responses. Rezaei (2016) subsequently gave a linear formulation with a unique solution, which is the form used in this study.</w:t>
      </w:r>
    </w:p>
    <w:p>
      <w:pPr>
        <w:pStyle w:val="Heading3"/>
      </w:pPr>
      <w:r>
        <w:t>2.3.3 Prior work closest to this study</w:t>
      </w:r>
    </w:p>
    <w:p>
      <w:r>
        <w:rPr>
          <w:b/>
        </w:rPr>
        <w:t>Roy and Shaw (2021) is the nearest precedent and must be acknowledged plainly.</w:t>
      </w:r>
      <w:r>
        <w:t xml:space="preserve"> They construct a multicriteria credit scoring model for SMEs using exactly the hybrid this study's methodology chapter proposes: BWM to determine criteria weights, combined with a ranking method (TOPSIS) to score applicants. They report credit history, cash liquidity and repayment period as the dominant criteria.</w:t>
      </w:r>
    </w:p>
    <w:p>
      <w:r>
        <w:t xml:space="preserve">The implication is direct: </w:t>
      </w:r>
      <w:r>
        <w:rPr>
          <w:b/>
        </w:rPr>
        <w:t>applying BWM to SME credit scoring is not novel.</w:t>
      </w:r>
      <w:r>
        <w:t xml:space="preserve"> An earlier draft of this research treated the fuzzy-MCDM combination as its methodological contribution. The literature does not support that claim, and it is withdrawn. Related work extends the same family further — fuzzy BWM with fuzzy TOPSIS for sustainable credit scoring, and fuzzy-BWM with TOPSIS-Sort-C for credit rating — confirming that the method space is well populated.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2.4 Non-financial objectives in lending</w:t>
      </w:r>
    </w:p>
    <w:p>
      <w:pPr>
        <w:pStyle w:val="Heading3"/>
      </w:pPr>
      <w:r>
        <w:t>2.4.1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is close to the present study's second objective, and again narrows the novelty claim: </w:t>
      </w:r>
      <w:r>
        <w:rPr>
          <w:b/>
        </w:rPr>
        <w:t>scoring social impact alongside credit risk has been done.</w:t>
      </w:r>
      <w:r>
        <w:t xml:space="preserve"> The difference here is one of institutional grounding — the development criteria in this study are not selected by the researcher from a development framework, but taken from clause 5 of an instrument a state bank already uses in production.</w:t>
      </w:r>
    </w:p>
    <w:p>
      <w:pPr>
        <w:pStyle w:val="Heading3"/>
      </w:pPr>
      <w:r>
        <w:t>2.4.2 Development returns and credit risk in development banking</w:t>
      </w:r>
    </w:p>
    <w:p>
      <w:r>
        <w:t>Arvanitis, Stampini and Vencatachellum (2015) examine ex-ante appraisal at the African Development Bank and report a result of direct consequence for this study:</w:t>
      </w:r>
    </w:p>
    <w:p>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taken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 The present study's refusal to merge the two objectives is therefore not merely a presentational preference but is supported by prior empirical evidence.</w:t>
      </w:r>
    </w:p>
    <w:p>
      <w:pPr>
        <w:pStyle w:val="Heading2"/>
      </w:pPr>
      <w:r>
        <w:t>2.5 Explainability and its regulatory basis</w:t>
      </w:r>
    </w:p>
    <w:p>
      <w:r>
        <w:t>Explainability in credit is a legal requirement, not a design preference. Under the U.S. Equal Credit Opportunity Act and Regulation B, creditors must state the specific principal reasons for adverse action; regulatory guidance has held that a creditor cannot excuse non-compliance on the grounds that its technology is too complex to interpret, nor satisfy the requirement by citing broad categories. Credit scoring is designated high-risk under the EU AI Act.</w:t>
      </w:r>
    </w:p>
    <w:p>
      <w:r>
        <w:t>Two consequences follow for this study. First, a scoring model intended for adoption inside a bank must decompose its output into per-criterion contributions — which is why the engine reports contributions summing exactly to the parent score. Second, an interpretable model that loses some discrimination relative to an opaque one may still be the only deployable option, which reframes the comparison in Chapter 5: the question is not merely which model scores highest.</w:t>
      </w:r>
    </w:p>
    <w:p>
      <w:pPr>
        <w:pStyle w:val="Heading2"/>
      </w:pPr>
      <w:r>
        <w:t>2.6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discusses feature importance in this dataset, and notes </w:t>
      </w:r>
      <w:r>
        <w:rPr>
          <w:rFonts w:ascii="Consolas" w:hAnsi="Consolas"/>
          <w:sz w:val="19"/>
        </w:rPr>
        <w:t>Term</w:t>
      </w:r>
      <w:r>
        <w:t>, disbursement and approval amounts as significant predictors of default. General treatments of leakage in credit modelling identify interest rate, issue date and outstanding principal as fields to remove.</w:t>
      </w:r>
    </w:p>
    <w:p>
      <w:r>
        <w:t xml:space="preserve">Leakage of this kind is a recognised and widespread problem in ML-based science rather than an isolated curiosity. Kapoor and Narayanan (2023) surveyed literature across seventeen fields and found leakage affecting </w:t>
      </w:r>
      <w:r>
        <w:rPr>
          <w:b/>
        </w:rPr>
        <w:t>294 papers</w:t>
      </w:r>
      <w:r>
        <w:t>, in some cases producing wildly overoptimistic conclusions, and set out a taxonomy of eight leakage types. Their central observation — that leakage is the single largest cause of irreproducibility in ML-based science — is the frame within which Chapter 5's finding should be read: not as a defect peculiar to one dataset, but as an instance of a documented, recurring failure.</w:t>
      </w:r>
    </w:p>
    <w:p>
      <w:r>
        <w:rPr>
          <w:b/>
        </w:rPr>
        <w:t>No located source reports that the `Term`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2.7 Research gap</w:t>
      </w:r>
    </w:p>
    <w:p>
      <w:r>
        <w:t xml:space="preserve">Consolidating the above, the following are </w:t>
      </w:r>
      <w:r>
        <w:rPr>
          <w:b/>
        </w:rPr>
        <w:t>not</w:t>
      </w:r>
      <w:r>
        <w:t xml:space="preserve"> contributions of this study, contrary to the initial proposal:</w:t>
      </w:r>
    </w:p>
    <w:p>
      <w:pPr>
        <w:pStyle w:val="ListBullet"/>
      </w:pPr>
      <w:r>
        <w:t>applying BWM or fuzzy MCDM to SME credit scoring (Roy and Shaw, 2021);</w:t>
      </w:r>
    </w:p>
    <w:p>
      <w:pPr>
        <w:pStyle w:val="ListBullet"/>
      </w:pPr>
      <w:r>
        <w:t>scoring social or developmental impact alongside credit risk</w:t>
      </w:r>
    </w:p>
    <w:p>
      <w:r>
        <w:t>(Gutiérrez-Nieto et al., 2016);</w:t>
      </w:r>
    </w:p>
    <w:p>
      <w:pPr>
        <w:pStyle w:val="ListBullet"/>
      </w:pPr>
      <w:r>
        <w:t>observing that development banks appraise against two objectives</w:t>
      </w:r>
    </w:p>
    <w:p>
      <w:r>
        <w:t>(Arvanitis et al., 2015).</w:t>
      </w:r>
    </w:p>
    <w:p>
      <w:r>
        <w:t>What the literature leaves open, and what this study addresses:</w:t>
      </w:r>
    </w:p>
    <w:p>
      <w:pPr>
        <w:pStyle w:val="ListNumber"/>
      </w:pPr>
      <w:r>
        <w:rPr>
          <w:b/>
        </w:rPr>
        <w:t>Formalising a specific operational instrument.</w:t>
      </w:r>
      <w:r>
        <w:t xml:space="preserve"> Existing models select</w:t>
      </w:r>
    </w:p>
    <w:p>
      <w:r>
        <w:t>criteria from theory or from the researcher's judgement. None located takes a named state bank's production appraisal form and derives a computable model from it clause by clause, with full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which is documented as finance-constrained</w:t>
      </w:r>
    </w:p>
    <w:p>
      <w:r>
        <w:t>but not studied at the level of appraisal process.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w:t>
      </w:r>
    </w:p>
    <w:p>
      <w:r>
        <w:t>Contribution 4 is the most substantial and the most transferable. Contributions 1 to 3 are real but incremental, and are stated as such.</w:t>
      </w:r>
    </w:p>
    <w:p/>
    <w:p>
      <w:pPr>
        <w:pStyle w:val="Heading2"/>
      </w:pPr>
      <w:r>
        <w:t>References</w:t>
      </w:r>
    </w:p>
    <w:p>
      <w:r>
        <w:t>Cortés, K.R., Duchin, R. and Sosyura, D. (2016) 'Clouded judgment: The role of sentiment in credit origination', *Journal of Financial Economics*, 121(2), pp. 392–413.</w:t>
      </w:r>
    </w:p>
    <w:p>
      <w:r>
        <w:t>Kapoor, S. and Narayanan, A. (2023) 'Leakage and the reproducibility crisis in machine-learning-based science', *Patterns*, 4(9), 100804. doi:10.1016/j.patter.2023.100804.</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Gutiérrez-Nieto, B., Serrano-Cinca, C. and Camón-Cala, J. (2016) 'A Credit Score System for Socially Responsible Lending', *Journal of Business Ethics*, 133(4), pp. 691–701. doi:10.1007/s10551-014-2448-5.</w:t>
      </w:r>
    </w:p>
    <w:p>
      <w:r>
        <w:t>Li, M., Mickel, A. and Taylor, S. (2018) '"Should This Loan be Approved or Denied?": A Large Dataset with Class Assignment Guidelines', *Journal of Statistics Education*, 26(1), pp. 55–66. doi:10.1080/10691898.2018.1434342.</w:t>
      </w:r>
    </w:p>
    <w:p>
      <w:r>
        <w:t>Rezaei, J. (2015) 'Best-worst multi-criteria decision-making method', *Omega*, 53, pp. 49–57. doi:10.1016/j.omega.2014.11.009.</w:t>
      </w:r>
    </w:p>
    <w:p>
      <w:r>
        <w:t>Rezaei, J. (2016) 'Best-worst multi-criteria decision-making method: Some properties and a linear model', *Omega*, 64, pp. 126–130.</w:t>
      </w:r>
    </w:p>
    <w:p>
      <w:r>
        <w:t>Roy, P.K. and Shaw, K. (2021) 'A multicriteria credit scoring model for SMEs using hybrid BWM and TOPSIS', *Financial Innovation*, 7(1). doi:10.1186/s40854-021-00295-5.</w:t>
      </w:r>
    </w:p>
    <w:p>
      <w:r>
        <w:rPr>
          <w:b/>
        </w:rPr>
        <w:t>To be completed before submission</w:t>
      </w:r>
      <w:r>
        <w:t xml:space="preserve"> — the following were located but require retrieval and full bibliographic capture:</w:t>
      </w:r>
    </w:p>
    <w:p>
      <w:pPr>
        <w:pStyle w:val="ListBullet"/>
      </w:pPr>
      <w:r>
        <w:t>Fuzzy decision support system for credit scoring, *Neural Computing and</w:t>
      </w:r>
    </w:p>
    <w:p>
      <w:r>
        <w:t>Applications* (Springer), doi:10.1007/s00521-016-2592-1</w:t>
      </w:r>
    </w:p>
    <w:p>
      <w:pPr>
        <w:pStyle w:val="ListBullet"/>
      </w:pPr>
      <w:r>
        <w:t>Integrated fuzzy credit rating model using fuzzy-BWM and fuzzy-TOPSIS-Sort-C,</w:t>
      </w:r>
    </w:p>
    <w:p>
      <w:r>
        <w:t>*Complex &amp; Intelligent Systems*, doi:10.1007/s40747-022-00823-5</w:t>
      </w:r>
    </w:p>
    <w:p>
      <w:pPr>
        <w:pStyle w:val="ListBullet"/>
      </w:pPr>
      <w:r>
        <w:t>Multi-criteria sustainable credit score system using fuzzy BWM and fuzzy TOPSIS,</w:t>
      </w:r>
    </w:p>
    <w:p>
      <w:r>
        <w:t>*Environment, Development and Sustainability*, doi:10.1007/s10668-021-01662-z</w:t>
      </w:r>
    </w:p>
    <w:p>
      <w:pPr>
        <w:pStyle w:val="ListBullet"/>
      </w:pPr>
      <w:r>
        <w:t>Knowledge-informed neural network integrating fuzzy AHP and PCA for SME credit</w:t>
      </w:r>
    </w:p>
    <w:p>
      <w:r>
        <w:t>risk assessment, *Scientific Reports* (2025), doi:10.1038/s41598-025-21441-4</w:t>
      </w:r>
    </w:p>
    <w:p>
      <w:pPr>
        <w:pStyle w:val="ListBullet"/>
      </w:pPr>
      <w:r>
        <w:t>Institute of Policy Studies Sri Lanka, *Banking on SME Growth: Concepts,</w:t>
      </w:r>
    </w:p>
    <w:p>
      <w:r>
        <w:t>Challenges and Policy Options to Improve Access to Finance in Sri Lanka*</w:t>
      </w:r>
    </w:p>
    <w:p>
      <w:pPr>
        <w:pStyle w:val="ListBullet"/>
      </w:pPr>
      <w:r>
        <w:t>Central Bank of Sri Lanka, *Annual Report* — for national SME credit statistics</w:t>
      </w:r>
    </w:p>
    <w:p>
      <w:pPr>
        <w:pStyle w:val="ListBullet"/>
      </w:pPr>
      <w:r>
        <w:t>World Bank Enterprise Surveys — Sri Lanka firm-level access-to-finance data</w:t>
      </w:r>
    </w:p>
    <w:p>
      <w:r>
        <w:br w:type="page"/>
      </w:r>
    </w:p>
    <w:p>
      <w:pPr>
        <w:pStyle w:val="Heading1"/>
      </w:pPr>
      <w:r>
        <w:t>Chapter 3 — Methodology</w:t>
      </w:r>
    </w:p>
    <w:p>
      <w:pPr>
        <w:pStyle w:val="Heading2"/>
      </w:pPr>
      <w:r>
        <w:t>3.1 Research design</w:t>
      </w:r>
    </w:p>
    <w:p>
      <w:r>
        <w:t xml:space="preserve">This study follows </w:t>
      </w:r>
      <w:r>
        <w:rPr>
          <w:b/>
        </w:rPr>
        <w:t>Design Science Research</w:t>
      </w:r>
      <w:r>
        <w:t>: knowledge is produced by building an artefact and evaluating it.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w:t>
            </w:r>
          </w:p>
        </w:tc>
      </w:tr>
      <w:tr>
        <w:tc>
          <w:tcPr>
            <w:tcW w:type="dxa" w:w="2160"/>
          </w:tcPr>
          <w:p>
            <w:r>
              <w:rPr>
                <w:sz w:val="18"/>
              </w:rPr>
              <w:t>Weight elicitation</w:t>
            </w:r>
          </w:p>
        </w:tc>
        <w:tc>
          <w:tcPr>
            <w:tcW w:type="dxa" w:w="2160"/>
          </w:tcPr>
          <w:p>
            <w:r>
              <w:rPr>
                <w:sz w:val="18"/>
              </w:rPr>
              <w:t>RQ2</w:t>
            </w:r>
          </w:p>
        </w:tc>
        <w:tc>
          <w:tcPr>
            <w:tcW w:type="dxa" w:w="2160"/>
          </w:tcPr>
          <w:p>
            <w:r>
              <w:rPr>
                <w:sz w:val="18"/>
              </w:rPr>
              <w:t>Best-Worst Method with practitioners</w:t>
            </w:r>
          </w:p>
        </w:tc>
        <w:tc>
          <w:tcPr>
            <w:tcW w:type="dxa" w:w="2160"/>
          </w:tcPr>
          <w:p>
            <w:r>
              <w:rPr>
                <w:sz w:val="18"/>
              </w:rPr>
              <w:t>Weights + consistency ratios</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w:t>
            </w:r>
          </w:p>
        </w:tc>
        <w:tc>
          <w:tcPr>
            <w:tcW w:type="dxa" w:w="2160"/>
          </w:tcPr>
          <w:p>
            <w:r>
              <w:rPr>
                <w:sz w:val="18"/>
              </w:rPr>
              <w:t>Chapter 5</w:t>
            </w:r>
          </w:p>
        </w:tc>
      </w:tr>
      <w:tr>
        <w:tc>
          <w:tcPr>
            <w:tcW w:type="dxa" w:w="2160"/>
          </w:tcPr>
          <w:p>
            <w:r>
              <w:rPr>
                <w:sz w:val="18"/>
              </w:rPr>
              <w:t>Objective comparison</w:t>
            </w:r>
          </w:p>
        </w:tc>
        <w:tc>
          <w:tcPr>
            <w:tcW w:type="dxa" w:w="2160"/>
          </w:tcPr>
          <w:p>
            <w:r>
              <w:rPr>
                <w:sz w:val="18"/>
              </w:rPr>
              <w:t>RQ4</w:t>
            </w:r>
          </w:p>
        </w:tc>
        <w:tc>
          <w:tcPr>
            <w:tcW w:type="dxa" w:w="2160"/>
          </w:tcPr>
          <w:p>
            <w:r>
              <w:rPr>
                <w:sz w:val="18"/>
              </w:rPr>
              <w:t>Dual-objective scoring of the same applications</w:t>
            </w:r>
          </w:p>
        </w:tc>
        <w:tc>
          <w:tcPr>
            <w:tcW w:type="dxa" w:w="2160"/>
          </w:tcPr>
          <w:p>
            <w:r>
              <w:rPr>
                <w:sz w:val="18"/>
              </w:rPr>
              <w:t>Chapters 4–6</w:t>
            </w:r>
          </w:p>
        </w:tc>
      </w:tr>
    </w:tbl>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 and</w:t>
      </w:r>
    </w:p>
    <w:p>
      <w:pPr>
        <w:ind w:left="504"/>
      </w:pPr>
      <w:r>
        <w:rPr>
          <w:i/>
          <w:sz w:val="20"/>
        </w:rPr>
        <w:t>benchmark.py in that order regenerates all of it. No value has been entered by</w:t>
      </w:r>
    </w:p>
    <w:p>
      <w:pPr>
        <w:ind w:left="504"/>
      </w:pPr>
      <w:r>
        <w:rPr>
          <w:i/>
          <w:sz w:val="20"/>
        </w:rPr>
        <w:t>hand.</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w:t>
            </w:r>
          </w:p>
        </w:tc>
        <w:tc>
          <w:tcPr>
            <w:tcW w:type="dxa" w:w="2160"/>
          </w:tcPr>
          <w:p>
            <w:r>
              <w:rPr>
                <w:b/>
                <w:sz w:val="18"/>
              </w:rPr>
              <w:t>Temporal AUC</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w:t>
            </w:r>
          </w:p>
        </w:tc>
        <w:tc>
          <w:tcPr>
            <w:tcW w:type="dxa" w:w="2160"/>
          </w:tcPr>
          <w:p>
            <w:r>
              <w:rPr>
                <w:sz w:val="18"/>
              </w:rPr>
              <w:t>0.5275</w:t>
            </w:r>
          </w:p>
        </w:tc>
      </w:tr>
      <w:tr>
        <w:tc>
          <w:tcPr>
            <w:tcW w:type="dxa" w:w="2160"/>
          </w:tcPr>
          <w:p>
            <w:r>
              <w:rPr>
                <w:sz w:val="18"/>
              </w:rPr>
              <w:t>Logistic regression</w:t>
            </w:r>
          </w:p>
        </w:tc>
        <w:tc>
          <w:tcPr>
            <w:tcW w:type="dxa" w:w="2160"/>
          </w:tcPr>
          <w:p>
            <w:r>
              <w:rPr>
                <w:sz w:val="18"/>
              </w:rPr>
              <w:t>yes</w:t>
            </w:r>
          </w:p>
        </w:tc>
        <w:tc>
          <w:tcPr>
            <w:tcW w:type="dxa" w:w="2160"/>
          </w:tcPr>
          <w:p>
            <w:r>
              <w:rPr>
                <w:sz w:val="18"/>
              </w:rPr>
              <w:t>0.6745</w:t>
            </w:r>
          </w:p>
        </w:tc>
        <w:tc>
          <w:tcPr>
            <w:tcW w:type="dxa" w:w="2160"/>
          </w:tcPr>
          <w:p>
            <w:r>
              <w:rPr>
                <w:sz w:val="18"/>
              </w:rPr>
              <w:t>0.4565</w:t>
            </w:r>
          </w:p>
        </w:tc>
      </w:tr>
      <w:tr>
        <w:tc>
          <w:tcPr>
            <w:tcW w:type="dxa" w:w="2160"/>
          </w:tcPr>
          <w:p>
            <w:r>
              <w:rPr>
                <w:sz w:val="18"/>
              </w:rPr>
              <w:t>Gradient boosting</w:t>
            </w:r>
          </w:p>
        </w:tc>
        <w:tc>
          <w:tcPr>
            <w:tcW w:type="dxa" w:w="2160"/>
          </w:tcPr>
          <w:p>
            <w:r>
              <w:rPr>
                <w:sz w:val="18"/>
              </w:rPr>
              <w:t>yes</w:t>
            </w:r>
          </w:p>
        </w:tc>
        <w:tc>
          <w:tcPr>
            <w:tcW w:type="dxa" w:w="2160"/>
          </w:tcPr>
          <w:p>
            <w:r>
              <w:rPr>
                <w:sz w:val="18"/>
              </w:rPr>
              <w:t>0.7898</w:t>
            </w:r>
          </w:p>
        </w:tc>
        <w:tc>
          <w:tcPr>
            <w:tcW w:type="dxa" w:w="2160"/>
          </w:tcPr>
          <w:p>
            <w:r>
              <w:rPr>
                <w:sz w:val="18"/>
              </w:rPr>
              <w:t>0.6076</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w:t>
            </w:r>
          </w:p>
        </w:tc>
        <w:tc>
          <w:tcPr>
            <w:tcW w:type="dxa" w:w="2160"/>
          </w:tcPr>
          <w:p>
            <w:r>
              <w:rPr>
                <w:sz w:val="18"/>
              </w:rPr>
              <w:t>0.7854</w:t>
            </w:r>
          </w:p>
        </w:tc>
      </w:tr>
      <w:tr>
        <w:tc>
          <w:tcPr>
            <w:tcW w:type="dxa" w:w="2160"/>
          </w:tcPr>
          <w:p>
            <w:r>
              <w:rPr>
                <w:sz w:val="18"/>
              </w:rPr>
              <w:t>Gradient boosting</w:t>
            </w:r>
          </w:p>
        </w:tc>
        <w:tc>
          <w:tcPr>
            <w:tcW w:type="dxa" w:w="2160"/>
          </w:tcPr>
          <w:p>
            <w:r>
              <w:rPr>
                <w:sz w:val="18"/>
              </w:rPr>
              <w:t>yes</w:t>
            </w:r>
          </w:p>
        </w:tc>
        <w:tc>
          <w:tcPr>
            <w:tcW w:type="dxa" w:w="2160"/>
          </w:tcPr>
          <w:p>
            <w:r>
              <w:rPr>
                <w:sz w:val="18"/>
              </w:rPr>
              <w:t>0.9726</w:t>
            </w:r>
          </w:p>
        </w:tc>
        <w:tc>
          <w:tcPr>
            <w:tcW w:type="dxa" w:w="2160"/>
          </w:tcPr>
          <w:p>
            <w:r>
              <w:rPr>
                <w:sz w:val="18"/>
              </w:rPr>
              <w:t>0.9461</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They therefore test structure, not the elicited model.</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Elicitation Results, Discussion and Conclusion</w:t>
      </w:r>
    </w:p>
    <w:p>
      <w:pPr>
        <w:ind w:left="504"/>
      </w:pPr>
      <w:r>
        <w:rPr>
          <w:i/>
          <w:sz w:val="20"/>
        </w:rPr>
        <w:t>STATUS: §6.1 AND §6.2 AWAIT DATA.</w:t>
      </w:r>
    </w:p>
    <w:p>
      <w:pPr>
        <w:ind w:left="504"/>
      </w:pPr>
      <w:r>
        <w:rPr>
          <w:i/>
          <w:sz w:val="20"/>
        </w:rPr>
        <w:t>The elicitation instrument, solver and analysis pipeline are complete and</w:t>
      </w:r>
    </w:p>
    <w:p>
      <w:pPr>
        <w:ind w:left="504"/>
      </w:pPr>
      <w:r>
        <w:rPr>
          <w:i/>
          <w:sz w:val="20"/>
        </w:rPr>
        <w:t>verified. No practitioner responses have yet been collected, so the criteria</w:t>
      </w:r>
    </w:p>
    <w:p>
      <w:pPr>
        <w:ind w:left="504"/>
      </w:pPr>
      <w:r>
        <w:rPr>
          <w:i/>
          <w:sz w:val="20"/>
        </w:rPr>
        <w:t>model still carries weightStatus: PLACEHOLDER.</w:t>
      </w:r>
    </w:p>
    <w:p>
      <w:pPr>
        <w:ind w:left="504"/>
      </w:pPr>
      <w:r>
        <w:rPr>
          <w:i/>
          <w:sz w:val="20"/>
        </w:rPr>
        <w:t>The section headings, table structures and analysis procedure below are fixed</w:t>
      </w:r>
    </w:p>
    <w:p>
      <w:pPr>
        <w:ind w:left="504"/>
      </w:pPr>
      <w:r>
        <w:rPr>
          <w:i/>
          <w:sz w:val="20"/>
        </w:rPr>
        <w:t>in advance — deliberately, so that the reporting format is committed to before</w:t>
      </w:r>
    </w:p>
    <w:p>
      <w:pPr>
        <w:ind w:left="504"/>
      </w:pPr>
      <w:r>
        <w:rPr>
          <w:i/>
          <w:sz w:val="20"/>
        </w:rPr>
        <w:t>the data exists and cannot be shaped to flatter whatever arrives. **No number</w:t>
      </w:r>
    </w:p>
    <w:p>
      <w:pPr>
        <w:ind w:left="504"/>
      </w:pPr>
      <w:r>
        <w:rPr>
          <w:i/>
          <w:sz w:val="20"/>
        </w:rPr>
        <w:t>may be entered into these tables by hand.** They are produced by</w:t>
      </w:r>
    </w:p>
    <w:p>
      <w:pPr>
        <w:ind w:left="504"/>
      </w:pPr>
      <w:r>
        <w:rPr>
          <w:i/>
          <w:sz w:val="20"/>
        </w:rPr>
        <w:t>research/src/derive_weights.py, which refuses to write weights when there are</w:t>
      </w:r>
    </w:p>
    <w:p>
      <w:pPr>
        <w:ind w:left="504"/>
      </w:pPr>
      <w:r>
        <w:rPr>
          <w:i/>
          <w:sz w:val="20"/>
        </w:rPr>
        <w:t>no usable responses.</w:t>
      </w:r>
    </w:p>
    <w:p>
      <w:pPr>
        <w:ind w:left="504"/>
      </w:pPr>
      <w:r>
        <w:rPr>
          <w:i/>
          <w:sz w:val="20"/>
        </w:rPr>
        <w:t>If no responses are obtained before submission, §6.1–6.2 must state that</w:t>
      </w:r>
    </w:p>
    <w:p>
      <w:pPr>
        <w:ind w:left="504"/>
      </w:pPr>
      <w:r>
        <w:rPr>
          <w:i/>
          <w:sz w:val="20"/>
        </w:rPr>
        <w:t>plainly, RQ2 must be reported as unanswered, and every scored result in the</w:t>
      </w:r>
    </w:p>
    <w:p>
      <w:pPr>
        <w:ind w:left="504"/>
      </w:pPr>
      <w:r>
        <w:rPr>
          <w:i/>
          <w:sz w:val="20"/>
        </w:rPr>
        <w:t>thesis must remain labelled as computed under placeholder weights. Reporting</w:t>
      </w:r>
    </w:p>
    <w:p>
      <w:pPr>
        <w:ind w:left="504"/>
      </w:pPr>
      <w:r>
        <w:rPr>
          <w:i/>
          <w:sz w:val="20"/>
        </w:rPr>
        <w:t>equal weights as though they were elicited would be a fabrication.</w:t>
      </w:r>
    </w:p>
    <w:p>
      <w:pPr>
        <w:pStyle w:val="Heading2"/>
      </w:pPr>
      <w:r>
        <w:t>6.1 Elicitation results (RQ2)</w:t>
      </w:r>
    </w:p>
    <w:p>
      <w:pPr>
        <w:pStyle w:val="Heading3"/>
      </w:pPr>
      <w:r>
        <w:t>6.1.1 Respondents</w:t>
      </w:r>
    </w:p>
    <w:p>
      <w:r>
        <w:t>*To be completed.* Report: number of respondents, years of experience (range and median), institution types and roles. Report the number approached and the number who completed, not only the completions.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Practitioners approached</w:t>
            </w:r>
          </w:p>
        </w:tc>
        <w:tc>
          <w:tcPr>
            <w:tcW w:type="dxa" w:w="4320"/>
          </w:tcPr>
          <w:p>
            <w:r>
              <w:rPr>
                <w:b/>
                <w:sz w:val="18"/>
              </w:rPr>
              <w:t>pending</w:t>
            </w:r>
          </w:p>
        </w:tc>
      </w:tr>
      <w:tr>
        <w:tc>
          <w:tcPr>
            <w:tcW w:type="dxa" w:w="4320"/>
          </w:tcPr>
          <w:p>
            <w:r>
              <w:rPr>
                <w:sz w:val="18"/>
              </w:rPr>
              <w:t>Completed all eight sections</w:t>
            </w:r>
          </w:p>
        </w:tc>
        <w:tc>
          <w:tcPr>
            <w:tcW w:type="dxa" w:w="4320"/>
          </w:tcPr>
          <w:p>
            <w:r>
              <w:rPr>
                <w:sz w:val="18"/>
              </w:rPr>
              <w:t>pending</w:t>
            </w:r>
          </w:p>
        </w:tc>
      </w:tr>
      <w:tr>
        <w:tc>
          <w:tcPr>
            <w:tcW w:type="dxa" w:w="4320"/>
          </w:tcPr>
          <w:p>
            <w:r>
              <w:rPr>
                <w:sz w:val="18"/>
              </w:rPr>
              <w:t>Partial completions</w:t>
            </w:r>
          </w:p>
        </w:tc>
        <w:tc>
          <w:tcPr>
            <w:tcW w:type="dxa" w:w="4320"/>
          </w:tcPr>
          <w:p>
            <w:r>
              <w:rPr>
                <w:sz w:val="18"/>
              </w:rPr>
              <w:t>pending</w:t>
            </w:r>
          </w:p>
        </w:tc>
      </w:tr>
      <w:tr>
        <w:tc>
          <w:tcPr>
            <w:tcW w:type="dxa" w:w="4320"/>
          </w:tcPr>
          <w:p>
            <w:r>
              <w:rPr>
                <w:sz w:val="18"/>
              </w:rPr>
              <w:t>Median years of experience</w:t>
            </w:r>
          </w:p>
        </w:tc>
        <w:tc>
          <w:tcPr>
            <w:tcW w:type="dxa" w:w="4320"/>
          </w:tcPr>
          <w:p>
            <w:r>
              <w:rPr>
                <w:sz w:val="18"/>
              </w:rPr>
              <w:t>pending</w:t>
            </w:r>
          </w:p>
        </w:tc>
      </w:tr>
    </w:tbl>
    <w:p/>
    <w:p>
      <w:pPr>
        <w:pStyle w:val="Heading3"/>
      </w:pPr>
      <w:r>
        <w:t>6.1.2 Consistency</w:t>
      </w:r>
    </w:p>
    <w:p>
      <w:r>
        <w:t>Each response is solved as a linear programme; the optimal deviation ξ\* divided by the consistency index for the stated best-to-worst value gives the consistency ratio. Responses with CR &gt; 0.25 are excluded from aggregation, and the number excluded is reported here regardless of how it reflects on the study.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Section</w:t>
            </w:r>
          </w:p>
        </w:tc>
        <w:tc>
          <w:tcPr>
            <w:tcW w:type="dxa" w:w="2160"/>
          </w:tcPr>
          <w:p>
            <w:r>
              <w:rPr>
                <w:b/>
                <w:sz w:val="18"/>
              </w:rPr>
              <w:t>Respondents</w:t>
            </w:r>
          </w:p>
        </w:tc>
        <w:tc>
          <w:tcPr>
            <w:tcW w:type="dxa" w:w="2160"/>
          </w:tcPr>
          <w:p>
            <w:r>
              <w:rPr>
                <w:b/>
                <w:sz w:val="18"/>
              </w:rPr>
              <w:t>Mean CR</w:t>
            </w:r>
          </w:p>
        </w:tc>
        <w:tc>
          <w:tcPr>
            <w:tcW w:type="dxa" w:w="2160"/>
          </w:tcPr>
          <w:p>
            <w:r>
              <w:rPr>
                <w:b/>
                <w:sz w:val="18"/>
              </w:rPr>
              <w:t>Excluded</w:t>
            </w:r>
          </w:p>
        </w:tc>
      </w:tr>
      <w:tr>
        <w:tc>
          <w:tcPr>
            <w:tcW w:type="dxa" w:w="2160"/>
          </w:tcPr>
          <w:p>
            <w:r>
              <w:rPr>
                <w:sz w:val="18"/>
              </w:rPr>
              <w:t>Credit-risk dimensions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Borrower &amp; Management Capacity</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Credit History &amp; Banking Conduct</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Historic Financial Performance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Project Viability &amp; Projections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Market &amp; Competitive Position</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Risk, Security &amp; Compliance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Economic &amp; Social Contribution</w:t>
            </w:r>
          </w:p>
        </w:tc>
        <w:tc>
          <w:tcPr>
            <w:tcW w:type="dxa" w:w="2160"/>
          </w:tcPr>
          <w:p>
            <w:r>
              <w:rPr>
                <w:sz w:val="18"/>
              </w:rPr>
              <w:t>pending</w:t>
            </w:r>
          </w:p>
        </w:tc>
        <w:tc>
          <w:tcPr>
            <w:tcW w:type="dxa" w:w="2160"/>
          </w:tcPr>
          <w:p>
            <w:r>
              <w:rPr>
                <w:sz w:val="18"/>
              </w:rPr>
            </w:r>
          </w:p>
        </w:tc>
        <w:tc>
          <w:tcPr>
            <w:tcW w:type="dxa" w:w="2160"/>
          </w:tcPr>
          <w:p>
            <w:r>
              <w:rPr>
                <w:sz w:val="18"/>
              </w:rPr>
            </w:r>
          </w:p>
        </w:tc>
      </w:tr>
    </w:tbl>
    <w:p/>
    <w:p>
      <w:r>
        <w:t xml:space="preserve">Generated by </w:t>
      </w:r>
      <w:r>
        <w:rPr>
          <w:rFonts w:ascii="Consolas" w:hAnsi="Consolas"/>
          <w:sz w:val="19"/>
        </w:rPr>
        <w:t>derive_weights.py</w:t>
      </w:r>
      <w:r>
        <w:t xml:space="preserve">; raw values in </w:t>
      </w:r>
      <w:r>
        <w:rPr>
          <w:rFonts w:ascii="Consolas" w:hAnsi="Consolas"/>
          <w:sz w:val="19"/>
        </w:rPr>
        <w:t>research/outputs/tables/elicitation_consistency.csv</w:t>
      </w:r>
      <w:r>
        <w:t>.</w:t>
      </w:r>
    </w:p>
    <w:p>
      <w:pPr>
        <w:pStyle w:val="Heading3"/>
      </w:pPr>
      <w:r>
        <w:t>6.1.3 Derived weights</w:t>
      </w:r>
    </w:p>
    <w:p>
      <w:r>
        <w:t>*To be completed* — aggregated by geometric mean over usable responses.</w:t>
      </w:r>
    </w:p>
    <w:p>
      <w:r>
        <w:t>Two things to examine and report whichever way they fall:</w:t>
      </w:r>
    </w:p>
    <w:p>
      <w:pPr>
        <w:pStyle w:val="ListBullet"/>
      </w:pPr>
      <w:r>
        <w:rPr>
          <w:b/>
        </w:rPr>
        <w:t>Where practitioners agree.</w:t>
      </w:r>
      <w:r>
        <w:t xml:space="preserve"> Convergence across respondents is evidence that</w:t>
      </w:r>
    </w:p>
    <w:p>
      <w:r>
        <w:t>the criterion carries a shared professional meaning.</w:t>
      </w:r>
    </w:p>
    <w:p>
      <w:pPr>
        <w:pStyle w:val="ListBullet"/>
      </w:pPr>
      <w:r>
        <w:rPr>
          <w:b/>
        </w:rPr>
        <w:t>Where they disagree.</w:t>
      </w:r>
      <w:r>
        <w:t xml:space="preserve"> Wide dispersion is not a defect in the data. It is</w:t>
      </w:r>
    </w:p>
    <w:p>
      <w:r>
        <w:t>evidence for the inconsistency this research is premised on, and it should be reported as a finding rather than smoothed away by the geometric mean.</w:t>
      </w:r>
    </w:p>
    <w:p>
      <w:pPr>
        <w:pStyle w:val="Heading3"/>
      </w:pPr>
      <w:r>
        <w:t>6.1.4 Comparison with Roy and Shaw (2021)</w:t>
      </w:r>
    </w:p>
    <w:p>
      <w:r>
        <w:t>Roy and Shaw report credit history, cash liquidity and repayment period as the dominant criteria in SME lending, using the same weighting method in a different national context. Comparing the elicited weights here against theirs is a worthwhile external check: agreement suggests the criteria carry stable professional meaning across contexts, while divergence would be a substantive finding about Sri Lankan practice. *To be completed once weights exist.*</w:t>
      </w:r>
    </w:p>
    <w:p>
      <w:pPr>
        <w:pStyle w:val="Heading2"/>
      </w:pPr>
      <w:r>
        <w:t>6.2 Effect of elicited weights (RQ4)</w:t>
      </w:r>
    </w:p>
    <w:p>
      <w:r>
        <w:t>*To be completed.* Rescore the case set under placeholder and elicited weights and report how far the two diverge — on scores, on risk bands, and on the gap between the credit-risk and development-impact objectives.</w:t>
      </w:r>
    </w:p>
    <w:p>
      <w:r>
        <w:t xml:space="preserve">This is the direct evidence for RQ4. If elicited weights move the development objective independently of the credit objective, that supports the design decision not to aggregate them. If the two move together, the argument for separation weakens and </w:t>
      </w:r>
      <w:r>
        <w:rPr>
          <w:b/>
        </w:rPr>
        <w:t>the thesis should say so.</w:t>
      </w:r>
    </w:p>
    <w:p>
      <w:pPr>
        <w:pStyle w:val="Heading2"/>
      </w:pPr>
      <w:r>
        <w:t>6.3 Discussion</w:t>
      </w:r>
    </w:p>
    <w:p>
      <w:pPr>
        <w:pStyle w:val="Heading3"/>
      </w:pPr>
      <w:r>
        <w:t>6.3.1 What the contamination finding means</w:t>
      </w:r>
    </w:p>
    <w:p>
      <w:r>
        <w:t>The finding in §5.3 has consequences beyond this study.</w:t>
      </w:r>
    </w:p>
    <w:p>
      <w:r>
        <w:t xml:space="preserve">The SBA National dataset is widely used in credit-scoring research and teaching. A model given </w:t>
      </w:r>
      <w:r>
        <w:rPr>
          <w:rFonts w:ascii="Consolas" w:hAnsi="Consolas"/>
          <w:sz w:val="19"/>
        </w:rPr>
        <w:t>Term</w:t>
      </w:r>
      <w:r>
        <w:t xml:space="preserve"> and free to split on its exact value inherits an artefact worth up to 0.34 AUC. The roundness probe — a single boolean with no economic content — reaches 0.887. Any published result on this dataset in that region, obtained from a tree ensemble with </w:t>
      </w:r>
      <w:r>
        <w:rPr>
          <w:rFonts w:ascii="Consolas" w:hAnsi="Consolas"/>
          <w:sz w:val="19"/>
        </w:rPr>
        <w:t>Term</w:t>
      </w:r>
      <w:r>
        <w:t xml:space="preserve"> included, is likely to be measuring the artefact rather than credit risk.</w:t>
      </w:r>
    </w:p>
    <w:p>
      <w:r>
        <w:t xml:space="preserve">The general lesson is about </w:t>
      </w:r>
      <w:r>
        <w:rPr>
          <w:b/>
        </w:rPr>
        <w:t>how anomalies are treated</w:t>
      </w:r>
      <w:r>
        <w:t>. The finding emerged only because an AUC of 0.97 was treated as a symptom rather than a success. Had it been reported as a result — which it easily could have been, since it exceeded every published benchmark — this thesis would contain a headline finding that was entirely an artefact. The methodological rule in §3.6.3 is the transferable part.</w:t>
      </w:r>
    </w:p>
    <w:p>
      <w:pPr>
        <w:pStyle w:val="Heading3"/>
      </w:pPr>
      <w:r>
        <w:t>6.3.2 What the negative result means</w:t>
      </w:r>
    </w:p>
    <w:p>
      <w:r>
        <w:t>The expert scorecard failed to discriminate on SBA-observable proxies (AUC 0.41–0.53). Two explanations remain live and the evidence does not separate them: the proxies are inadequate, or the a priori bands are wrong.</w:t>
      </w:r>
    </w:p>
    <w:p>
      <w:r>
        <w:t>Either way the methodological conclusion holds, and it is the useful one:</w:t>
      </w:r>
    </w:p>
    <w:p>
      <w:r>
        <w:rPr>
          <w:b/>
        </w:rPr>
        <w:t>substituting available proxies for the intended criteria tests the proxies, not the model.</w:t>
      </w:r>
      <w:r>
        <w:t xml:space="preserve"> This is why elicitation is a methodological requirement here rather than a fallback for missing data.</w:t>
      </w:r>
    </w:p>
    <w:p>
      <w:r>
        <w:t>There is a broader point for practice. Institutions without clean historical default data cannot fit a scorecard, and this study shows they cannot borrow someone else's dataset to validate one either. Expert elicitation is not a second-best option in that situation; it is the only sound one.</w:t>
      </w:r>
    </w:p>
    <w:p>
      <w:pPr>
        <w:pStyle w:val="Heading3"/>
      </w:pPr>
      <w:r>
        <w:t>6.3.3 On temporal validation</w:t>
      </w:r>
    </w:p>
    <w:p>
      <w:r>
        <w:t xml:space="preserve">Under the clean specification, logistic regression scored 0.4565 on temporal validation — </w:t>
      </w:r>
      <w:r>
        <w:rPr>
          <w:b/>
        </w:rPr>
        <w:t>below chance</w:t>
      </w:r>
      <w:r>
        <w:t>. Trained on 1990–2003 (9.1% default) and tested on 2004–2010 (35.9% default), the model did not merely lose accuracy; its ranking inverted.</w:t>
      </w:r>
    </w:p>
    <w:p>
      <w:r>
        <w:t>For practice, this is the most immediately actionable result in the thesis. A linear scorecard fitted during benign conditions can rank borrowers *backwards* under stress. Given Sri Lanka's recent macroeconomic volatility, a scorecard calibrated on pre-crisis SME lending should not be assumed to hold, and temporal rather than random validation should be the default.</w:t>
      </w:r>
    </w:p>
    <w:p>
      <w:pPr>
        <w:pStyle w:val="Heading3"/>
      </w:pPr>
      <w:r>
        <w:t>6.3.4 On the system</w:t>
      </w:r>
    </w:p>
    <w:p>
      <w:r>
        <w:t>The system demonstrates that a narrative appraisal instrument can be formalised without discarding the judgement it encodes — 28 criteria computed from figures, 21 captured as structured linguistic judgements, every one traceable to a clause.</w:t>
      </w:r>
    </w:p>
    <w:p>
      <w:r>
        <w:t>Two design decisions proved more consequential than expected.</w:t>
      </w:r>
    </w:p>
    <w:p>
      <w:r>
        <w:t xml:space="preserve">The </w:t>
      </w:r>
      <w:r>
        <w:rPr>
          <w:b/>
        </w:rPr>
        <w:t>completeness gate</w:t>
      </w:r>
      <w:r>
        <w:t xml:space="preserve"> (§4.5) arose from a real defect found in testing: a 14%-complete file produced a confident recommendation. The gate is a refusal to answer rather than a score adjustment, because a discounted score would have preserved the false impression that the system had an opinion.</w:t>
      </w:r>
    </w:p>
    <w:p>
      <w:r>
        <w:rPr>
          <w:b/>
        </w:rPr>
        <w:t>Storing the full result document and model version</w:t>
      </w:r>
      <w:r>
        <w:t xml:space="preserve"> with each appraisal means recommendations remain reproducible after the model changes. Since the placeholder weights are due to be replaced, an appraisal signed under one model must still be explainable under it later.</w:t>
      </w:r>
    </w:p>
    <w:p>
      <w:pPr>
        <w:pStyle w:val="Heading2"/>
      </w:pPr>
      <w:r>
        <w:t>6.4 Limitations</w:t>
      </w:r>
    </w:p>
    <w:p>
      <w:r>
        <w:rPr>
          <w:b/>
        </w:rPr>
        <w:t>Empirical validation is on a proxy dataset from another jurisdiction.</w:t>
      </w:r>
      <w:r>
        <w:t xml:space="preserve"> SBA data reflects U.S. government-guaranteed lending. Nothing transfers directly to Sri Lankan SME credit.</w:t>
      </w:r>
    </w:p>
    <w:p>
      <w:r>
        <w:rPr>
          <w:b/>
        </w:rPr>
        <w:t>The criteria tree is not empirically validated.</w:t>
      </w:r>
      <w:r>
        <w:t xml:space="preserve"> No dataset contains its variables. Chapter 5 validates scoring machinery, not criteria.</w:t>
      </w:r>
    </w:p>
    <w:p>
      <w:r>
        <w:rPr>
          <w:b/>
        </w:rPr>
        <w:t>The fuzzy layer is not exercised by the validation.</w:t>
      </w:r>
      <w:r>
        <w:t xml:space="preserve"> All SBA-observable criteria are quantitative and enter as degenerate triangular fuzzy numbers, under which the fuzzy weighted average reduces exactly to a weighted arithmetic mean. On that dataset the fuzzy machinery does no work.</w:t>
      </w:r>
    </w:p>
    <w:p>
      <w:r>
        <w:rPr>
          <w:b/>
        </w:rPr>
        <w:t>The development objective is barely observable.</w:t>
      </w:r>
      <w:r>
        <w:t xml:space="preserve"> Only job creation and retention proxy it; five of the nine items in clause 5 have no counterpart in the data. It is a design contribution, not an empirically validated one.</w:t>
      </w:r>
    </w:p>
    <w:p>
      <w:r>
        <w:rPr>
          <w:b/>
        </w:rPr>
        <w:t>Elicitation is small-n and purposive.</w:t>
      </w:r>
      <w:r>
        <w:t xml:space="preserve"> Weights represent the respondents' judgement, not Sri Lankan credit practice.</w:t>
      </w:r>
    </w:p>
    <w:p>
      <w:r>
        <w:rPr>
          <w:b/>
        </w:rPr>
        <w:t>No inter-rater reliability study was conducted.</w:t>
      </w:r>
      <w:r>
        <w:t xml:space="preserve"> This is the most significant omission. The research is premised on manual appraisal being inconsistent, and that premise is argued rather than measured.</w:t>
      </w:r>
    </w:p>
    <w:p>
      <w:r>
        <w:rPr>
          <w:b/>
        </w:rPr>
        <w:t>No field evaluation.</w:t>
      </w:r>
      <w:r>
        <w:t xml:space="preserve"> No officer has used the system on live applications; there is no usability or acceptance evidence.</w:t>
      </w:r>
    </w:p>
    <w:p>
      <w:r>
        <w:rPr>
          <w:b/>
        </w:rPr>
        <w:t>Novelty of the contamination finding is not established as priority.</w:t>
      </w:r>
      <w:r>
        <w:t xml:space="preserve"> A literature search found no prior report, but the search was not exhaustive.</w:t>
      </w:r>
    </w:p>
    <w:p>
      <w:pPr>
        <w:pStyle w:val="Heading2"/>
      </w:pPr>
      <w:r>
        <w:t>6.5 Future work</w:t>
      </w:r>
    </w:p>
    <w:p>
      <w:r>
        <w:rPr>
          <w:b/>
        </w:rPr>
        <w:t>Measure the inconsistency.</w:t>
      </w:r>
      <w:r>
        <w:t xml:space="preserve"> Have N officers appraise the same M files independently and compute inter-rater reliability, then repeat with the system. This directly tests the premise of the research and would be the strongest possible addition. It requires only practitioner time and constructed cases.</w:t>
      </w:r>
    </w:p>
    <w:p>
      <w:r>
        <w:rPr>
          <w:b/>
        </w:rPr>
        <w:t>Establish the contamination mechanism.</w:t>
      </w:r>
      <w:r>
        <w:t xml:space="preserve"> Determining why </w:t>
      </w:r>
      <w:r>
        <w:rPr>
          <w:rFonts w:ascii="Consolas" w:hAnsi="Consolas"/>
          <w:sz w:val="19"/>
        </w:rPr>
        <w:t>Term</w:t>
      </w:r>
      <w:r>
        <w:t xml:space="preserve"> behaves as it does — through SBA data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r>
        <w:rPr>
          <w:b/>
        </w:rPr>
        <w:t>Field evaluation.</w:t>
      </w:r>
      <w:r>
        <w:t xml:space="preserve"> Deploy alongside the existing process and compare turnaround time, consistency and officer acceptance.</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implemented in a working system that scores credit risk and development impact separately, decomposes every score into per-criterion contributions, withholds a recommendation when too little has been assessed, and exports its output in the bank's own report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performance by up to 0.34 AUC. Alongside it sits a negative result — an expert scorecard that failed to discriminate on proxy variables — from which follows the methodological point that instrument-specific appraisal models cannot be validated on datasets lacking their variables.</w:t>
      </w:r>
    </w:p>
    <w:p>
      <w:r>
        <w:t>RQ1 is answered: the formalisation method is demonstrated and the artefact exists. RQ3 is answered narrowly and mostly in the negative, with the limits stated. RQ2 and RQ4 depend on elicitation data and are reported according to what was obtained.</w:t>
      </w:r>
    </w:p>
    <w:p>
      <w:r>
        <w:t xml:space="preserve">The claim this thesis does </w:t>
      </w:r>
      <w:r>
        <w:rPr>
          <w:b/>
        </w:rPr>
        <w:t>not</w:t>
      </w:r>
      <w:r>
        <w:t xml:space="preserve"> make is that a better credit scoring model has been built. The evidence does not support that, and Chapter 2 establishes that the methods used are not themselves new. What it offers instead is a transferable method for formalising institutional appraisal instruments, a working system that implements it, and two findings about evaluation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