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056C" w14:textId="77777777" w:rsidR="00B06511" w:rsidRDefault="00000000">
      <w:pPr>
        <w:spacing w:after="240"/>
        <w:jc w:val="center"/>
      </w:pPr>
      <w:r>
        <w:t xml:space="preserve"> </w:t>
      </w:r>
    </w:p>
    <w:p w14:paraId="7580F665" w14:textId="77777777" w:rsidR="00B06511" w:rsidRDefault="00000000">
      <w:pPr>
        <w:spacing w:after="240"/>
        <w:jc w:val="center"/>
      </w:pPr>
      <w:r>
        <w:t xml:space="preserve"> </w:t>
      </w:r>
    </w:p>
    <w:p w14:paraId="6F796BB0" w14:textId="77777777" w:rsidR="00B06511" w:rsidRDefault="00000000">
      <w:pPr>
        <w:spacing w:after="240"/>
        <w:jc w:val="center"/>
      </w:pPr>
      <w:r>
        <w:t xml:space="preserve"> </w:t>
      </w:r>
    </w:p>
    <w:p w14:paraId="20252777" w14:textId="77777777" w:rsidR="00B06511" w:rsidRDefault="00000000">
      <w:pPr>
        <w:spacing w:after="240"/>
        <w:jc w:val="center"/>
      </w:pPr>
      <w:r>
        <w:rPr>
          <w:b/>
          <w:bCs/>
          <w:sz w:val="30"/>
          <w:szCs w:val="30"/>
        </w:rPr>
        <w:t>A DECISION SUPPORT MODEL FOR SIMPLIFYING SME LOAN</w:t>
      </w:r>
    </w:p>
    <w:p w14:paraId="4C67C2B1" w14:textId="77777777" w:rsidR="00B06511" w:rsidRDefault="00000000">
      <w:pPr>
        <w:spacing w:after="240"/>
        <w:jc w:val="center"/>
      </w:pPr>
      <w:r>
        <w:rPr>
          <w:b/>
          <w:bCs/>
          <w:sz w:val="30"/>
          <w:szCs w:val="30"/>
        </w:rPr>
        <w:t>APPRAISAL IN SRI LANKA</w:t>
      </w:r>
    </w:p>
    <w:p w14:paraId="43A4DE90" w14:textId="77777777" w:rsidR="00B06511" w:rsidRDefault="00000000">
      <w:pPr>
        <w:spacing w:after="240"/>
        <w:jc w:val="center"/>
      </w:pPr>
      <w:r>
        <w:t xml:space="preserve"> </w:t>
      </w:r>
    </w:p>
    <w:p w14:paraId="26FB011F" w14:textId="77777777" w:rsidR="00B06511" w:rsidRDefault="00000000">
      <w:pPr>
        <w:spacing w:after="240"/>
        <w:jc w:val="center"/>
      </w:pPr>
      <w:r>
        <w:t xml:space="preserve"> </w:t>
      </w:r>
    </w:p>
    <w:p w14:paraId="0666CEB1" w14:textId="77777777" w:rsidR="00B06511" w:rsidRDefault="00000000">
      <w:pPr>
        <w:spacing w:after="240"/>
        <w:jc w:val="center"/>
      </w:pPr>
      <w:r>
        <w:rPr>
          <w:b/>
          <w:bCs/>
          <w:sz w:val="26"/>
          <w:szCs w:val="26"/>
        </w:rPr>
        <w:t>Interim Submission 01 — Part A</w:t>
      </w:r>
    </w:p>
    <w:p w14:paraId="31141A45" w14:textId="77777777" w:rsidR="00B06511" w:rsidRDefault="00000000">
      <w:pPr>
        <w:spacing w:after="240"/>
        <w:jc w:val="center"/>
      </w:pPr>
      <w:r>
        <w:t>Chapter 01: Introduction</w:t>
      </w:r>
    </w:p>
    <w:p w14:paraId="6B4084DB" w14:textId="77777777" w:rsidR="00B06511" w:rsidRDefault="00000000">
      <w:pPr>
        <w:spacing w:after="240"/>
        <w:jc w:val="center"/>
      </w:pPr>
      <w:r>
        <w:t>Chapter 02: Literature Review</w:t>
      </w:r>
    </w:p>
    <w:p w14:paraId="2535C3D1" w14:textId="77777777" w:rsidR="00B06511" w:rsidRDefault="00000000">
      <w:pPr>
        <w:spacing w:after="240"/>
        <w:jc w:val="center"/>
      </w:pPr>
      <w:r>
        <w:t xml:space="preserve"> </w:t>
      </w:r>
    </w:p>
    <w:p w14:paraId="1AA5DEF4" w14:textId="77777777" w:rsidR="00B06511" w:rsidRDefault="00000000">
      <w:pPr>
        <w:spacing w:after="240"/>
        <w:jc w:val="center"/>
      </w:pPr>
      <w:r>
        <w:t xml:space="preserve"> </w:t>
      </w:r>
    </w:p>
    <w:p w14:paraId="6866E8B1" w14:textId="77777777" w:rsidR="00B06511" w:rsidRDefault="00000000">
      <w:pPr>
        <w:spacing w:after="240"/>
        <w:jc w:val="center"/>
      </w:pPr>
      <w:r>
        <w:t xml:space="preserve"> </w:t>
      </w:r>
    </w:p>
    <w:p w14:paraId="4EF9B507" w14:textId="77777777" w:rsidR="00B06511" w:rsidRDefault="00000000">
      <w:pPr>
        <w:spacing w:after="240"/>
        <w:jc w:val="center"/>
      </w:pPr>
      <w:r>
        <w:t xml:space="preserve"> </w:t>
      </w:r>
    </w:p>
    <w:p w14:paraId="5CA2A881" w14:textId="738C0CA6" w:rsidR="00B06511" w:rsidRDefault="001F410B">
      <w:pPr>
        <w:spacing w:after="240"/>
        <w:jc w:val="center"/>
      </w:pPr>
      <w:r>
        <w:t>AAV Athukorala</w:t>
      </w:r>
    </w:p>
    <w:p w14:paraId="67274A55" w14:textId="295014D6" w:rsidR="00B06511" w:rsidRDefault="001F410B">
      <w:pPr>
        <w:spacing w:after="240"/>
        <w:jc w:val="center"/>
      </w:pPr>
      <w:r>
        <w:t>34794</w:t>
      </w:r>
    </w:p>
    <w:p w14:paraId="695B872D" w14:textId="77777777" w:rsidR="00B06511" w:rsidRDefault="00000000">
      <w:pPr>
        <w:spacing w:after="240"/>
        <w:jc w:val="center"/>
      </w:pPr>
      <w:r>
        <w:t xml:space="preserve"> </w:t>
      </w:r>
    </w:p>
    <w:p w14:paraId="775DC38D" w14:textId="33D0BFF6" w:rsidR="00B06511" w:rsidRDefault="00000000">
      <w:pPr>
        <w:spacing w:after="240"/>
        <w:jc w:val="center"/>
      </w:pPr>
      <w:r>
        <w:t xml:space="preserve">Supervisor: </w:t>
      </w:r>
      <w:r w:rsidR="001F410B">
        <w:t>Dr</w:t>
      </w:r>
      <w:r w:rsidR="00C13174">
        <w:t>.</w:t>
      </w:r>
      <w:r w:rsidR="001F410B">
        <w:t xml:space="preserve"> </w:t>
      </w:r>
      <w:proofErr w:type="spellStart"/>
      <w:r w:rsidR="001F410B">
        <w:t>Pab</w:t>
      </w:r>
      <w:r w:rsidR="00C13174">
        <w:t>u</w:t>
      </w:r>
      <w:r w:rsidR="001F410B">
        <w:t>dhi</w:t>
      </w:r>
      <w:proofErr w:type="spellEnd"/>
      <w:r w:rsidR="001F410B">
        <w:t xml:space="preserve"> Abeyrathna</w:t>
      </w:r>
    </w:p>
    <w:p w14:paraId="6324023D" w14:textId="77777777" w:rsidR="00B06511" w:rsidRDefault="00000000">
      <w:pPr>
        <w:spacing w:after="240"/>
        <w:jc w:val="center"/>
      </w:pPr>
      <w:r>
        <w:t xml:space="preserve"> </w:t>
      </w:r>
    </w:p>
    <w:p w14:paraId="0D51BD2E" w14:textId="77777777" w:rsidR="00B06511" w:rsidRDefault="00000000">
      <w:r>
        <w:br w:type="page"/>
      </w:r>
    </w:p>
    <w:p w14:paraId="13D3556C" w14:textId="77777777" w:rsidR="00B06511" w:rsidRDefault="00B06511">
      <w:pPr>
        <w:sectPr w:rsidR="00B06511">
          <w:pgSz w:w="11906" w:h="16838"/>
          <w:pgMar w:top="1440" w:right="1440" w:bottom="1440" w:left="2160" w:header="708" w:footer="708" w:gutter="0"/>
          <w:cols w:space="720"/>
          <w:docGrid w:linePitch="360"/>
        </w:sectPr>
      </w:pPr>
    </w:p>
    <w:p w14:paraId="2D80BD31" w14:textId="77777777" w:rsidR="00B06511" w:rsidRDefault="00000000">
      <w:pPr>
        <w:pStyle w:val="Heading1"/>
        <w:spacing w:after="100"/>
        <w:jc w:val="center"/>
      </w:pPr>
      <w:r>
        <w:rPr>
          <w:b/>
          <w:bCs/>
        </w:rPr>
        <w:lastRenderedPageBreak/>
        <w:t>CHAPTER ONE</w:t>
      </w:r>
    </w:p>
    <w:p w14:paraId="3EE6DA0A" w14:textId="77777777" w:rsidR="00B06511" w:rsidRDefault="00000000">
      <w:pPr>
        <w:pStyle w:val="Heading1"/>
        <w:spacing w:after="480"/>
        <w:jc w:val="center"/>
      </w:pPr>
      <w:r>
        <w:rPr>
          <w:b/>
          <w:bCs/>
        </w:rPr>
        <w:t>INTRODUCTION</w:t>
      </w:r>
    </w:p>
    <w:p w14:paraId="39479849" w14:textId="77777777" w:rsidR="00B06511" w:rsidRDefault="00000000">
      <w:pPr>
        <w:pStyle w:val="Heading2"/>
        <w:spacing w:before="360" w:after="180"/>
      </w:pPr>
      <w:r>
        <w:rPr>
          <w:b/>
          <w:bCs/>
        </w:rPr>
        <w:t>1.1 Background of the Study</w:t>
      </w:r>
    </w:p>
    <w:p w14:paraId="0AA9FC85" w14:textId="77777777" w:rsidR="00B06511" w:rsidRDefault="00000000">
      <w:pPr>
        <w:spacing w:after="200" w:line="480" w:lineRule="auto"/>
        <w:jc w:val="both"/>
      </w:pPr>
      <w:r>
        <w:t>Small and Medium Enterprises (SMEs) occupy a central position in the Sri Lankan economy, accounting for an estimated 75% of all business establishments and contributing approximately 45% of national employment and 52% of Gross Domestic Product. Despite this economic weight, the SME sector continues to face a persistent and well-documented obstacle to growth: limited access to formal credit. The World Bank estimates the SME financing gap in Sri Lanka at approximately LKR 1.2 trillion, a figure that illustrates the scale of unmet demand for working capital and expansion finance among small businesses.</w:t>
      </w:r>
    </w:p>
    <w:p w14:paraId="36491F2F" w14:textId="77777777" w:rsidR="00B06511" w:rsidRDefault="00000000">
      <w:pPr>
        <w:spacing w:after="200" w:line="480" w:lineRule="auto"/>
        <w:jc w:val="both"/>
      </w:pPr>
      <w:r>
        <w:t xml:space="preserve">A substantial part of this gap can be traced to the way SME loan applications are appraised by commercial banks. Existing appraisal practice in Sri Lanka is largely manual: credit officers review approximately twenty qualitative and quantitative criteria and arrive at a lending decision that is, in practice, shaped heavily by individual judgement and experience rather than by a </w:t>
      </w:r>
      <w:proofErr w:type="spellStart"/>
      <w:r>
        <w:t>standardised</w:t>
      </w:r>
      <w:proofErr w:type="spellEnd"/>
      <w:r>
        <w:t>, data-driven process. This reliance on manual review, together with an emphasis on physical collateral as the primary risk mitigant, tends to work against SMEs that are asset-light, newly established, or unable to produce a complete set of audited financial statements — even where the underlying business is viable.</w:t>
      </w:r>
    </w:p>
    <w:p w14:paraId="2E3E0FA3" w14:textId="77777777" w:rsidR="00B06511" w:rsidRDefault="00000000">
      <w:pPr>
        <w:spacing w:after="200" w:line="480" w:lineRule="auto"/>
        <w:jc w:val="both"/>
      </w:pPr>
      <w:r>
        <w:t xml:space="preserve">The Sri Lankan financial sector has begun to respond to these limitations. The Commercial Bank of Ceylon has introduced what is described as the country's first AI-powered SME credit underwriting solution, and the Credit Information Bureau of Sri Lanka (CRIB), together with the Lanka Rating Agency, has launched a Digital </w:t>
      </w:r>
      <w:r>
        <w:lastRenderedPageBreak/>
        <w:t xml:space="preserve">Dynamic Credit Ratings model intended to address the shortage of structured, verifiable data on SME income, expenses and transactional </w:t>
      </w:r>
      <w:proofErr w:type="spellStart"/>
      <w:r>
        <w:t>behaviour</w:t>
      </w:r>
      <w:proofErr w:type="spellEnd"/>
      <w:r>
        <w:t xml:space="preserve">. These initiatives confirm that both the private and quasi-regulatory segments of the financial sector </w:t>
      </w:r>
      <w:proofErr w:type="spellStart"/>
      <w:r>
        <w:t>recognise</w:t>
      </w:r>
      <w:proofErr w:type="spellEnd"/>
      <w:r>
        <w:t xml:space="preserve"> the limitations of manual credit assessment and see value in data-driven alternatives. However, published research on this shift remains fragmented: most existing studies address credit scoring or default prediction as isolated modelling problems rather than as part of an integrated decision support process that a credit officer could use day to day.</w:t>
      </w:r>
    </w:p>
    <w:p w14:paraId="1DEAB795" w14:textId="77777777" w:rsidR="00B06511" w:rsidRDefault="00000000">
      <w:pPr>
        <w:spacing w:after="200" w:line="480" w:lineRule="auto"/>
        <w:jc w:val="both"/>
      </w:pPr>
      <w:r>
        <w:t>This study responds to that context by developing and evaluating a machine learning-based decision support model for SME loan appraisal, using historical application data from a Sri Lankan private commercial bank. The intention is not to remove the credit officer from the lending decision, but to give them a faster, more consistent, and more transparent basis on which to make it.</w:t>
      </w:r>
    </w:p>
    <w:p w14:paraId="5091A106" w14:textId="77777777" w:rsidR="00B06511" w:rsidRDefault="00000000">
      <w:pPr>
        <w:pStyle w:val="Heading2"/>
        <w:spacing w:before="360" w:after="180"/>
      </w:pPr>
      <w:r>
        <w:rPr>
          <w:b/>
          <w:bCs/>
        </w:rPr>
        <w:t>1.2 Problem Statement</w:t>
      </w:r>
    </w:p>
    <w:p w14:paraId="7DDB5178" w14:textId="77777777" w:rsidR="00B06511" w:rsidRDefault="00000000">
      <w:pPr>
        <w:spacing w:after="200" w:line="480" w:lineRule="auto"/>
        <w:jc w:val="both"/>
      </w:pPr>
      <w:r>
        <w:t xml:space="preserve">The current SME loan appraisal process used by Sri Lankan commercial banks is manual, criteria-heavy, and dependent on the subjective judgement of individual credit officers. This gives rise to three interrelated problems. First, processing time is long: a typical SME loan application takes an average of around fourteen days to move from submission to decision, which is costly for both the bank and the applicant and disadvantages SMEs that need working capital on short notice. Second, decisions are inconsistent, since two credit officers reviewing an identical file may reach different conclusions in the absence of a common, objective scoring framework. Third, the appraisal process' heavy reliance on physical collateral systematically disadvantages </w:t>
      </w:r>
      <w:r>
        <w:lastRenderedPageBreak/>
        <w:t>viable but asset-light SMEs, effectively excluding a segment of the sector that formal credit is meant to serve.</w:t>
      </w:r>
    </w:p>
    <w:p w14:paraId="61D1772E" w14:textId="77777777" w:rsidR="00B06511" w:rsidRDefault="00000000">
      <w:pPr>
        <w:spacing w:after="200" w:line="480" w:lineRule="auto"/>
        <w:jc w:val="both"/>
      </w:pPr>
      <w:r>
        <w:t>While AI-driven credit assessment tools are emerging in the Sri Lankan market, no published, empirically validated decision support model has been developed and tested specifically for the SME lending context in Sri Lanka using local bank data and benchmarked directly against manual officer decisions. This is the gap the present study addresses: the absence of a practical, interpretable, and locally validated decision support model that a Sri Lankan commercial bank could realistically adopt to simplify SME loan appraisal.</w:t>
      </w:r>
    </w:p>
    <w:p w14:paraId="3BD61307" w14:textId="77777777" w:rsidR="00B06511" w:rsidRDefault="00000000">
      <w:pPr>
        <w:pStyle w:val="Heading2"/>
        <w:spacing w:before="360" w:after="180"/>
      </w:pPr>
      <w:r>
        <w:rPr>
          <w:b/>
          <w:bCs/>
        </w:rPr>
        <w:t>1.3 Research Aim</w:t>
      </w:r>
    </w:p>
    <w:p w14:paraId="1EA4BBED" w14:textId="77777777" w:rsidR="00B06511" w:rsidRDefault="00000000">
      <w:pPr>
        <w:spacing w:after="200" w:line="480" w:lineRule="auto"/>
        <w:jc w:val="both"/>
      </w:pPr>
      <w:r>
        <w:t>The aim of this research is to develop and evaluate a machine learning-based decision support model that simplifies and improves the accuracy, consistency, and speed of SME loan appraisal in the Sri Lankan banking context.</w:t>
      </w:r>
    </w:p>
    <w:p w14:paraId="30CA3868" w14:textId="77777777" w:rsidR="00B06511" w:rsidRDefault="00000000">
      <w:pPr>
        <w:pStyle w:val="Heading2"/>
        <w:spacing w:before="360" w:after="180"/>
      </w:pPr>
      <w:r>
        <w:rPr>
          <w:b/>
          <w:bCs/>
        </w:rPr>
        <w:t>1.4 Research Objectives</w:t>
      </w:r>
    </w:p>
    <w:p w14:paraId="58E2C84B" w14:textId="77777777" w:rsidR="00B06511" w:rsidRDefault="00000000">
      <w:pPr>
        <w:spacing w:after="200" w:line="480" w:lineRule="auto"/>
        <w:jc w:val="both"/>
      </w:pPr>
      <w:r>
        <w:t>The specific objectives of this study are to:</w:t>
      </w:r>
    </w:p>
    <w:p w14:paraId="0F2ACF46" w14:textId="77777777" w:rsidR="00B06511" w:rsidRDefault="00000000">
      <w:pPr>
        <w:pStyle w:val="ListParagraph"/>
        <w:numPr>
          <w:ilvl w:val="0"/>
          <w:numId w:val="2"/>
        </w:numPr>
        <w:spacing w:after="120" w:line="480" w:lineRule="auto"/>
      </w:pPr>
      <w:r>
        <w:t>Examine the existing manual SME loan appraisal process used by Sri Lankan commercial banks, including the criteria applied by credit officers, in order to identify its practical limitations.</w:t>
      </w:r>
    </w:p>
    <w:p w14:paraId="785E64BA" w14:textId="77777777" w:rsidR="00B06511" w:rsidRDefault="00000000">
      <w:pPr>
        <w:pStyle w:val="ListParagraph"/>
        <w:numPr>
          <w:ilvl w:val="0"/>
          <w:numId w:val="2"/>
        </w:numPr>
        <w:spacing w:after="120" w:line="480" w:lineRule="auto"/>
      </w:pPr>
      <w:r>
        <w:t>Collect, clean, and pre-process a historical dataset of SME loan applications from a Sri Lankan private commercial bank for use in model development.</w:t>
      </w:r>
    </w:p>
    <w:p w14:paraId="584B2B88" w14:textId="77777777" w:rsidR="00B06511" w:rsidRDefault="00000000">
      <w:pPr>
        <w:pStyle w:val="ListParagraph"/>
        <w:numPr>
          <w:ilvl w:val="0"/>
          <w:numId w:val="2"/>
        </w:numPr>
        <w:spacing w:after="120" w:line="480" w:lineRule="auto"/>
      </w:pPr>
      <w:r>
        <w:t xml:space="preserve">Develop and compare multiple machine learning classification algorithms (Logistic Regression, Random Forest, </w:t>
      </w:r>
      <w:proofErr w:type="spellStart"/>
      <w:r>
        <w:t>XGBoost</w:t>
      </w:r>
      <w:proofErr w:type="spellEnd"/>
      <w:r>
        <w:t xml:space="preserve">, </w:t>
      </w:r>
      <w:proofErr w:type="spellStart"/>
      <w:r>
        <w:t>LightGBM</w:t>
      </w:r>
      <w:proofErr w:type="spellEnd"/>
      <w:r>
        <w:t>, Support Vector Machines, and Neural Networks) for predicting SME loan eligibility.</w:t>
      </w:r>
    </w:p>
    <w:p w14:paraId="56D1D2E7" w14:textId="77777777" w:rsidR="00B06511" w:rsidRDefault="00000000">
      <w:pPr>
        <w:pStyle w:val="ListParagraph"/>
        <w:numPr>
          <w:ilvl w:val="0"/>
          <w:numId w:val="2"/>
        </w:numPr>
        <w:spacing w:after="120" w:line="480" w:lineRule="auto"/>
      </w:pPr>
      <w:r>
        <w:lastRenderedPageBreak/>
        <w:t>Identify the features that most strongly influence loan approval outcomes using model interpretability techniques.</w:t>
      </w:r>
    </w:p>
    <w:p w14:paraId="4A94C13B" w14:textId="77777777" w:rsidR="00B06511" w:rsidRDefault="00000000">
      <w:pPr>
        <w:pStyle w:val="ListParagraph"/>
        <w:numPr>
          <w:ilvl w:val="0"/>
          <w:numId w:val="2"/>
        </w:numPr>
        <w:spacing w:after="120" w:line="480" w:lineRule="auto"/>
      </w:pPr>
      <w:r>
        <w:t>Design a practical decision support tool through which credit officers can apply the selected model to new applications.</w:t>
      </w:r>
    </w:p>
    <w:p w14:paraId="47C5E20E" w14:textId="77777777" w:rsidR="00B06511" w:rsidRDefault="00000000">
      <w:pPr>
        <w:pStyle w:val="ListParagraph"/>
        <w:numPr>
          <w:ilvl w:val="0"/>
          <w:numId w:val="2"/>
        </w:numPr>
        <w:spacing w:after="120" w:line="480" w:lineRule="auto"/>
      </w:pPr>
      <w:r>
        <w:t>Evaluate the performance of the proposed model against historical manual appraisal decisions to assess its practical value as a decision support aid.</w:t>
      </w:r>
    </w:p>
    <w:p w14:paraId="0D7E02F7" w14:textId="77777777" w:rsidR="00B06511" w:rsidRDefault="00000000">
      <w:pPr>
        <w:pStyle w:val="Heading2"/>
        <w:spacing w:before="360" w:after="180"/>
      </w:pPr>
      <w:r>
        <w:rPr>
          <w:b/>
          <w:bCs/>
        </w:rPr>
        <w:t>1.5 Research Questions</w:t>
      </w:r>
    </w:p>
    <w:p w14:paraId="364462F9" w14:textId="77777777" w:rsidR="00B06511" w:rsidRDefault="00000000">
      <w:pPr>
        <w:spacing w:after="200" w:line="480" w:lineRule="auto"/>
        <w:jc w:val="both"/>
      </w:pPr>
      <w:r>
        <w:t>This study is guided by the following research questions:</w:t>
      </w:r>
    </w:p>
    <w:p w14:paraId="7895A87F" w14:textId="77777777" w:rsidR="00B06511" w:rsidRDefault="00000000">
      <w:pPr>
        <w:pStyle w:val="ListParagraph"/>
        <w:numPr>
          <w:ilvl w:val="0"/>
          <w:numId w:val="2"/>
        </w:numPr>
        <w:spacing w:after="120" w:line="480" w:lineRule="auto"/>
      </w:pPr>
      <w:r>
        <w:t>What are the principal weaknesses of the current manual SME loan appraisal process used by Sri Lankan commercial banks?</w:t>
      </w:r>
    </w:p>
    <w:p w14:paraId="206DF943" w14:textId="77777777" w:rsidR="00B06511" w:rsidRDefault="00000000">
      <w:pPr>
        <w:pStyle w:val="ListParagraph"/>
        <w:numPr>
          <w:ilvl w:val="0"/>
          <w:numId w:val="2"/>
        </w:numPr>
        <w:spacing w:after="120" w:line="480" w:lineRule="auto"/>
      </w:pPr>
      <w:r>
        <w:t>Which machine learning classification algorithm provides the most accurate and reliable prediction of SME loan eligibility using Sri Lankan bank data?</w:t>
      </w:r>
    </w:p>
    <w:p w14:paraId="3600532F" w14:textId="77777777" w:rsidR="00B06511" w:rsidRDefault="00000000">
      <w:pPr>
        <w:pStyle w:val="ListParagraph"/>
        <w:numPr>
          <w:ilvl w:val="0"/>
          <w:numId w:val="2"/>
        </w:numPr>
        <w:spacing w:after="120" w:line="480" w:lineRule="auto"/>
      </w:pPr>
      <w:r>
        <w:t>Which applicant, business, and documentation-related features exert the greatest influence on the loan approval decision?</w:t>
      </w:r>
    </w:p>
    <w:p w14:paraId="458415BB" w14:textId="77777777" w:rsidR="00B06511" w:rsidRDefault="00000000">
      <w:pPr>
        <w:pStyle w:val="ListParagraph"/>
        <w:numPr>
          <w:ilvl w:val="0"/>
          <w:numId w:val="2"/>
        </w:numPr>
        <w:spacing w:after="120" w:line="480" w:lineRule="auto"/>
      </w:pPr>
      <w:r>
        <w:t>How can a decision support model realistically be integrated into the existing SME lending workflow to reduce appraisal time and improve consistency?</w:t>
      </w:r>
    </w:p>
    <w:p w14:paraId="774270BC" w14:textId="77777777" w:rsidR="00B06511" w:rsidRDefault="00000000">
      <w:pPr>
        <w:pStyle w:val="ListParagraph"/>
        <w:numPr>
          <w:ilvl w:val="0"/>
          <w:numId w:val="2"/>
        </w:numPr>
        <w:spacing w:after="120" w:line="480" w:lineRule="auto"/>
      </w:pPr>
      <w:r>
        <w:t>How does the performance of the proposed model compare with the decisions historically made by human credit officers?</w:t>
      </w:r>
    </w:p>
    <w:p w14:paraId="4AEBD947" w14:textId="77777777" w:rsidR="00B06511" w:rsidRDefault="00000000">
      <w:pPr>
        <w:pStyle w:val="Heading2"/>
        <w:spacing w:before="360" w:after="180"/>
      </w:pPr>
      <w:r>
        <w:rPr>
          <w:b/>
          <w:bCs/>
        </w:rPr>
        <w:t>1.6 Scope of the Study</w:t>
      </w:r>
    </w:p>
    <w:p w14:paraId="54FB51BB" w14:textId="77777777" w:rsidR="00B06511" w:rsidRDefault="00000000">
      <w:pPr>
        <w:spacing w:after="200" w:line="480" w:lineRule="auto"/>
        <w:jc w:val="both"/>
      </w:pPr>
      <w:r>
        <w:t xml:space="preserve">The study is scoped around a dataset of 1,250 historical SME loan applications obtained from a single private commercial bank in Sri Lanka, covering the period January 2023 to December 2025, and comprising 17 applicant, financial, and documentation-related features. The modelling task is restricted to binary classification of loan eligibility </w:t>
      </w:r>
      <w:r>
        <w:lastRenderedPageBreak/>
        <w:t xml:space="preserve">(approve / reject); loan pricing, collateral valuation methodology, portfolio monitoring, and post-disbursement risk management fall outside the scope of this research. The findings and the resulting decision support model are developed and validated within the Sri Lankan SME lending context and, given the reliance on a single bank's data, are not presumed to </w:t>
      </w:r>
      <w:proofErr w:type="spellStart"/>
      <w:r>
        <w:t>generalise</w:t>
      </w:r>
      <w:proofErr w:type="spellEnd"/>
      <w:r>
        <w:t xml:space="preserve"> to other markets or institutions without further validation.</w:t>
      </w:r>
    </w:p>
    <w:p w14:paraId="487B6413" w14:textId="77777777" w:rsidR="00B06511" w:rsidRDefault="00000000">
      <w:pPr>
        <w:pStyle w:val="Heading2"/>
        <w:spacing w:before="360" w:after="180"/>
      </w:pPr>
      <w:r>
        <w:rPr>
          <w:b/>
          <w:bCs/>
        </w:rPr>
        <w:t>1.7 Significance of the Study</w:t>
      </w:r>
    </w:p>
    <w:p w14:paraId="40BB1162" w14:textId="77777777" w:rsidR="00B06511" w:rsidRDefault="00000000">
      <w:pPr>
        <w:spacing w:after="200" w:line="480" w:lineRule="auto"/>
        <w:jc w:val="both"/>
      </w:pPr>
      <w:r>
        <w:t>This research contributes to both academic literature and banking practice. Academically, it addresses a specific gap identified in prior work: the scarcity of studies that frame SME credit assessment as an integrated decision support problem, rather than as an isolated prediction task, within a Sri Lankan setting. Practically, the study offers Sri Lankan commercial banks an empirically tested, comparatively evaluated approach to SME loan appraisal that can reduce processing time, improve consistency between credit officers, and make the basis for a lending decision more transparent through model interpretability techniques. More broadly, by reducing dependence on physical collateral as the dominant approval criterion, the proposed model supports national financial inclusion objectives by making it easier for viable, asset-light SMEs to be assessed fairly.</w:t>
      </w:r>
    </w:p>
    <w:p w14:paraId="6396A654" w14:textId="77777777" w:rsidR="00B06511" w:rsidRDefault="00000000">
      <w:pPr>
        <w:pStyle w:val="Heading2"/>
        <w:spacing w:before="360" w:after="180"/>
      </w:pPr>
      <w:r>
        <w:rPr>
          <w:b/>
          <w:bCs/>
        </w:rPr>
        <w:t>1.8 Structure of the Thesis</w:t>
      </w:r>
    </w:p>
    <w:p w14:paraId="2577DA88" w14:textId="77777777" w:rsidR="00B06511" w:rsidRDefault="00000000">
      <w:pPr>
        <w:spacing w:after="200" w:line="480" w:lineRule="auto"/>
        <w:jc w:val="both"/>
      </w:pPr>
      <w:r>
        <w:t xml:space="preserve">The remainder of this thesis is </w:t>
      </w:r>
      <w:proofErr w:type="spellStart"/>
      <w:r>
        <w:t>organised</w:t>
      </w:r>
      <w:proofErr w:type="spellEnd"/>
      <w:r>
        <w:t xml:space="preserve"> into six chapters. Chapter One has introduced the research background, problem statement, aim, objectives, research questions, scope, and significance of the study. Chapter Two reviews the literature relevant to SME credit risk assessment, machine learning applications in credit scoring, model interpretability, and the Sri Lankan lending context, concluding with the identification of the specific research gap this study addresses. Chapter Three presents the research methodology, </w:t>
      </w:r>
      <w:r>
        <w:lastRenderedPageBreak/>
        <w:t>covering research design, data collection, data pre-processing, model development, evaluation approach, and ethical considerations. Chapter Four presents the experimental results, including comparative model performance and feature importance analysis. Chapter Five discusses the implications, limitations, and practical relevance of the findings. Chapter Six concludes the thesis and outlines directions for future research.</w:t>
      </w:r>
    </w:p>
    <w:p w14:paraId="02074A1C" w14:textId="77777777" w:rsidR="00B06511" w:rsidRDefault="00000000">
      <w:r>
        <w:br w:type="page"/>
      </w:r>
    </w:p>
    <w:p w14:paraId="6CB2B836" w14:textId="77777777" w:rsidR="00B06511" w:rsidRDefault="00000000">
      <w:pPr>
        <w:pStyle w:val="Heading1"/>
        <w:spacing w:after="100"/>
        <w:jc w:val="center"/>
      </w:pPr>
      <w:r>
        <w:rPr>
          <w:b/>
          <w:bCs/>
        </w:rPr>
        <w:lastRenderedPageBreak/>
        <w:t>CHAPTER TWO</w:t>
      </w:r>
    </w:p>
    <w:p w14:paraId="1F51D79F" w14:textId="77777777" w:rsidR="00B06511" w:rsidRDefault="00000000">
      <w:pPr>
        <w:pStyle w:val="Heading1"/>
        <w:spacing w:after="480"/>
        <w:jc w:val="center"/>
      </w:pPr>
      <w:r>
        <w:rPr>
          <w:b/>
          <w:bCs/>
        </w:rPr>
        <w:t>LITERATURE REVIEW</w:t>
      </w:r>
    </w:p>
    <w:p w14:paraId="21C9BDD0" w14:textId="77777777" w:rsidR="00B06511" w:rsidRDefault="00000000">
      <w:pPr>
        <w:pStyle w:val="Heading2"/>
        <w:spacing w:before="360" w:after="180"/>
      </w:pPr>
      <w:r>
        <w:rPr>
          <w:b/>
          <w:bCs/>
        </w:rPr>
        <w:t>2.1 Introduction</w:t>
      </w:r>
    </w:p>
    <w:p w14:paraId="5383A03D" w14:textId="77777777" w:rsidR="00B06511" w:rsidRDefault="00000000">
      <w:pPr>
        <w:spacing w:after="200" w:line="480" w:lineRule="auto"/>
        <w:jc w:val="both"/>
      </w:pPr>
      <w:r>
        <w:t>This chapter reviews existing literature relevant to the development of a decision support model for SME loan appraisal in Sri Lanka. It begins by examining the structural challenges of SME credit risk assessment, then reviews manual appraisal practice in the Sri Lankan context specifically, before turning to the application of machine learning techniques to credit risk assessment more broadly. The chapter then considers model interpretability as a requirement for adoption in regulated lending environments, and reviews recent AI-driven initiatives within the Sri Lankan financial sector. It concludes with a critical synthesis of the reviewed literature and a statement of the research gap this study addresses.</w:t>
      </w:r>
    </w:p>
    <w:p w14:paraId="7BA72F87" w14:textId="77777777" w:rsidR="00B06511" w:rsidRDefault="00000000">
      <w:pPr>
        <w:pStyle w:val="Heading2"/>
        <w:spacing w:before="360" w:after="180"/>
      </w:pPr>
      <w:r>
        <w:rPr>
          <w:b/>
          <w:bCs/>
        </w:rPr>
        <w:t>2.2 Challenges in SME Credit Risk Assessment</w:t>
      </w:r>
    </w:p>
    <w:p w14:paraId="57D75969" w14:textId="77777777" w:rsidR="00B06511" w:rsidRDefault="00000000">
      <w:pPr>
        <w:spacing w:after="200" w:line="480" w:lineRule="auto"/>
        <w:jc w:val="both"/>
      </w:pPr>
      <w:r>
        <w:t xml:space="preserve">Credit risk assessment for SMEs is widely </w:t>
      </w:r>
      <w:proofErr w:type="spellStart"/>
      <w:r>
        <w:t>recognised</w:t>
      </w:r>
      <w:proofErr w:type="spellEnd"/>
      <w:r>
        <w:t xml:space="preserve"> as more difficult than for large corporates because of pronounced information asymmetry between lender and borrower. Banks frequently hold fragments of relevant borrower information without maintaining it in structured, </w:t>
      </w:r>
      <w:proofErr w:type="spellStart"/>
      <w:r>
        <w:t>analysable</w:t>
      </w:r>
      <w:proofErr w:type="spellEnd"/>
      <w:r>
        <w:t xml:space="preserve"> form, and SMEs themselves typically lack the audited financial statements, long credit histories, and formal accounting records that traditional credit scoring models are built around. Li and Ali (2025) frame this problem explicitly in the agricultural SME context, arguing that information asymmetry renders conventional credit models ineffective and proposing a knowledge-informed neural network that fuses Fuzzy Analytic Hierarchy Process weighting with Principal Component Analysis to combine expert judgement with statistical learning. Their central finding — that blending domain expertise with machine learning is particularly </w:t>
      </w:r>
      <w:r>
        <w:lastRenderedPageBreak/>
        <w:t>valuable precisely where structured data is scarce — is directly relevant to the Sri Lankan SME context, where similar data limitations exist.</w:t>
      </w:r>
    </w:p>
    <w:p w14:paraId="7B8DE549" w14:textId="77777777" w:rsidR="00B06511" w:rsidRDefault="00000000">
      <w:pPr>
        <w:pStyle w:val="Heading2"/>
        <w:spacing w:before="360" w:after="180"/>
      </w:pPr>
      <w:r>
        <w:rPr>
          <w:b/>
          <w:bCs/>
        </w:rPr>
        <w:t>2.3 Manual Appraisal Practice in the Sri Lankan Context</w:t>
      </w:r>
    </w:p>
    <w:p w14:paraId="0DA2210D" w14:textId="77777777" w:rsidR="00B06511" w:rsidRDefault="00000000">
      <w:pPr>
        <w:spacing w:after="200" w:line="480" w:lineRule="auto"/>
        <w:jc w:val="both"/>
      </w:pPr>
      <w:r>
        <w:t xml:space="preserve">Research specific to Sri Lanka reinforces the practical relevance of this problem. A University of Moratuwa study of SME credit analysis describes the existing appraisal process as being based almost entirely on credit officers' individual judgement, with roughly twenty criteria assessed manually and no </w:t>
      </w:r>
      <w:proofErr w:type="spellStart"/>
      <w:r>
        <w:t>standardised</w:t>
      </w:r>
      <w:proofErr w:type="spellEnd"/>
      <w:r>
        <w:t xml:space="preserve"> scoring mechanism to anchor the decision. This manual, judgement-driven approach is a </w:t>
      </w:r>
      <w:proofErr w:type="spellStart"/>
      <w:r>
        <w:t>recognised</w:t>
      </w:r>
      <w:proofErr w:type="spellEnd"/>
      <w:r>
        <w:t xml:space="preserve"> source of inconsistency and human error, and it is compounded by an institutional emphasis on physical collateral as the primary security against default. Sri Lanka's former Central Bank Governor, Dr Indrajit Coomaraswamy, has publicly argued that rigid reliance on traditional collateral requirements has systematically </w:t>
      </w:r>
      <w:proofErr w:type="spellStart"/>
      <w:r>
        <w:t>marginalised</w:t>
      </w:r>
      <w:proofErr w:type="spellEnd"/>
      <w:r>
        <w:t xml:space="preserve"> SMEs and agricultural entrepreneurs who cannot offer conventional physical security, effectively excluding a viable segment of borrowers from the formal banking system. Taken together, this body of work establishes both the mechanics of current practice and the specific harms — delay, inconsistency, and collateral-driven exclusion — that a decision support model would need to address.</w:t>
      </w:r>
    </w:p>
    <w:p w14:paraId="1FDAA932" w14:textId="77777777" w:rsidR="00B06511" w:rsidRDefault="00000000">
      <w:pPr>
        <w:pStyle w:val="Heading2"/>
        <w:spacing w:before="360" w:after="180"/>
      </w:pPr>
      <w:r>
        <w:rPr>
          <w:b/>
          <w:bCs/>
        </w:rPr>
        <w:t>2.4 Machine Learning Approaches to Credit Risk Assessment</w:t>
      </w:r>
    </w:p>
    <w:p w14:paraId="2299A2DB" w14:textId="77777777" w:rsidR="00B06511" w:rsidRDefault="00000000">
      <w:pPr>
        <w:spacing w:after="200" w:line="480" w:lineRule="auto"/>
        <w:jc w:val="both"/>
      </w:pPr>
      <w:r>
        <w:t xml:space="preserve">A growing body of literature applies machine learning classification techniques to credit risk assessment, with increasing attention to SME-specific applications. Comparative studies applying algorithms such as </w:t>
      </w:r>
      <w:proofErr w:type="spellStart"/>
      <w:r>
        <w:t>XGBoost</w:t>
      </w:r>
      <w:proofErr w:type="spellEnd"/>
      <w:r>
        <w:t xml:space="preserve">, </w:t>
      </w:r>
      <w:proofErr w:type="spellStart"/>
      <w:r>
        <w:t>LightGBM</w:t>
      </w:r>
      <w:proofErr w:type="spellEnd"/>
      <w:r>
        <w:t xml:space="preserve">, Random Forest, Support Vector Machines, Neural Networks, and Logistic Regression to financing guarantee and credit assessment tasks consistently report that ensemble tree-based methods outperform simpler linear baselines, particularly where the feature set is </w:t>
      </w:r>
      <w:r>
        <w:lastRenderedPageBreak/>
        <w:t xml:space="preserve">moderate in size and includes a mix of categorical and numerical variables. One such study proposes a dual-perspective feature augmentation framework that combines global pattern extraction with local interpretability enhancement, reporting improved predictive accuracy over single-perspective baselines. </w:t>
      </w:r>
      <w:proofErr w:type="spellStart"/>
      <w:r>
        <w:t>XGBoost</w:t>
      </w:r>
      <w:proofErr w:type="spellEnd"/>
      <w:r>
        <w:t xml:space="preserve"> in particular has been repeatedly found to perform competitively on tabular financial classification tasks while remaining computationally efficient relative to deep learning alternatives, and Random Forest has shown consistently strong accuracy in credit scoring applications involving sparse, SME-scale datasets.</w:t>
      </w:r>
    </w:p>
    <w:p w14:paraId="7B096E2B" w14:textId="77777777" w:rsidR="00B06511" w:rsidRDefault="00000000">
      <w:pPr>
        <w:spacing w:after="200" w:line="480" w:lineRule="auto"/>
        <w:jc w:val="both"/>
      </w:pPr>
      <w:r>
        <w:t>A second strand of literature addresses the practical constraint that SME training data is typically scarce relative to corporate lending datasets. Work on domain adaptation and ensemble learning proposes multistage ensemble paradigms that combine bootstrapped sampling with domain adaptation techniques to reduce model variance under limited data conditions, and highlights synthetic data augmentation as a complementary strategy for alleviating small-sample-size problems. This literature is directly relevant to the present study, which similarly works with a moderately sized dataset of 1,250 applications drawn from a single institution.</w:t>
      </w:r>
    </w:p>
    <w:p w14:paraId="33D453D2" w14:textId="77777777" w:rsidR="00B06511" w:rsidRDefault="00000000">
      <w:pPr>
        <w:pStyle w:val="Heading2"/>
        <w:spacing w:before="360" w:after="180"/>
      </w:pPr>
      <w:r>
        <w:rPr>
          <w:b/>
          <w:bCs/>
        </w:rPr>
        <w:t>2.5 Model Interpretability and Explainable AI</w:t>
      </w:r>
    </w:p>
    <w:p w14:paraId="73A05DDA" w14:textId="77777777" w:rsidR="00B06511" w:rsidRDefault="00000000">
      <w:pPr>
        <w:spacing w:after="200" w:line="480" w:lineRule="auto"/>
        <w:jc w:val="both"/>
      </w:pPr>
      <w:r>
        <w:t>Because credit decisions are subject to regulatory scrutiny, model interpretability is treated in the literature not as an optional refinement but as a precondition for adoption. Financial institutions operating under frameworks such as Basel III are expected to be able to explain the basis for a lending decision, which limits the practical usefulness of purely black-box models regardless of their predictive accuracy. Post-hoc explanation methods, particularly SHAP (</w:t>
      </w:r>
      <w:proofErr w:type="spellStart"/>
      <w:r>
        <w:t>SHapley</w:t>
      </w:r>
      <w:proofErr w:type="spellEnd"/>
      <w:r>
        <w:t xml:space="preserve"> Additive </w:t>
      </w:r>
      <w:proofErr w:type="spellStart"/>
      <w:r>
        <w:t>exPlanations</w:t>
      </w:r>
      <w:proofErr w:type="spellEnd"/>
      <w:r>
        <w:t xml:space="preserve">), have become a standard solution, offering both local, application-level attributions and global feature </w:t>
      </w:r>
      <w:r>
        <w:lastRenderedPageBreak/>
        <w:t xml:space="preserve">importance rankings that sum consistently across the portfolio. Complementary work applying fuzzy logic methods, such as Fuzzy-TOPSIS applied to Italian SME credit ratings, demonstrates that fuzzy approaches can handle the heterogeneous, partly qualitative information that </w:t>
      </w:r>
      <w:proofErr w:type="spellStart"/>
      <w:r>
        <w:t>characterises</w:t>
      </w:r>
      <w:proofErr w:type="spellEnd"/>
      <w:r>
        <w:t xml:space="preserve"> many SME credit files more effectively than crisp classification alone — a finding with clear relevance to a context, like Sri Lanka's, where much credit-relevant information remains officer judgement rather than structured data.</w:t>
      </w:r>
    </w:p>
    <w:p w14:paraId="6A3D67BC" w14:textId="77777777" w:rsidR="00B06511" w:rsidRDefault="00000000">
      <w:pPr>
        <w:pStyle w:val="Heading2"/>
        <w:spacing w:before="360" w:after="180"/>
      </w:pPr>
      <w:r>
        <w:rPr>
          <w:b/>
          <w:bCs/>
        </w:rPr>
        <w:t>2.6 AI-Driven Initiatives in the Sri Lankan Financial Sector</w:t>
      </w:r>
    </w:p>
    <w:p w14:paraId="50C174BB" w14:textId="77777777" w:rsidR="00B06511" w:rsidRDefault="00000000">
      <w:pPr>
        <w:spacing w:after="200" w:line="480" w:lineRule="auto"/>
        <w:jc w:val="both"/>
      </w:pPr>
      <w:r>
        <w:t xml:space="preserve">Recent developments confirm growing institutional appetite for AI-based credit assessment in Sri Lanka specifically. The Commercial Bank of Ceylon has launched what it describes as the country's first AI-powered SME credit underwriting solution, developed by combining in-house banking expertise with external technical capability, and positioned explicitly around faster loan approval. Separately, the Credit Information Bureau of Sri Lanka, in partnership with the Lanka Rating Agency, has introduced a Digital Dynamic Credit Ratings model intended to address the absence of structured, verifiable data on SME income, expenses, credit history, and transactional </w:t>
      </w:r>
      <w:proofErr w:type="spellStart"/>
      <w:r>
        <w:t>behaviour</w:t>
      </w:r>
      <w:proofErr w:type="spellEnd"/>
      <w:r>
        <w:t xml:space="preserve">. These initiatives are significant for two reasons: they demonstrate that the constraints identified in the academic literature — information asymmetry, collateral dependence, and lack of structured data — are also </w:t>
      </w:r>
      <w:proofErr w:type="spellStart"/>
      <w:r>
        <w:t>recognised</w:t>
      </w:r>
      <w:proofErr w:type="spellEnd"/>
      <w:r>
        <w:t xml:space="preserve"> as live problems by Sri Lankan financial institutions and regulators, and they show that the shift towards AI-assisted credit assessment in Sri Lanka is already underway at an industry level, even though rigorous, published, comparative evaluation of such models against manual appraisal remains limited.</w:t>
      </w:r>
    </w:p>
    <w:p w14:paraId="28A8172E" w14:textId="77777777" w:rsidR="00B06511" w:rsidRDefault="00000000">
      <w:pPr>
        <w:pStyle w:val="Heading2"/>
        <w:spacing w:before="360" w:after="180"/>
      </w:pPr>
      <w:r>
        <w:rPr>
          <w:b/>
          <w:bCs/>
        </w:rPr>
        <w:t>2.7 Critical Analysis and Synthesis</w:t>
      </w:r>
    </w:p>
    <w:p w14:paraId="538E131B" w14:textId="77777777" w:rsidR="00B06511" w:rsidRDefault="00000000">
      <w:pPr>
        <w:spacing w:after="200" w:line="480" w:lineRule="auto"/>
        <w:jc w:val="both"/>
      </w:pPr>
      <w:r>
        <w:lastRenderedPageBreak/>
        <w:t xml:space="preserve">Read together, the literature reviewed in this chapter supports three conclusions that shape the present study's methodology. First, ensemble tree-based methods (particularly Random Forest and gradient boosting variants such as </w:t>
      </w:r>
      <w:proofErr w:type="spellStart"/>
      <w:r>
        <w:t>XGBoost</w:t>
      </w:r>
      <w:proofErr w:type="spellEnd"/>
      <w:r>
        <w:t xml:space="preserve"> and </w:t>
      </w:r>
      <w:proofErr w:type="spellStart"/>
      <w:r>
        <w:t>LightGBM</w:t>
      </w:r>
      <w:proofErr w:type="spellEnd"/>
      <w:r>
        <w:t>) are the most consistently well-performing model family for tabular, moderate-sized credit datasets of the kind available in the Sri Lankan SME context, which justifies their inclusion as primary candidates in this study's model comparison. Second, interpretability cannot be treated as a secondary concern: the regulatory and practical requirement for explainable decisions means that any model developed for Sri Lankan bank adoption must be paired with a method such as SHAP capable of producing officer-readable, application-level explanations. Third, and most importantly for the framing of this research, existing studies — including Sri Lankan-specific work such as the University of Moratuwa study — predominantly treat credit assessment as a standalone prediction problem rather than as part of an end-to-end decision support system that a credit officer could realistically use. Even the most advanced recent initiatives in Sri Lanka, such as the CRIB-LRA DDCR model and the Commercial Bank of Ceylon's underwriting solution, are described publicly at a high level without published, independently evaluated comparisons of model performance against manual officer decisions.</w:t>
      </w:r>
    </w:p>
    <w:p w14:paraId="0C7FD305" w14:textId="77777777" w:rsidR="00B06511" w:rsidRDefault="00000000">
      <w:pPr>
        <w:pStyle w:val="Heading2"/>
        <w:spacing w:before="360" w:after="180"/>
      </w:pPr>
      <w:r>
        <w:rPr>
          <w:b/>
          <w:bCs/>
        </w:rPr>
        <w:t>2.8 Research Gap</w:t>
      </w:r>
    </w:p>
    <w:p w14:paraId="1ECF22FC" w14:textId="77777777" w:rsidR="00B06511" w:rsidRDefault="00000000">
      <w:pPr>
        <w:spacing w:after="200" w:line="480" w:lineRule="auto"/>
        <w:jc w:val="both"/>
      </w:pPr>
      <w:r>
        <w:t xml:space="preserve">Based on the preceding review, three specific gaps can be identified. First, there is no published, empirically validated decision support model — as distinct from a standalone prediction or scoring model — developed specifically for Sri Lankan SME loan appraisal using local bank data. Second, existing Sri Lankan-context studies do not incorporate a systematic, multi-algorithm comparison alongside interpretability analysis and direct benchmarking against manual credit officer decisions. Third, the </w:t>
      </w:r>
      <w:r>
        <w:lastRenderedPageBreak/>
        <w:t>integration of alternative, non-traditional data sources (such as mobile payment flows, utility payment history, or supply chain transaction data) into a Sri Lankan SME appraisal model remains largely unexplored in the literature, despite being recommended by policymakers as a route to assessing SMEs that lack conventional collateral or credit history. This study addresses the first two of these gaps directly, and identifies the third as a direction for future work.</w:t>
      </w:r>
    </w:p>
    <w:p w14:paraId="0B7DF1EB" w14:textId="77777777" w:rsidR="00B06511" w:rsidRDefault="00000000">
      <w:pPr>
        <w:pStyle w:val="Heading2"/>
        <w:spacing w:before="360" w:after="180"/>
      </w:pPr>
      <w:r>
        <w:rPr>
          <w:b/>
          <w:bCs/>
        </w:rPr>
        <w:t>2.9 Chapter Summary</w:t>
      </w:r>
    </w:p>
    <w:p w14:paraId="79B68C13" w14:textId="77777777" w:rsidR="00B06511" w:rsidRDefault="00000000">
      <w:pPr>
        <w:spacing w:after="200" w:line="480" w:lineRule="auto"/>
        <w:jc w:val="both"/>
      </w:pPr>
      <w:r>
        <w:t>This chapter has reviewed literature on the structural challenges of SME credit risk assessment, manual appraisal practice in Sri Lanka, machine learning approaches to credit classification, model interpretability requirements, and recent AI-driven initiatives in the Sri Lankan financial sector. The review establishes both the theoretical justification for the algorithms and interpretability approach adopted in this study, and the specific research gap — the absence of a validated, comparative, interpretable decision support model for Sri Lankan SME lending — that this research is designed to address. Chapter Three sets out the methodology developed to address this gap.</w:t>
      </w:r>
    </w:p>
    <w:sectPr w:rsidR="00B06511">
      <w:footerReference w:type="default" r:id="rId7"/>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90CE4" w14:textId="77777777" w:rsidR="00C54722" w:rsidRDefault="00C54722">
      <w:r>
        <w:separator/>
      </w:r>
    </w:p>
  </w:endnote>
  <w:endnote w:type="continuationSeparator" w:id="0">
    <w:p w14:paraId="5C3F9410" w14:textId="77777777" w:rsidR="00C54722" w:rsidRDefault="00C54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CFA6B" w14:textId="77777777" w:rsidR="00B06511" w:rsidRDefault="00000000">
    <w:pPr>
      <w:jc w:val="center"/>
    </w:pPr>
    <w:r>
      <w:rPr>
        <w:sz w:val="22"/>
        <w:szCs w:val="22"/>
      </w:rPr>
      <w:fldChar w:fldCharType="begin"/>
    </w:r>
    <w:r>
      <w:rPr>
        <w:sz w:val="22"/>
        <w:szCs w:val="22"/>
      </w:rPr>
      <w:instrText>PAGE</w:instrText>
    </w:r>
    <w:r>
      <w:rPr>
        <w:sz w:val="22"/>
        <w:szCs w:val="22"/>
      </w:rPr>
      <w:fldChar w:fldCharType="separate"/>
    </w:r>
    <w:r w:rsidR="001F410B">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421ED" w14:textId="77777777" w:rsidR="00C54722" w:rsidRDefault="00C54722">
      <w:r>
        <w:separator/>
      </w:r>
    </w:p>
  </w:footnote>
  <w:footnote w:type="continuationSeparator" w:id="0">
    <w:p w14:paraId="79918737" w14:textId="77777777" w:rsidR="00C54722" w:rsidRDefault="00C547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0A28"/>
    <w:multiLevelType w:val="hybridMultilevel"/>
    <w:tmpl w:val="8CE4872A"/>
    <w:lvl w:ilvl="0" w:tplc="F1FE403C">
      <w:start w:val="1"/>
      <w:numFmt w:val="bullet"/>
      <w:lvlText w:val="●"/>
      <w:lvlJc w:val="left"/>
      <w:pPr>
        <w:ind w:left="720" w:hanging="360"/>
      </w:pPr>
    </w:lvl>
    <w:lvl w:ilvl="1" w:tplc="B27CE358">
      <w:start w:val="1"/>
      <w:numFmt w:val="bullet"/>
      <w:lvlText w:val="○"/>
      <w:lvlJc w:val="left"/>
      <w:pPr>
        <w:ind w:left="1440" w:hanging="360"/>
      </w:pPr>
    </w:lvl>
    <w:lvl w:ilvl="2" w:tplc="24D66BEA">
      <w:start w:val="1"/>
      <w:numFmt w:val="bullet"/>
      <w:lvlText w:val="■"/>
      <w:lvlJc w:val="left"/>
      <w:pPr>
        <w:ind w:left="2160" w:hanging="360"/>
      </w:pPr>
    </w:lvl>
    <w:lvl w:ilvl="3" w:tplc="604E0DE2">
      <w:start w:val="1"/>
      <w:numFmt w:val="bullet"/>
      <w:lvlText w:val="●"/>
      <w:lvlJc w:val="left"/>
      <w:pPr>
        <w:ind w:left="2880" w:hanging="360"/>
      </w:pPr>
    </w:lvl>
    <w:lvl w:ilvl="4" w:tplc="0240CFA4">
      <w:start w:val="1"/>
      <w:numFmt w:val="bullet"/>
      <w:lvlText w:val="○"/>
      <w:lvlJc w:val="left"/>
      <w:pPr>
        <w:ind w:left="3600" w:hanging="360"/>
      </w:pPr>
    </w:lvl>
    <w:lvl w:ilvl="5" w:tplc="3E26BB08">
      <w:start w:val="1"/>
      <w:numFmt w:val="bullet"/>
      <w:lvlText w:val="■"/>
      <w:lvlJc w:val="left"/>
      <w:pPr>
        <w:ind w:left="4320" w:hanging="360"/>
      </w:pPr>
    </w:lvl>
    <w:lvl w:ilvl="6" w:tplc="B4969198">
      <w:start w:val="1"/>
      <w:numFmt w:val="bullet"/>
      <w:lvlText w:val="●"/>
      <w:lvlJc w:val="left"/>
      <w:pPr>
        <w:ind w:left="5040" w:hanging="360"/>
      </w:pPr>
    </w:lvl>
    <w:lvl w:ilvl="7" w:tplc="F7844526">
      <w:start w:val="1"/>
      <w:numFmt w:val="bullet"/>
      <w:lvlText w:val="●"/>
      <w:lvlJc w:val="left"/>
      <w:pPr>
        <w:ind w:left="5760" w:hanging="360"/>
      </w:pPr>
    </w:lvl>
    <w:lvl w:ilvl="8" w:tplc="3E12C5AC">
      <w:start w:val="1"/>
      <w:numFmt w:val="bullet"/>
      <w:lvlText w:val="●"/>
      <w:lvlJc w:val="left"/>
      <w:pPr>
        <w:ind w:left="6480" w:hanging="360"/>
      </w:pPr>
    </w:lvl>
  </w:abstractNum>
  <w:abstractNum w:abstractNumId="1" w15:restartNumberingAfterBreak="0">
    <w:nsid w:val="762F3B05"/>
    <w:multiLevelType w:val="hybridMultilevel"/>
    <w:tmpl w:val="DBCA66F2"/>
    <w:lvl w:ilvl="0" w:tplc="E26276AE">
      <w:start w:val="1"/>
      <w:numFmt w:val="decimal"/>
      <w:lvlText w:val="%1."/>
      <w:lvlJc w:val="left"/>
      <w:pPr>
        <w:ind w:left="720" w:hanging="360"/>
      </w:pPr>
    </w:lvl>
    <w:lvl w:ilvl="1" w:tplc="8EC46330">
      <w:numFmt w:val="decimal"/>
      <w:lvlText w:val=""/>
      <w:lvlJc w:val="left"/>
    </w:lvl>
    <w:lvl w:ilvl="2" w:tplc="BC908F7C">
      <w:numFmt w:val="decimal"/>
      <w:lvlText w:val=""/>
      <w:lvlJc w:val="left"/>
    </w:lvl>
    <w:lvl w:ilvl="3" w:tplc="FA6A54AE">
      <w:numFmt w:val="decimal"/>
      <w:lvlText w:val=""/>
      <w:lvlJc w:val="left"/>
    </w:lvl>
    <w:lvl w:ilvl="4" w:tplc="124431EC">
      <w:numFmt w:val="decimal"/>
      <w:lvlText w:val=""/>
      <w:lvlJc w:val="left"/>
    </w:lvl>
    <w:lvl w:ilvl="5" w:tplc="AE928BE8">
      <w:numFmt w:val="decimal"/>
      <w:lvlText w:val=""/>
      <w:lvlJc w:val="left"/>
    </w:lvl>
    <w:lvl w:ilvl="6" w:tplc="B68E0C1A">
      <w:numFmt w:val="decimal"/>
      <w:lvlText w:val=""/>
      <w:lvlJc w:val="left"/>
    </w:lvl>
    <w:lvl w:ilvl="7" w:tplc="A106E2C8">
      <w:numFmt w:val="decimal"/>
      <w:lvlText w:val=""/>
      <w:lvlJc w:val="left"/>
    </w:lvl>
    <w:lvl w:ilvl="8" w:tplc="B42C9E10">
      <w:numFmt w:val="decimal"/>
      <w:lvlText w:val=""/>
      <w:lvlJc w:val="left"/>
    </w:lvl>
  </w:abstractNum>
  <w:num w:numId="1" w16cid:durableId="1068651323">
    <w:abstractNumId w:val="0"/>
    <w:lvlOverride w:ilvl="0">
      <w:startOverride w:val="1"/>
    </w:lvlOverride>
  </w:num>
  <w:num w:numId="2" w16cid:durableId="14941775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511"/>
    <w:rsid w:val="001F410B"/>
    <w:rsid w:val="005071C6"/>
    <w:rsid w:val="00B06511"/>
    <w:rsid w:val="00C13174"/>
    <w:rsid w:val="00C54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A96B7"/>
  <w15:docId w15:val="{50AE5D5D-DFCE-44FE-9D06-50C51ADDF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2910</Words>
  <Characters>16591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vishwa Athukorala</cp:lastModifiedBy>
  <cp:revision>2</cp:revision>
  <dcterms:created xsi:type="dcterms:W3CDTF">2026-08-29T07:23:00Z</dcterms:created>
  <dcterms:modified xsi:type="dcterms:W3CDTF">2026-08-29T08:01:00Z</dcterms:modified>
</cp:coreProperties>
</file>