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 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(§5.10.3)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That refusal is supported by evidence: appraisal at a multilateral development bank shows development and credit concerns to be empirically independent (§3.6.2), so a combined score would discard real information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(§5.10).</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and an independence premise that its own data partly contradicts.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[7], who benchmarked forty-one classifiers across eight credit datasets and found ensemble methods consistently ahead.</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precisely the yardstick that made the anomalous result in Chapter 5 recognisable as anomalous.</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establish access to finance as a binding growth constraint for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(§5.10).</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(§5.10.1).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They report credit history, cash liquidity and repayment period as dominant criteria.</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 difference here is institutional grounding — the development criteria in this study are not selected by the researcher from a development framework, but taken from clause 5 of an instrument a state bank already uses in production.</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 xml:space="preserve">Arvanitis, Stampini and Vencatachellum [24] examine ex-ante appraisal at the African Development Bank and report a result of direct consequence: </w:t>
      </w:r>
      <w:r>
        <w:rPr>
          <w:rFonts w:ascii="Times New Roman" w:hAnsi="Times New Roman"/>
          <w:b/>
          <w:sz w:val="24"/>
        </w:rPr>
        <w:t>development and risk concerns considered during project appraisal are empirically independent of one another</w:t>
      </w:r>
      <w:r>
        <w:rPr>
          <w:rFonts w:ascii="Times New Roman" w:hAnsi="Times New Roman"/>
          <w:sz w:val="24"/>
        </w:rPr>
        <w:t>, and no assumption should be made about one from the other.</w:t>
      </w:r>
    </w:p>
    <w:p>
      <w:pPr>
        <w:spacing w:line="360" w:lineRule="auto" w:after="120"/>
      </w:pPr>
      <w:r>
        <w:rPr>
          <w:rFonts w:ascii="Times New Roman" w:hAnsi="Times New Roman"/>
          <w:sz w:val="24"/>
        </w:rPr>
        <w:t>This is the strongest available justification for the design decision in Chapter 4. If the two objectives were strongly correlated, a single combined score would lose little. Because they are independent, aggregation destroys real information: a facility strong on credit and weak on development is a materially different proposition from one moderate on both, and a combined score renders them indistinguishable.</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(§5.11).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§5.10.3);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Given Arvanitis et al.'s independence result, this study reports them separately by design and never produces a combined figure.</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§5.10–5.6</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§5.10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(§5.10.3).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(§5.18.2).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(§5.10).</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with Murphy's decomposition, and F1 at the Youden-optimal threshold.</w:t>
      </w:r>
    </w:p>
    <w:p>
      <w:pPr>
        <w:pStyle w:val="ListBullet"/>
        <w:spacing w:line="360" w:lineRule="auto" w:after="120"/>
      </w:pPr>
      <w:r>
        <w:rPr>
          <w:rFonts w:ascii="Times New Roman" w:hAnsi="Times New Roman"/>
          <w:sz w:val="24"/>
        </w:rPr>
        <w:t>Paired comparisons of AUC use DeLong's test [33],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§5.10.</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§5.15: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§5.10–5.5</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§5.18</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§5.18.</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5.18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§5.10–5.6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5.19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§5.10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(§5.10)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b/>
          <w:sz w:val="24"/>
        </w:rPr>
        <w:t>Authenticated sign-off</w:t>
      </w:r>
      <w:r>
        <w:rPr>
          <w:rFonts w:ascii="Times New Roman" w:hAnsi="Times New Roman"/>
          <w:sz w:val="24"/>
        </w:rPr>
        <w:t xml:space="preserve"> (§4.12) replaced a typed name. An audit trail of self-declared signatories records nothing; the signatory is now the authenticated user and roles are enforced server-side.</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[34] nor usability [35]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[34]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[35]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