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artefact is not confined to that file: it is present in the SBA's own loan-level FOIA extracts published in June 2026, across 1,032,317 resolved facilities and twenty consecutive approval years, and absent from the 504 programme whose terms are fixed by programme design. The mechanism is narrowed to a process acting on 7(a) records but is not fully established,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w:t>
      </w:r>
    </w:p>
    <w:p>
      <w:pPr>
        <w:spacing w:line="360" w:lineRule="auto" w:after="120"/>
      </w:pPr>
      <w:r>
        <w:rPr>
          <w:rFonts w:ascii="Times New Roman" w:hAnsi="Times New Roman"/>
          <w:sz w:val="24"/>
        </w:rPr>
        <w:t xml:space="preserve">Two findings concern the conduct of automated credit assessment rather than this dataset. First, both a gradient booster and a median-imputing logistic regression score information the applicant withheld as </w:t>
      </w:r>
      <w:r>
        <w:rPr>
          <w:rFonts w:ascii="Times New Roman" w:hAnsi="Times New Roman"/>
          <w:i/>
          <w:sz w:val="24"/>
        </w:rPr>
        <w:t>favourable</w:t>
      </w:r>
      <w:r>
        <w:rPr>
          <w:rFonts w:ascii="Times New Roman" w:hAnsi="Times New Roman"/>
          <w:sz w:val="24"/>
        </w:rPr>
        <w:t xml:space="preserve"> rather than as unknown: omitting a single field moves 19.84% of applicants from decline to approval, and an applicant supplying nothing at all is approved outright. This is an empirical argument for refusing to score an incomplete file rather than scoring it with a caveat. Second, subgroup analysis across credit-access proxies finds the expert scorecard failing the four-fifths rule on four of five attributes and declining 36.11% of creditworthy agricultural borrowers, the worst rate of any sector, though agriculture defaults least. The dataset records no protected characteristic, so no claim about lawful discrimination follows.</w:t>
      </w:r>
    </w:p>
    <w:p>
      <w:pPr>
        <w:spacing w:line="360" w:lineRule="auto" w:after="120"/>
      </w:pPr>
      <w:r>
        <w:rPr>
          <w:rFonts w:ascii="Times New Roman" w:hAnsi="Times New Roman"/>
          <w:sz w:val="24"/>
        </w:rPr>
        <w:t>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algorithmic fairness, missing data,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 xml:space="preserve">[7], who benchmarked </w:t>
      </w:r>
      <w:r>
        <w:rPr>
          <w:rFonts w:ascii="Times New Roman" w:hAnsi="Times New Roman"/>
          <w:b/>
          <w:sz w:val="24"/>
        </w:rPr>
        <w:t>forty-one classifiers across seven</w:t>
      </w:r>
      <w:r>
        <w:rPr>
          <w:rFonts w:ascii="Times New Roman" w:hAnsi="Times New Roman"/>
          <w:sz w:val="24"/>
        </w:rPr>
        <w:t xml:space="preserve"> real-world retail credit scoring datasets, updating Baesens et al. (2003). They report a </w:t>
      </w:r>
      <w:r>
        <w:rPr>
          <w:rFonts w:ascii="Times New Roman" w:hAnsi="Times New Roman"/>
          <w:i/>
          <w:sz w:val="24"/>
        </w:rPr>
        <w:t>tendency</w:t>
      </w:r>
      <w:r>
        <w:rPr>
          <w:rFonts w:ascii="Times New Roman" w:hAnsi="Times New Roman"/>
          <w:sz w:val="24"/>
        </w:rPr>
        <w:t xml:space="preserve"> for homogeneous ensembles to outperform individual classifiers — the five best methods all belong to that family, with random forest giving the most accurate probability-of-default estimates — but the picture is not uniform, and they note that several sophisticated techniques, including rotation forests and dynamic ensemble selection, predict less accurately than plain logistic regression.</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the yardstick that made the anomalous result in Chapter 5 recognisable as anomalous — with the caveat that their datasets are </w:t>
      </w:r>
      <w:r>
        <w:rPr>
          <w:rFonts w:ascii="Times New Roman" w:hAnsi="Times New Roman"/>
          <w:b/>
          <w:sz w:val="24"/>
        </w:rPr>
        <w:t>retail</w:t>
      </w:r>
      <w:r>
        <w:rPr>
          <w:rFonts w:ascii="Times New Roman" w:hAnsi="Times New Roman"/>
          <w:sz w:val="24"/>
        </w:rPr>
        <w:t xml:space="preserve"> credit, not SME lending, so they bound expectations by analogy rather than directly.</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is the standard reference for access to finance as a binding growth constraint on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 xml:space="preserve">Their most directly relevant result is finer than the headline. Examining the reasons officers recorded for their decisions, they find that </w:t>
      </w:r>
      <w:r>
        <w:rPr>
          <w:rFonts w:ascii="Times New Roman" w:hAnsi="Times New Roman"/>
          <w:b/>
          <w:sz w:val="24"/>
        </w:rPr>
        <w:t>a loan with the same quantitative measures of risk is less likely to be rejected for subjective reasons on sunny days</w:t>
      </w:r>
      <w:r>
        <w:rPr>
          <w:rFonts w:ascii="Times New Roman" w:hAnsi="Times New Roman"/>
          <w:sz w:val="24"/>
        </w:rPr>
        <w:t>. It is not the arithmetic that moves; it is the judgemental residue around it — which is precisely the part of the People's Bank form that this study formalises, and precisely the part it leaves to the officer where it cannot be formalised.</w:t>
      </w:r>
    </w:p>
    <w:p>
      <w:pPr>
        <w:spacing w:line="360" w:lineRule="auto" w:after="120"/>
      </w:pPr>
      <w:r>
        <w:rPr>
          <w:rFonts w:ascii="Times New Roman" w:hAnsi="Times New Roman"/>
          <w:b/>
          <w:sz w:val="24"/>
        </w:rPr>
        <w:t>The setting must be stated, because it is not this one.</w:t>
      </w:r>
      <w:r>
        <w:rPr>
          <w:rFonts w:ascii="Times New Roman" w:hAnsi="Times New Roman"/>
          <w:sz w:val="24"/>
        </w:rPr>
        <w:t xml:space="preserve"> Their evidence comes from US residential mortgage applications in the confidential Home Mortgage Disclosure Act registry —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an argument, not an observation, and it is offered as one.</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Data leakage is the use, in training or evaluation, of information that would not be available at the moment a prediction is actually made. Its effect is not subtle: a model reading some trace of the answer scores well and the error is invisible in every conventional diagnostic, because the model really does predict the held-out data — the held-out data is simply contaminated too.</w:t>
      </w:r>
    </w:p>
    <w:p>
      <w:pPr>
        <w:spacing w:line="360" w:lineRule="auto" w:after="120"/>
      </w:pPr>
      <w:r>
        <w:rPr>
          <w:rFonts w:ascii="Times New Roman" w:hAnsi="Times New Roman"/>
          <w:sz w:val="24"/>
        </w:rPr>
        <w:t xml:space="preserve">Kapoor and Narayanan [27] established the scale of the problem. Surveying prior reviews across machine-learning-based science, they find leakage in </w:t>
      </w:r>
      <w:r>
        <w:rPr>
          <w:rFonts w:ascii="Times New Roman" w:hAnsi="Times New Roman"/>
          <w:b/>
          <w:sz w:val="24"/>
        </w:rPr>
        <w:t>17 fields, collectively affecting 294 papers</w:t>
      </w:r>
      <w:r>
        <w:rPr>
          <w:rFonts w:ascii="Times New Roman" w:hAnsi="Times New Roman"/>
          <w:sz w:val="24"/>
        </w:rPr>
        <w:t>, in some cases producing what they call wildly overoptimistic conclusions, and argue it is the largest single cause of irreproducibility in the area. They demonstrate the consequence directly in a reproducibility study of civil war prediction, where complex models had been reported as substantially outperforming older methods and the advantage does not survive correction.</w:t>
      </w:r>
    </w:p>
    <w:p>
      <w:pPr>
        <w:spacing w:line="360" w:lineRule="auto" w:after="120"/>
      </w:pPr>
      <w:r>
        <w:rPr>
          <w:rFonts w:ascii="Times New Roman" w:hAnsi="Times New Roman"/>
          <w:sz w:val="24"/>
        </w:rPr>
        <w:t xml:space="preserve">Their contribution most relevant here is a </w:t>
      </w:r>
      <w:r>
        <w:rPr>
          <w:rFonts w:ascii="Times New Roman" w:hAnsi="Times New Roman"/>
          <w:b/>
          <w:sz w:val="24"/>
        </w:rPr>
        <w:t>taxonomy of eight leakage types</w:t>
      </w:r>
      <w:r>
        <w:rPr>
          <w:rFonts w:ascii="Times New Roman" w:hAnsi="Times New Roman"/>
          <w:sz w:val="24"/>
        </w:rPr>
        <w:t>, grouped in three families:</w:t>
      </w:r>
    </w:p>
    <w:p>
      <w:pPr>
        <w:pStyle w:val="Caption"/>
        <w:spacing w:line="360" w:lineRule="auto" w:before="120" w:after="40"/>
      </w:pPr>
      <w:r>
        <w:rPr>
          <w:rFonts w:ascii="Times New Roman" w:hAnsi="Times New Roman"/>
          <w:b w:val="0"/>
          <w:i w:val="0"/>
          <w:sz w:val="24"/>
        </w:rPr>
        <w:t>Table 3.1</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Family</w:t>
            </w:r>
          </w:p>
        </w:tc>
        <w:tc>
          <w:tcPr>
            <w:tcW w:type="dxa" w:w="2890"/>
          </w:tcPr>
          <w:p>
            <w:pPr>
              <w:spacing w:line="240" w:lineRule="auto" w:after="40"/>
            </w:pPr>
            <w:r/>
            <w:r>
              <w:rPr>
                <w:rFonts w:ascii="Times New Roman" w:hAnsi="Times New Roman"/>
                <w:b/>
                <w:sz w:val="22"/>
              </w:rPr>
              <w:t>Types</w:t>
            </w:r>
          </w:p>
        </w:tc>
        <w:tc>
          <w:tcPr>
            <w:tcW w:type="dxa" w:w="2890"/>
          </w:tcPr>
          <w:p>
            <w:pPr>
              <w:spacing w:line="240" w:lineRule="auto" w:after="40"/>
            </w:pPr>
            <w:r/>
            <w:r>
              <w:rPr>
                <w:rFonts w:ascii="Times New Roman" w:hAnsi="Times New Roman"/>
                <w:b/>
                <w:sz w:val="22"/>
              </w:rPr>
              <w:t>Character</w:t>
            </w:r>
          </w:p>
        </w:tc>
      </w:tr>
      <w:tr>
        <w:tc>
          <w:tcPr>
            <w:tcW w:type="dxa" w:w="2890"/>
          </w:tcPr>
          <w:p>
            <w:pPr>
              <w:spacing w:line="240" w:lineRule="auto" w:after="40"/>
            </w:pPr>
            <w:r/>
            <w:r>
              <w:rPr>
                <w:rFonts w:ascii="Times New Roman" w:hAnsi="Times New Roman"/>
                <w:b w:val="0"/>
                <w:sz w:val="22"/>
              </w:rPr>
              <w:t>L1 No clean train–test separation</w:t>
            </w:r>
          </w:p>
        </w:tc>
        <w:tc>
          <w:tcPr>
            <w:tcW w:type="dxa" w:w="2890"/>
          </w:tcPr>
          <w:p>
            <w:pPr>
              <w:spacing w:line="240" w:lineRule="auto" w:after="40"/>
            </w:pPr>
            <w:r/>
            <w:r>
              <w:rPr>
                <w:rFonts w:ascii="Times New Roman" w:hAnsi="Times New Roman"/>
                <w:b w:val="0"/>
                <w:sz w:val="22"/>
              </w:rPr>
              <w:t>no test set; preprocessing on train and test together; feature selection on both; duplicates across the split</w:t>
            </w:r>
          </w:p>
        </w:tc>
        <w:tc>
          <w:tcPr>
            <w:tcW w:type="dxa" w:w="2890"/>
          </w:tcPr>
          <w:p>
            <w:pPr>
              <w:spacing w:line="240" w:lineRule="auto" w:after="40"/>
            </w:pPr>
            <w:r/>
            <w:r>
              <w:rPr>
                <w:rFonts w:ascii="Times New Roman" w:hAnsi="Times New Roman"/>
                <w:b w:val="0"/>
                <w:sz w:val="22"/>
              </w:rPr>
              <w:t>Largely textbook errors, detectable by inspecting the pipeline</w:t>
            </w:r>
          </w:p>
        </w:tc>
      </w:tr>
      <w:tr>
        <w:tc>
          <w:tcPr>
            <w:tcW w:type="dxa" w:w="2890"/>
          </w:tcPr>
          <w:p>
            <w:pPr>
              <w:spacing w:line="240" w:lineRule="auto" w:after="40"/>
            </w:pPr>
            <w:r/>
            <w:r>
              <w:rPr>
                <w:rFonts w:ascii="Times New Roman" w:hAnsi="Times New Roman"/>
                <w:b w:val="0"/>
                <w:sz w:val="22"/>
              </w:rPr>
              <w:t>L2 Illegitimate features</w:t>
            </w:r>
          </w:p>
        </w:tc>
        <w:tc>
          <w:tcPr>
            <w:tcW w:type="dxa" w:w="2890"/>
          </w:tcPr>
          <w:p>
            <w:pPr>
              <w:spacing w:line="240" w:lineRule="auto" w:after="40"/>
            </w:pPr>
            <w:r/>
            <w:r>
              <w:rPr>
                <w:rFonts w:ascii="Times New Roman" w:hAnsi="Times New Roman"/>
                <w:b w:val="0"/>
                <w:sz w:val="22"/>
              </w:rPr>
              <w:t>the model uses a feature that should not be available — including, explicitly, a feature that is a proxy for the outcome variable</w:t>
            </w:r>
          </w:p>
        </w:tc>
        <w:tc>
          <w:tcPr>
            <w:tcW w:type="dxa" w:w="2890"/>
          </w:tcPr>
          <w:p>
            <w:pPr>
              <w:spacing w:line="240" w:lineRule="auto" w:after="40"/>
            </w:pPr>
            <w:r/>
            <w:r>
              <w:rPr>
                <w:rFonts w:ascii="Times New Roman" w:hAnsi="Times New Roman"/>
                <w:b w:val="0"/>
                <w:sz w:val="22"/>
              </w:rPr>
              <w:t>Requires domain judgement about each feature</w:t>
            </w:r>
          </w:p>
        </w:tc>
      </w:tr>
      <w:tr>
        <w:tc>
          <w:tcPr>
            <w:tcW w:type="dxa" w:w="2890"/>
          </w:tcPr>
          <w:p>
            <w:pPr>
              <w:spacing w:line="240" w:lineRule="auto" w:after="40"/>
            </w:pPr>
            <w:r/>
            <w:r>
              <w:rPr>
                <w:rFonts w:ascii="Times New Roman" w:hAnsi="Times New Roman"/>
                <w:b w:val="0"/>
                <w:sz w:val="22"/>
              </w:rPr>
              <w:t>L3 Test set not independent of training set</w:t>
            </w:r>
          </w:p>
        </w:tc>
        <w:tc>
          <w:tcPr>
            <w:tcW w:type="dxa" w:w="2890"/>
          </w:tcPr>
          <w:p>
            <w:pPr>
              <w:spacing w:line="240" w:lineRule="auto" w:after="40"/>
            </w:pPr>
            <w:r/>
            <w:r>
              <w:rPr>
                <w:rFonts w:ascii="Times New Roman" w:hAnsi="Times New Roman"/>
                <w:b w:val="0"/>
                <w:sz w:val="22"/>
              </w:rPr>
              <w:t>temporal leakage; non-independence between train and test; sampling bias</w:t>
            </w:r>
          </w:p>
        </w:tc>
        <w:tc>
          <w:tcPr>
            <w:tcW w:type="dxa" w:w="2890"/>
          </w:tcPr>
          <w:p>
            <w:pPr>
              <w:spacing w:line="240" w:lineRule="auto" w:after="40"/>
            </w:pPr>
            <w:r/>
            <w:r>
              <w:rPr>
                <w:rFonts w:ascii="Times New Roman" w:hAnsi="Times New Roman"/>
                <w:b w:val="0"/>
                <w:sz w:val="22"/>
              </w:rPr>
              <w:t>Shades into open research problems</w:t>
            </w:r>
          </w:p>
        </w:tc>
      </w:tr>
    </w:tbl>
    <w:p/>
    <w:p>
      <w:pPr>
        <w:spacing w:line="360" w:lineRule="auto" w:after="120"/>
      </w:pPr>
      <w:r>
        <w:rPr>
          <w:rFonts w:ascii="Times New Roman" w:hAnsi="Times New Roman"/>
          <w:sz w:val="24"/>
        </w:rPr>
        <w:t xml:space="preserve">Their proposed remedy is a </w:t>
      </w:r>
      <w:r>
        <w:rPr>
          <w:rFonts w:ascii="Times New Roman" w:hAnsi="Times New Roman"/>
          <w:b/>
          <w:sz w:val="24"/>
        </w:rPr>
        <w:t>model info sheet</w:t>
      </w:r>
      <w:r>
        <w:rPr>
          <w:rFonts w:ascii="Times New Roman" w:hAnsi="Times New Roman"/>
          <w:sz w:val="24"/>
        </w:rPr>
        <w:t>: the researcher writes down, for each element of the design, why it is sound — including, for L2, an argument that every feature in the model is legitimately available.</w:t>
      </w:r>
    </w:p>
    <w:p>
      <w:pPr>
        <w:spacing w:line="360" w:lineRule="auto" w:after="120"/>
      </w:pPr>
      <w:r>
        <w:rPr>
          <w:rFonts w:ascii="Times New Roman" w:hAnsi="Times New Roman"/>
          <w:sz w:val="24"/>
        </w:rPr>
        <w:t xml:space="preserve">The case in Chapter 5 is an instance of </w:t>
      </w:r>
      <w:r>
        <w:rPr>
          <w:rFonts w:ascii="Times New Roman" w:hAnsi="Times New Roman"/>
          <w:b/>
          <w:sz w:val="24"/>
        </w:rPr>
        <w:t>L2</w:t>
      </w:r>
      <w:r>
        <w:rPr>
          <w:rFonts w:ascii="Times New Roman" w:hAnsi="Times New Roman"/>
          <w:sz w:val="24"/>
        </w:rPr>
        <w:t xml:space="preserve">, in precisely the sub-case they name. It is also a case their remedy does not catch, and that is what makes it worth reporting rather than merely classifying. The contaminated field is documented in the dataset's own codebook as a contractual term agreed at origination; it is economically meaningful, it is available at appraisal time under that definition, and an honest researcher completing a model info sheet would write a correct and convincing justification for including it. The leakage survives the check designed to catch it, and is detectable only by noticing that the </w:t>
      </w:r>
      <w:r>
        <w:rPr>
          <w:rFonts w:ascii="Times New Roman" w:hAnsi="Times New Roman"/>
          <w:i/>
          <w:sz w:val="24"/>
        </w:rPr>
        <w:t>shape</w:t>
      </w:r>
      <w:r>
        <w:rPr>
          <w:rFonts w:ascii="Times New Roman" w:hAnsi="Times New Roman"/>
          <w:sz w:val="24"/>
        </w:rPr>
        <w:t xml:space="preserve"> of the field's relationship with the outcome is not one any economic mechanism could produce.</w:t>
      </w:r>
    </w:p>
    <w:p>
      <w:pPr>
        <w:spacing w:line="360" w:lineRule="auto" w:after="120"/>
      </w:pPr>
      <w:r>
        <w:rPr>
          <w:rFonts w:ascii="Times New Roman" w:hAnsi="Times New Roman"/>
          <w:sz w:val="24"/>
        </w:rPr>
        <w:t>Chapter 5's finding therefore sits inside a documented, recurring failure mode rather than being a curiosity peculiar to one dataset — and extends it, by exhibiting a variety that passes the current best-practice defence.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issued by the U.S. Small Business Administration between 1987 and 2014, with realised outcomes — as a teaching resource, built around a case assignment in which students take the role of a loan officer and decide whether to approve a facility. It has since become a widely used benchmark in small-business credit research, which is a heavier duty than it was designed for.</w:t>
      </w:r>
    </w:p>
    <w:p>
      <w:pPr>
        <w:spacing w:line="360" w:lineRule="auto" w:after="120"/>
      </w:pPr>
      <w:r>
        <w:rPr>
          <w:rFonts w:ascii="Times New Roman" w:hAnsi="Times New Roman"/>
          <w:sz w:val="24"/>
        </w:rPr>
        <w:t xml:space="preserve">Their Table 1 is the dataset's codebook. Three of its fields are populated only after a loan has been charged off — </w:t>
      </w:r>
      <w:r>
        <w:rPr>
          <w:rFonts w:ascii="Times New Roman" w:hAnsi="Times New Roman"/>
          <w:sz w:val="24"/>
        </w:rPr>
        <w:t>ChgOffDate</w:t>
      </w:r>
      <w:r>
        <w:rPr>
          <w:rFonts w:ascii="Times New Roman" w:hAnsi="Times New Roman"/>
          <w:sz w:val="24"/>
        </w:rPr>
        <w:t xml:space="preserve">, "the date when a loan is declared to be in default"; </w:t>
      </w:r>
      <w:r>
        <w:rPr>
          <w:rFonts w:ascii="Times New Roman" w:hAnsi="Times New Roman"/>
          <w:sz w:val="24"/>
        </w:rPr>
        <w:t>ChgOffPrinGr</w:t>
      </w:r>
      <w:r>
        <w:rPr>
          <w:rFonts w:ascii="Times New Roman" w:hAnsi="Times New Roman"/>
          <w:sz w:val="24"/>
        </w:rPr>
        <w:t xml:space="preserve">, "charged-off amount"; and </w:t>
      </w:r>
      <w:r>
        <w:rPr>
          <w:rFonts w:ascii="Times New Roman" w:hAnsi="Times New Roman"/>
          <w:sz w:val="24"/>
        </w:rPr>
        <w:t>BalanceGross</w:t>
      </w:r>
      <w:r>
        <w:rPr>
          <w:rFonts w:ascii="Times New Roman" w:hAnsi="Times New Roman"/>
          <w:sz w:val="24"/>
        </w:rPr>
        <w:t>, "gross amount outstanding" — and any model given them is reading the outcome rather than predicting it. They are dropped in this study, and the drop is asserted in code rather than assumed.</w:t>
      </w:r>
    </w:p>
    <w:p>
      <w:pPr>
        <w:spacing w:line="360" w:lineRule="auto" w:after="120"/>
      </w:pPr>
      <w:r>
        <w:rPr>
          <w:rFonts w:ascii="Times New Roman" w:hAnsi="Times New Roman"/>
          <w:sz w:val="24"/>
        </w:rPr>
        <w:t xml:space="preserve">The same table defines </w:t>
      </w:r>
      <w:r>
        <w:rPr>
          <w:rFonts w:ascii="Times New Roman" w:hAnsi="Times New Roman"/>
          <w:sz w:val="24"/>
        </w:rPr>
        <w:t>Term</w:t>
      </w:r>
      <w:r>
        <w:rPr>
          <w:rFonts w:ascii="Times New Roman" w:hAnsi="Times New Roman"/>
          <w:sz w:val="24"/>
        </w:rPr>
        <w:t xml:space="preserve"> as </w:t>
      </w:r>
      <w:r>
        <w:rPr>
          <w:rFonts w:ascii="Times New Roman" w:hAnsi="Times New Roman"/>
          <w:b/>
          <w:sz w:val="24"/>
        </w:rPr>
        <w:t>"Loan term in months"</w:t>
      </w:r>
      <w:r>
        <w:rPr>
          <w:rFonts w:ascii="Times New Roman" w:hAnsi="Times New Roman"/>
          <w:sz w:val="24"/>
        </w:rPr>
        <w:t xml:space="preserve">: the contractual term agreed at origination, legitimately available at appraisal time, and on that definition entirely proper to use. The searched literature reports </w:t>
      </w:r>
      <w:r>
        <w:rPr>
          <w:rFonts w:ascii="Times New Roman" w:hAnsi="Times New Roman"/>
          <w:sz w:val="24"/>
        </w:rPr>
        <w:t>Term</w:t>
      </w:r>
      <w:r>
        <w:rPr>
          <w:rFonts w:ascii="Times New Roman" w:hAnsi="Times New Roman"/>
          <w:sz w:val="24"/>
        </w:rPr>
        <w:t>, disbursement and approval amounts as significant predictors and uses them accordingly.</w:t>
      </w:r>
    </w:p>
    <w:p>
      <w:pPr>
        <w:spacing w:line="360" w:lineRule="auto" w:after="120"/>
      </w:pPr>
      <w:r>
        <w:rPr>
          <w:rFonts w:ascii="Times New Roman" w:hAnsi="Times New Roman"/>
          <w:sz w:val="24"/>
        </w:rPr>
        <w:t xml:space="preserve">The dataset's own documentation goes further. In discussing the data, the authors derive a feature </w:t>
      </w:r>
      <w:r>
        <w:rPr>
          <w:rFonts w:ascii="Times New Roman" w:hAnsi="Times New Roman"/>
          <w:i/>
          <w:sz w:val="24"/>
        </w:rPr>
        <w:t>from</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a </w:t>
      </w:r>
      <w:r>
        <w:rPr>
          <w:rFonts w:ascii="Times New Roman" w:hAnsi="Times New Roman"/>
          <w:sz w:val="24"/>
        </w:rPr>
        <w:t>RealEstate</w:t>
      </w:r>
      <w:r>
        <w:rPr>
          <w:rFonts w:ascii="Times New Roman" w:hAnsi="Times New Roman"/>
          <w:sz w:val="24"/>
        </w:rPr>
        <w:t xml:space="preserve"> indicator set where the term reaches 240 months, on the reasoning that only real-estate-backed lending runs twenty years — and report a striking difference in default rates between the two groups. That derivation is economically well-motivated and is exactly what a careful analyst would do. §5.10.6 examines what the contrast actually rests on.</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b/>
          <w:sz w:val="24"/>
        </w:rPr>
        <w:t>The solver is verified against an independent optimiser.</w:t>
      </w:r>
      <w:r>
        <w:rPr>
          <w:rFonts w:ascii="Times New Roman" w:hAnsi="Times New Roman"/>
          <w:sz w:val="24"/>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normalisation alone. The optimiser is never exercised, and an error would surface only on inconsistent responses — which is every real response.</w:t>
      </w:r>
    </w:p>
    <w:p>
      <w:pPr>
        <w:spacing w:line="360" w:lineRule="auto" w:after="120"/>
      </w:pPr>
      <w:r>
        <w:rPr>
          <w:rFonts w:ascii="Times New Roman" w:hAnsi="Times New Roman"/>
          <w:sz w:val="24"/>
        </w:rPr>
        <w:t xml:space="preserve">The implementation is therefore checked two further ways on deliberately inconsistent inputs. First, the maximum deviation is recomputed directly from the returned weights, written from the definition rather than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 wrong. Across three inconsistent cases the two agree to six decimal places, and the returned weights exhibit exactly the deviation reported. The check runs as part of </w:t>
      </w:r>
      <w:r>
        <w:rPr>
          <w:rFonts w:ascii="Times New Roman" w:hAnsi="Times New Roman"/>
          <w:sz w:val="24"/>
        </w:rPr>
        <w:t>research/src/bwm.py</w:t>
      </w:r>
      <w:r>
        <w:rPr>
          <w:rFonts w:ascii="Times New Roman" w:hAnsi="Times New Roman"/>
          <w:sz w:val="24"/>
        </w:rPr>
        <w:t>.</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That left three possibilities: the value is rewritten on restructuring, recomputed under some servicing convention, or introduced when this derivative file was assembled. The third would make the finding uninteresting — a packaging error in one upload rather than a property of the data — and §5.10.5 rules it out.</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the choice between the remaining two explanations is not.</w:t>
      </w:r>
      <w:r>
        <w:rPr>
          <w:rFonts w:ascii="Times New Roman" w:hAnsi="Times New Roman"/>
          <w:sz w:val="24"/>
        </w:rPr>
        <w:t xml:space="preserve"> This study reports it accordingly and does not assert a mechanism it has not demonstrated.</w:t>
      </w:r>
    </w:p>
    <w:p>
      <w:pPr>
        <w:pStyle w:val="Heading3"/>
        <w:spacing w:line="360" w:lineRule="auto" w:before="240" w:after="120"/>
      </w:pPr>
      <w:r>
        <w:rPr>
          <w:rFonts w:ascii="Times New Roman" w:hAnsi="Times New Roman"/>
          <w:b w:val="0"/>
          <w:sz w:val="24"/>
        </w:rPr>
        <w:t>5.10.5 The artefact is in the SBA's own records</w:t>
      </w:r>
    </w:p>
    <w:p>
      <w:pPr>
        <w:spacing w:line="360" w:lineRule="auto" w:after="120"/>
      </w:pPr>
      <w:r>
        <w:rPr>
          <w:rFonts w:ascii="Times New Roman" w:hAnsi="Times New Roman"/>
          <w:sz w:val="24"/>
        </w:rPr>
        <w:t>The derivation hypothesis can be tested without contacting anyone. The SBA publishes loan-level FOIA extracts of the same programme, refreshed quarterly; the release used here is current to 30 June 2026. If the pattern appears there, the derivative did not create it.</w:t>
      </w:r>
    </w:p>
    <w:p>
      <w:pPr>
        <w:spacing w:line="360" w:lineRule="auto" w:after="120"/>
      </w:pPr>
      <w:r>
        <w:rPr>
          <w:rFonts w:ascii="Times New Roman" w:hAnsi="Times New Roman"/>
          <w:sz w:val="24"/>
        </w:rPr>
        <w:t xml:space="preserve">It appears there. Across </w:t>
      </w:r>
      <w:r>
        <w:rPr>
          <w:rFonts w:ascii="Times New Roman" w:hAnsi="Times New Roman"/>
          <w:b/>
          <w:sz w:val="24"/>
        </w:rPr>
        <w:t>603,665 resolved 7(a) facilities approved between FY2000 and FY2009</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r>
          </w:p>
        </w:tc>
        <w:tc>
          <w:tcPr>
            <w:tcW w:type="dxa" w:w="2890"/>
          </w:tcPr>
          <w:p>
            <w:pPr>
              <w:spacing w:line="240" w:lineRule="auto" w:after="40"/>
            </w:pPr>
            <w:r/>
            <w:r>
              <w:rPr>
                <w:rFonts w:ascii="Times New Roman" w:hAnsi="Times New Roman"/>
                <w:b/>
                <w:sz w:val="22"/>
              </w:rPr>
              <w:t>SBA FOIA 7(a)</w:t>
            </w:r>
          </w:p>
        </w:tc>
        <w:tc>
          <w:tcPr>
            <w:tcW w:type="dxa" w:w="2890"/>
          </w:tcPr>
          <w:p>
            <w:pPr>
              <w:spacing w:line="240" w:lineRule="auto" w:after="40"/>
            </w:pPr>
            <w:r/>
            <w:r>
              <w:rPr>
                <w:rFonts w:ascii="Times New Roman" w:hAnsi="Times New Roman"/>
                <w:b/>
                <w:sz w:val="22"/>
              </w:rPr>
              <w:t>SBA National (derivative)</w:t>
            </w:r>
          </w:p>
        </w:tc>
      </w:tr>
      <w:tr>
        <w:tc>
          <w:tcPr>
            <w:tcW w:type="dxa" w:w="2890"/>
          </w:tcPr>
          <w:p>
            <w:pPr>
              <w:spacing w:line="240" w:lineRule="auto" w:after="40"/>
            </w:pPr>
            <w:r/>
            <w:r>
              <w:rPr>
                <w:rFonts w:ascii="Times New Roman" w:hAnsi="Times New Roman"/>
                <w:b w:val="0"/>
                <w:sz w:val="22"/>
              </w:rPr>
              <w:t>Repaid, term a multiple of twelve</w:t>
            </w:r>
          </w:p>
        </w:tc>
        <w:tc>
          <w:tcPr>
            <w:tcW w:type="dxa" w:w="2890"/>
          </w:tcPr>
          <w:p>
            <w:pPr>
              <w:spacing w:line="240" w:lineRule="auto" w:after="40"/>
            </w:pPr>
            <w:r/>
            <w:r>
              <w:rPr>
                <w:rFonts w:ascii="Times New Roman" w:hAnsi="Times New Roman"/>
                <w:b w:val="0"/>
                <w:sz w:val="22"/>
              </w:rPr>
              <w:t>82.02%</w:t>
            </w:r>
          </w:p>
        </w:tc>
        <w:tc>
          <w:tcPr>
            <w:tcW w:type="dxa" w:w="2890"/>
          </w:tcPr>
          <w:p>
            <w:pPr>
              <w:spacing w:line="240" w:lineRule="auto" w:after="40"/>
            </w:pPr>
            <w:r/>
            <w:r>
              <w:rPr>
                <w:rFonts w:ascii="Times New Roman" w:hAnsi="Times New Roman"/>
                <w:b w:val="0"/>
                <w:sz w:val="22"/>
              </w:rPr>
              <w:t>86.4%</w:t>
            </w:r>
          </w:p>
        </w:tc>
      </w:tr>
      <w:tr>
        <w:tc>
          <w:tcPr>
            <w:tcW w:type="dxa" w:w="2890"/>
          </w:tcPr>
          <w:p>
            <w:pPr>
              <w:spacing w:line="240" w:lineRule="auto" w:after="40"/>
            </w:pPr>
            <w:r/>
            <w:r>
              <w:rPr>
                <w:rFonts w:ascii="Times New Roman" w:hAnsi="Times New Roman"/>
                <w:b w:val="0"/>
                <w:sz w:val="22"/>
              </w:rPr>
              <w:t>Charged off, multiple of twelve</w:t>
            </w:r>
          </w:p>
        </w:tc>
        <w:tc>
          <w:tcPr>
            <w:tcW w:type="dxa" w:w="2890"/>
          </w:tcPr>
          <w:p>
            <w:pPr>
              <w:spacing w:line="240" w:lineRule="auto" w:after="40"/>
            </w:pPr>
            <w:r/>
            <w:r>
              <w:rPr>
                <w:rFonts w:ascii="Times New Roman" w:hAnsi="Times New Roman"/>
                <w:b w:val="0"/>
                <w:sz w:val="22"/>
              </w:rPr>
              <w:t>8.46%</w:t>
            </w:r>
          </w:p>
        </w:tc>
        <w:tc>
          <w:tcPr>
            <w:tcW w:type="dxa" w:w="2890"/>
          </w:tcPr>
          <w:p>
            <w:pPr>
              <w:spacing w:line="240" w:lineRule="auto" w:after="40"/>
            </w:pPr>
            <w:r/>
            <w:r>
              <w:rPr>
                <w:rFonts w:ascii="Times New Roman" w:hAnsi="Times New Roman"/>
                <w:b w:val="0"/>
                <w:sz w:val="22"/>
              </w:rPr>
              <w:t>8.5%</w:t>
            </w:r>
          </w:p>
        </w:tc>
      </w:tr>
      <w:tr>
        <w:tc>
          <w:tcPr>
            <w:tcW w:type="dxa" w:w="2890"/>
          </w:tcPr>
          <w:p>
            <w:pPr>
              <w:spacing w:line="240" w:lineRule="auto" w:after="40"/>
            </w:pPr>
            <w:r/>
            <w:r>
              <w:rPr>
                <w:rFonts w:ascii="Times New Roman" w:hAnsi="Times New Roman"/>
                <w:b w:val="0"/>
                <w:sz w:val="22"/>
              </w:rPr>
              <w:t>AUC of the roundness boolean</w:t>
            </w:r>
          </w:p>
        </w:tc>
        <w:tc>
          <w:tcPr>
            <w:tcW w:type="dxa" w:w="2890"/>
          </w:tcPr>
          <w:p>
            <w:pPr>
              <w:spacing w:line="240" w:lineRule="auto" w:after="40"/>
            </w:pPr>
            <w:r/>
            <w:r>
              <w:rPr>
                <w:rFonts w:ascii="Times New Roman" w:hAnsi="Times New Roman"/>
                <w:b w:val="0"/>
                <w:sz w:val="22"/>
              </w:rPr>
              <w:t>0.8678</w:t>
            </w:r>
          </w:p>
        </w:tc>
        <w:tc>
          <w:tcPr>
            <w:tcW w:type="dxa" w:w="2890"/>
          </w:tcPr>
          <w:p>
            <w:pPr>
              <w:spacing w:line="240" w:lineRule="auto" w:after="40"/>
            </w:pPr>
            <w:r/>
            <w:r>
              <w:rPr>
                <w:rFonts w:ascii="Times New Roman" w:hAnsi="Times New Roman"/>
                <w:b w:val="0"/>
                <w:sz w:val="22"/>
              </w:rPr>
              <w:t>0.8894</w:t>
            </w:r>
          </w:p>
        </w:tc>
      </w:tr>
    </w:tbl>
    <w:p/>
    <w:p>
      <w:pPr>
        <w:spacing w:line="360" w:lineRule="auto" w:after="120"/>
      </w:pPr>
      <w:r>
        <w:rPr>
          <w:rFonts w:ascii="Times New Roman" w:hAnsi="Times New Roman"/>
          <w:sz w:val="24"/>
        </w:rPr>
        <w:t xml:space="preserve">and it holds in every approval year, between 0.8562 and 0.8808. </w:t>
      </w:r>
      <w:r>
        <w:rPr>
          <w:rFonts w:ascii="Times New Roman" w:hAnsi="Times New Roman"/>
          <w:b/>
          <w:sz w:val="24"/>
        </w:rPr>
        <w:t>The contamination is not an artefact of the derivative file.</w:t>
      </w:r>
      <w:r>
        <w:rPr>
          <w:rFonts w:ascii="Times New Roman" w:hAnsi="Times New Roman"/>
          <w:sz w:val="24"/>
        </w:rPr>
        <w:t xml:space="preserve"> It is present in the authoritative publication, which removes one of the three candidate explanations and moves the finding from a problem with one dataset to a property of the records themselves.</w:t>
      </w:r>
    </w:p>
    <w:p>
      <w:pPr>
        <w:spacing w:line="360" w:lineRule="auto" w:after="120"/>
      </w:pPr>
      <w:r>
        <w:rPr>
          <w:rFonts w:ascii="Times New Roman" w:hAnsi="Times New Roman"/>
          <w:b/>
          <w:sz w:val="24"/>
        </w:rPr>
        <w:t>Nor is it historical.</w:t>
      </w:r>
      <w:r>
        <w:rPr>
          <w:rFonts w:ascii="Times New Roman" w:hAnsi="Times New Roman"/>
          <w:sz w:val="24"/>
        </w:rPr>
        <w:t xml:space="preserve"> The same release covers FY2010–FY2019, a decade lying entirely outside the derivative's coverage and now old enough to have resolved. Across </w:t>
      </w:r>
      <w:r>
        <w:rPr>
          <w:rFonts w:ascii="Times New Roman" w:hAnsi="Times New Roman"/>
          <w:b/>
          <w:sz w:val="24"/>
        </w:rPr>
        <w:t>428,652 resolved facilities</w:t>
      </w:r>
      <w:r>
        <w:rPr>
          <w:rFonts w:ascii="Times New Roman" w:hAnsi="Times New Roman"/>
          <w:sz w:val="24"/>
        </w:rPr>
        <w:t xml:space="preserve"> there the boolean reaches </w:t>
      </w:r>
      <w:r>
        <w:rPr>
          <w:rFonts w:ascii="Times New Roman" w:hAnsi="Times New Roman"/>
          <w:b/>
          <w:sz w:val="24"/>
        </w:rPr>
        <w:t>AUC 0.8815</w:t>
      </w:r>
      <w:r>
        <w:rPr>
          <w:rFonts w:ascii="Times New Roman" w:hAnsi="Times New Roman"/>
          <w:sz w:val="24"/>
        </w:rPr>
        <w:t xml:space="preserve">, with repaid facilities </w:t>
      </w:r>
      <w:r>
        <w:rPr>
          <w:rFonts w:ascii="Times New Roman" w:hAnsi="Times New Roman"/>
          <w:b/>
          <w:sz w:val="24"/>
        </w:rPr>
        <w:t>86.44%</w:t>
      </w:r>
      <w:r>
        <w:rPr>
          <w:rFonts w:ascii="Times New Roman" w:hAnsi="Times New Roman"/>
          <w:sz w:val="24"/>
        </w:rPr>
        <w:t xml:space="preserve"> round-termed against </w:t>
      </w:r>
      <w:r>
        <w:rPr>
          <w:rFonts w:ascii="Times New Roman" w:hAnsi="Times New Roman"/>
          <w:b/>
          <w:sz w:val="24"/>
        </w:rPr>
        <w:t>10.15%</w:t>
      </w:r>
      <w:r>
        <w:rPr>
          <w:rFonts w:ascii="Times New Roman" w:hAnsi="Times New Roman"/>
          <w:sz w:val="24"/>
        </w:rPr>
        <w:t xml:space="preserve"> for charge-offs, and every approval year falls between 0.8587 and 0.8904.</w:t>
      </w:r>
    </w:p>
    <w:p>
      <w:pPr>
        <w:spacing w:line="360" w:lineRule="auto" w:after="120"/>
      </w:pPr>
      <w:r>
        <w:rPr>
          <w:rFonts w:ascii="Times New Roman" w:hAnsi="Times New Roman"/>
          <w:sz w:val="24"/>
        </w:rPr>
        <w:t xml:space="preserve">Taken together the two extracts span </w:t>
      </w:r>
      <w:r>
        <w:rPr>
          <w:rFonts w:ascii="Times New Roman" w:hAnsi="Times New Roman"/>
          <w:b/>
          <w:sz w:val="24"/>
        </w:rPr>
        <w:t>1,032,317 resolved facilities across twenty consecutive approval years, FY2000 to FY2019, with the probe never leaving the range 0.8562 to 0.8904.</w:t>
      </w:r>
      <w:r>
        <w:rPr>
          <w:rFonts w:ascii="Times New Roman" w:hAnsi="Times New Roman"/>
          <w:sz w:val="24"/>
        </w:rPr>
        <w:t xml:space="preserve"> This is not a defect in an old teaching file. It is a live property of loan data the SBA published in June 2026, and anyone building a model on the current release is exposed to it exactly as anyone using the 2014 derivative was.</w:t>
      </w:r>
    </w:p>
    <w:p>
      <w:pPr>
        <w:spacing w:line="360" w:lineRule="auto" w:after="120"/>
      </w:pPr>
      <w:r>
        <w:rPr>
          <w:rFonts w:ascii="Times New Roman" w:hAnsi="Times New Roman"/>
          <w:b/>
          <w:sz w:val="24"/>
        </w:rPr>
        <w:t>This is not an independent replication and is not claimed as one.</w:t>
      </w:r>
      <w:r>
        <w:rPr>
          <w:rFonts w:ascii="Times New Roman" w:hAnsi="Times New Roman"/>
          <w:sz w:val="24"/>
        </w:rPr>
        <w:t xml:space="preserve"> The SBA National dataset is itself built from SBA FOIA releases, so these are the same underlying loans at a different vintage rather than a second source. What the comparison settles is where the artefact originates, not whether it recurs elsewhere.</w:t>
      </w:r>
    </w:p>
    <w:p>
      <w:pPr>
        <w:spacing w:line="360" w:lineRule="auto" w:after="120"/>
      </w:pPr>
      <w:r>
        <w:rPr>
          <w:rFonts w:ascii="Times New Roman" w:hAnsi="Times New Roman"/>
          <w:sz w:val="24"/>
        </w:rPr>
        <w:t xml:space="preserve">The same release supplies a control. The </w:t>
      </w:r>
      <w:r>
        <w:rPr>
          <w:rFonts w:ascii="Times New Roman" w:hAnsi="Times New Roman"/>
          <w:b/>
          <w:sz w:val="24"/>
        </w:rPr>
        <w:t>504 programme</w:t>
      </w:r>
      <w:r>
        <w:rPr>
          <w:rFonts w:ascii="Times New Roman" w:hAnsi="Times New Roman"/>
          <w:sz w:val="24"/>
        </w:rPr>
        <w:t xml:space="preserve"> is a different facility type under the same agency, released in the same extract, and its terms are fixed by programme design — </w:t>
      </w:r>
      <w:r>
        <w:rPr>
          <w:rFonts w:ascii="Times New Roman" w:hAnsi="Times New Roman"/>
          <w:b/>
          <w:sz w:val="24"/>
        </w:rPr>
        <w:t>95.5% are written at exactly 240 months</w:t>
      </w:r>
      <w:r>
        <w:rPr>
          <w:rFonts w:ascii="Times New Roman" w:hAnsi="Times New Roman"/>
          <w:sz w:val="24"/>
        </w:rPr>
        <w:t xml:space="preserve">. There the boolean discriminates at </w:t>
      </w:r>
      <w:r>
        <w:rPr>
          <w:rFonts w:ascii="Times New Roman" w:hAnsi="Times New Roman"/>
          <w:b/>
          <w:sz w:val="24"/>
        </w:rPr>
        <w:t>AUC 0.4997</w:t>
      </w:r>
      <w:r>
        <w:rPr>
          <w:rFonts w:ascii="Times New Roman" w:hAnsi="Times New Roman"/>
          <w:sz w:val="24"/>
        </w:rPr>
        <w:t xml:space="preserve">, indistinguishable from chance, and charged-off facilities are marginally </w:t>
      </w:r>
      <w:r>
        <w:rPr>
          <w:rFonts w:ascii="Times New Roman" w:hAnsi="Times New Roman"/>
          <w:i/>
          <w:sz w:val="24"/>
        </w:rPr>
        <w:t>more</w:t>
      </w:r>
      <w:r>
        <w:rPr>
          <w:rFonts w:ascii="Times New Roman" w:hAnsi="Times New Roman"/>
          <w:sz w:val="24"/>
        </w:rPr>
        <w:t xml:space="preserve"> round-termed (99.85%) than repaid ones (99.80%).</w:t>
      </w:r>
    </w:p>
    <w:p>
      <w:pPr>
        <w:spacing w:line="360" w:lineRule="auto" w:after="120"/>
      </w:pPr>
      <w:r>
        <w:rPr>
          <w:rFonts w:ascii="Times New Roman" w:hAnsi="Times New Roman"/>
          <w:sz w:val="24"/>
        </w:rPr>
        <w:t>That contrast is informative. In a programme where the term is set by the programme and effectively never varies, charged-off records retain their round terms. In 7(a), where the term is negotiated facility by facility, charged-off records overwhelmingly do not. Whatever produces the pattern acts on 7(a) records and not on 504 records, which is consistent with a servicing or restructuring process that touches the term field, and inconsistent with anything applied uniformly across the agency's data. It narrows the mechanism; it does not establish it, and the distinction is maintained here.</w:t>
      </w:r>
    </w:p>
    <w:p>
      <w:pPr>
        <w:pStyle w:val="Heading3"/>
        <w:spacing w:line="360" w:lineRule="auto" w:before="240" w:after="120"/>
      </w:pPr>
      <w:r>
        <w:rPr>
          <w:rFonts w:ascii="Times New Roman" w:hAnsi="Times New Roman"/>
          <w:b w:val="0"/>
          <w:sz w:val="24"/>
        </w:rPr>
        <w:t>5.10.6 Is twelve doing the work?</w:t>
      </w:r>
    </w:p>
    <w:p>
      <w:pPr>
        <w:spacing w:line="360" w:lineRule="auto" w:after="120"/>
      </w:pPr>
      <w:r>
        <w:rPr>
          <w:rFonts w:ascii="Times New Roman" w:hAnsi="Times New Roman"/>
          <w:sz w:val="24"/>
        </w:rPr>
        <w:t>The finding rests on one boolean, so the obvious challenge is whether twelve matters at all. If "multiple of two" or "multiple of five" discriminated equally well, this would not be about round contractual terms and the interpretation above would be wrong.</w:t>
      </w:r>
    </w:p>
    <w:p>
      <w:pPr>
        <w:spacing w:line="360" w:lineRule="auto" w:after="120"/>
      </w:pPr>
      <w:r>
        <w:rPr>
          <w:rFonts w:ascii="Times New Roman" w:hAnsi="Times New Roman"/>
          <w:sz w:val="24"/>
        </w:rPr>
        <w:t>Twenty moduli were tested on the 651,501 matured facilities with a positive term. The strata overlap by construction — every multiple of twelve is also a multiple of six, four, three and two — so raw discrimination is reported alongside</w:t>
      </w:r>
    </w:p>
    <w:p>
      <w:pPr>
        <w:spacing w:line="360" w:lineRule="auto" w:after="120"/>
      </w:pPr>
      <w:r>
        <w:rPr>
          <w:rFonts w:ascii="Times New Roman" w:hAnsi="Times New Roman"/>
          <w:i/>
          <w:sz w:val="24"/>
        </w:rPr>
        <w:t>residual</w:t>
      </w:r>
      <w:r>
        <w:rPr>
          <w:rFonts w:ascii="Times New Roman" w:hAnsi="Times New Roman"/>
          <w:sz w:val="24"/>
        </w:rPr>
        <w:t xml:space="preserve"> discrimination computed within the multiples of twelve and within the non-multiples separately, which strips out whatever a modulus inherits from twelve.</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Modulus</w:t>
            </w:r>
          </w:p>
        </w:tc>
        <w:tc>
          <w:tcPr>
            <w:tcW w:type="dxa" w:w="2890"/>
          </w:tcPr>
          <w:p>
            <w:pPr>
              <w:spacing w:line="240" w:lineRule="auto" w:after="40"/>
            </w:pPr>
            <w:r/>
            <w:r>
              <w:rPr>
                <w:rFonts w:ascii="Times New Roman" w:hAnsi="Times New Roman"/>
                <w:b/>
                <w:sz w:val="22"/>
              </w:rPr>
              <w:t>Share ≡ 0</w:t>
            </w:r>
          </w:p>
        </w:tc>
        <w:tc>
          <w:tcPr>
            <w:tcW w:type="dxa" w:w="2890"/>
          </w:tcPr>
          <w:p>
            <w:pPr>
              <w:spacing w:line="240" w:lineRule="auto" w:after="40"/>
            </w:pPr>
            <w:r/>
            <w:r>
              <w:rPr>
                <w:rFonts w:ascii="Times New Roman" w:hAnsi="Times New Roman"/>
                <w:b/>
                <w:sz w:val="22"/>
              </w:rPr>
              <w:t>Raw AUC</w:t>
            </w:r>
          </w:p>
        </w:tc>
      </w:tr>
      <w:tr>
        <w:tc>
          <w:tcPr>
            <w:tcW w:type="dxa" w:w="2890"/>
          </w:tcPr>
          <w:p>
            <w:pPr>
              <w:spacing w:line="240" w:lineRule="auto" w:after="40"/>
            </w:pPr>
            <w:r/>
            <w:r>
              <w:rPr>
                <w:rFonts w:ascii="Times New Roman" w:hAnsi="Times New Roman"/>
                <w:b w:val="0"/>
                <w:sz w:val="22"/>
              </w:rPr>
              <w:t>12</w:t>
            </w:r>
          </w:p>
        </w:tc>
        <w:tc>
          <w:tcPr>
            <w:tcW w:type="dxa" w:w="2890"/>
          </w:tcPr>
          <w:p>
            <w:pPr>
              <w:spacing w:line="240" w:lineRule="auto" w:after="40"/>
            </w:pPr>
            <w:r/>
            <w:r>
              <w:rPr>
                <w:rFonts w:ascii="Times New Roman" w:hAnsi="Times New Roman"/>
                <w:b w:val="0"/>
                <w:sz w:val="22"/>
              </w:rPr>
              <w:t>70.07%</w:t>
            </w:r>
          </w:p>
        </w:tc>
        <w:tc>
          <w:tcPr>
            <w:tcW w:type="dxa" w:w="2890"/>
          </w:tcPr>
          <w:p>
            <w:pPr>
              <w:spacing w:line="240" w:lineRule="auto" w:after="40"/>
            </w:pPr>
            <w:r/>
            <w:r>
              <w:rPr>
                <w:rFonts w:ascii="Times New Roman" w:hAnsi="Times New Roman"/>
                <w:b w:val="0"/>
                <w:sz w:val="22"/>
              </w:rPr>
              <w:t>0.8859</w:t>
            </w:r>
          </w:p>
        </w:tc>
      </w:tr>
      <w:tr>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74.39%</w:t>
            </w:r>
          </w:p>
        </w:tc>
        <w:tc>
          <w:tcPr>
            <w:tcW w:type="dxa" w:w="2890"/>
          </w:tcPr>
          <w:p>
            <w:pPr>
              <w:spacing w:line="240" w:lineRule="auto" w:after="40"/>
            </w:pPr>
            <w:r/>
            <w:r>
              <w:rPr>
                <w:rFonts w:ascii="Times New Roman" w:hAnsi="Times New Roman"/>
                <w:b w:val="0"/>
                <w:sz w:val="22"/>
              </w:rPr>
              <w:t>0.8600</w:t>
            </w:r>
          </w:p>
        </w:tc>
      </w:tr>
      <w:tr>
        <w:tc>
          <w:tcPr>
            <w:tcW w:type="dxa" w:w="2890"/>
          </w:tcPr>
          <w:p>
            <w:pPr>
              <w:spacing w:line="240" w:lineRule="auto" w:after="40"/>
            </w:pPr>
            <w:r/>
            <w:r>
              <w:rPr>
                <w:rFonts w:ascii="Times New Roman" w:hAnsi="Times New Roman"/>
                <w:b w:val="0"/>
                <w:sz w:val="22"/>
              </w:rPr>
              <w:t>4</w:t>
            </w:r>
          </w:p>
        </w:tc>
        <w:tc>
          <w:tcPr>
            <w:tcW w:type="dxa" w:w="2890"/>
          </w:tcPr>
          <w:p>
            <w:pPr>
              <w:spacing w:line="240" w:lineRule="auto" w:after="40"/>
            </w:pPr>
            <w:r/>
            <w:r>
              <w:rPr>
                <w:rFonts w:ascii="Times New Roman" w:hAnsi="Times New Roman"/>
                <w:b w:val="0"/>
                <w:sz w:val="22"/>
              </w:rPr>
              <w:t>74.74%</w:t>
            </w:r>
          </w:p>
        </w:tc>
        <w:tc>
          <w:tcPr>
            <w:tcW w:type="dxa" w:w="2890"/>
          </w:tcPr>
          <w:p>
            <w:pPr>
              <w:spacing w:line="240" w:lineRule="auto" w:after="40"/>
            </w:pPr>
            <w:r/>
            <w:r>
              <w:rPr>
                <w:rFonts w:ascii="Times New Roman" w:hAnsi="Times New Roman"/>
                <w:b w:val="0"/>
                <w:sz w:val="22"/>
              </w:rPr>
              <w:t>0.8109</w:t>
            </w:r>
          </w:p>
        </w:tc>
      </w:tr>
      <w:tr>
        <w:tc>
          <w:tcPr>
            <w:tcW w:type="dxa" w:w="2890"/>
          </w:tcPr>
          <w:p>
            <w:pPr>
              <w:spacing w:line="240" w:lineRule="auto" w:after="40"/>
            </w:pPr>
            <w:r/>
            <w:r>
              <w:rPr>
                <w:rFonts w:ascii="Times New Roman" w:hAnsi="Times New Roman"/>
                <w:b w:val="0"/>
                <w:sz w:val="22"/>
              </w:rPr>
              <w:t>3</w:t>
            </w:r>
          </w:p>
        </w:tc>
        <w:tc>
          <w:tcPr>
            <w:tcW w:type="dxa" w:w="2890"/>
          </w:tcPr>
          <w:p>
            <w:pPr>
              <w:spacing w:line="240" w:lineRule="auto" w:after="40"/>
            </w:pPr>
            <w:r/>
            <w:r>
              <w:rPr>
                <w:rFonts w:ascii="Times New Roman" w:hAnsi="Times New Roman"/>
                <w:b w:val="0"/>
                <w:sz w:val="22"/>
              </w:rPr>
              <w:t>80.24%</w:t>
            </w:r>
          </w:p>
        </w:tc>
        <w:tc>
          <w:tcPr>
            <w:tcW w:type="dxa" w:w="2890"/>
          </w:tcPr>
          <w:p>
            <w:pPr>
              <w:spacing w:line="240" w:lineRule="auto" w:after="40"/>
            </w:pPr>
            <w:r/>
            <w:r>
              <w:rPr>
                <w:rFonts w:ascii="Times New Roman" w:hAnsi="Times New Roman"/>
                <w:b w:val="0"/>
                <w:sz w:val="22"/>
              </w:rPr>
              <w:t>0.7934</w:t>
            </w:r>
          </w:p>
        </w:tc>
      </w:tr>
      <w:tr>
        <w:tc>
          <w:tcPr>
            <w:tcW w:type="dxa" w:w="2890"/>
          </w:tcPr>
          <w:p>
            <w:pPr>
              <w:spacing w:line="240" w:lineRule="auto" w:after="40"/>
            </w:pPr>
            <w:r/>
            <w:r>
              <w:rPr>
                <w:rFonts w:ascii="Times New Roman" w:hAnsi="Times New Roman"/>
                <w:b w:val="0"/>
                <w:sz w:val="22"/>
              </w:rPr>
              <w:t>2</w:t>
            </w:r>
          </w:p>
        </w:tc>
        <w:tc>
          <w:tcPr>
            <w:tcW w:type="dxa" w:w="2890"/>
          </w:tcPr>
          <w:p>
            <w:pPr>
              <w:spacing w:line="240" w:lineRule="auto" w:after="40"/>
            </w:pPr>
            <w:r/>
            <w:r>
              <w:rPr>
                <w:rFonts w:ascii="Times New Roman" w:hAnsi="Times New Roman"/>
                <w:b w:val="0"/>
                <w:sz w:val="22"/>
              </w:rPr>
              <w:t>84.04%</w:t>
            </w:r>
          </w:p>
        </w:tc>
        <w:tc>
          <w:tcPr>
            <w:tcW w:type="dxa" w:w="2890"/>
          </w:tcPr>
          <w:p>
            <w:pPr>
              <w:spacing w:line="240" w:lineRule="auto" w:after="40"/>
            </w:pPr>
            <w:r/>
            <w:r>
              <w:rPr>
                <w:rFonts w:ascii="Times New Roman" w:hAnsi="Times New Roman"/>
                <w:b w:val="0"/>
                <w:sz w:val="22"/>
              </w:rPr>
              <w:t>0.7125</w:t>
            </w:r>
          </w:p>
        </w:tc>
      </w:tr>
      <w:tr>
        <w:tc>
          <w:tcPr>
            <w:tcW w:type="dxa" w:w="2890"/>
          </w:tcPr>
          <w:p>
            <w:pPr>
              <w:spacing w:line="240" w:lineRule="auto" w:after="40"/>
            </w:pPr>
            <w:r/>
            <w:r>
              <w:rPr>
                <w:rFonts w:ascii="Times New Roman" w:hAnsi="Times New Roman"/>
                <w:b w:val="0"/>
                <w:sz w:val="22"/>
              </w:rPr>
              <w:t>7</w:t>
            </w:r>
          </w:p>
        </w:tc>
        <w:tc>
          <w:tcPr>
            <w:tcW w:type="dxa" w:w="2890"/>
          </w:tcPr>
          <w:p>
            <w:pPr>
              <w:spacing w:line="240" w:lineRule="auto" w:after="40"/>
            </w:pPr>
            <w:r/>
            <w:r>
              <w:rPr>
                <w:rFonts w:ascii="Times New Roman" w:hAnsi="Times New Roman"/>
                <w:b w:val="0"/>
                <w:sz w:val="22"/>
              </w:rPr>
              <w:t>34.90%</w:t>
            </w:r>
          </w:p>
        </w:tc>
        <w:tc>
          <w:tcPr>
            <w:tcW w:type="dxa" w:w="2890"/>
          </w:tcPr>
          <w:p>
            <w:pPr>
              <w:spacing w:line="240" w:lineRule="auto" w:after="40"/>
            </w:pPr>
            <w:r/>
            <w:r>
              <w:rPr>
                <w:rFonts w:ascii="Times New Roman" w:hAnsi="Times New Roman"/>
                <w:b w:val="0"/>
                <w:sz w:val="22"/>
              </w:rPr>
              <w:t>0.6291</w:t>
            </w:r>
          </w:p>
        </w:tc>
      </w:tr>
      <w:tr>
        <w:tc>
          <w:tcPr>
            <w:tcW w:type="dxa" w:w="2890"/>
          </w:tcPr>
          <w:p>
            <w:pPr>
              <w:spacing w:line="240" w:lineRule="auto" w:after="40"/>
            </w:pPr>
            <w:r/>
            <w:r>
              <w:rPr>
                <w:rFonts w:ascii="Times New Roman" w:hAnsi="Times New Roman"/>
                <w:b w:val="0"/>
                <w:sz w:val="22"/>
              </w:rPr>
              <w:t>5</w:t>
            </w:r>
          </w:p>
        </w:tc>
        <w:tc>
          <w:tcPr>
            <w:tcW w:type="dxa" w:w="2890"/>
          </w:tcPr>
          <w:p>
            <w:pPr>
              <w:spacing w:line="240" w:lineRule="auto" w:after="40"/>
            </w:pPr>
            <w:r/>
            <w:r>
              <w:rPr>
                <w:rFonts w:ascii="Times New Roman" w:hAnsi="Times New Roman"/>
                <w:b w:val="0"/>
                <w:sz w:val="22"/>
              </w:rPr>
              <w:t>33.24%</w:t>
            </w:r>
          </w:p>
        </w:tc>
        <w:tc>
          <w:tcPr>
            <w:tcW w:type="dxa" w:w="2890"/>
          </w:tcPr>
          <w:p>
            <w:pPr>
              <w:spacing w:line="240" w:lineRule="auto" w:after="40"/>
            </w:pPr>
            <w:r/>
            <w:r>
              <w:rPr>
                <w:rFonts w:ascii="Times New Roman" w:hAnsi="Times New Roman"/>
                <w:b w:val="0"/>
                <w:sz w:val="22"/>
              </w:rPr>
              <w:t>0.5856</w:t>
            </w:r>
          </w:p>
        </w:tc>
      </w:tr>
      <w:tr>
        <w:tc>
          <w:tcPr>
            <w:tcW w:type="dxa" w:w="2890"/>
          </w:tcPr>
          <w:p>
            <w:pPr>
              <w:spacing w:line="240" w:lineRule="auto" w:after="40"/>
            </w:pPr>
            <w:r/>
            <w:r>
              <w:rPr>
                <w:rFonts w:ascii="Times New Roman" w:hAnsi="Times New Roman"/>
                <w:b w:val="0"/>
                <w:sz w:val="22"/>
              </w:rPr>
              <w:t>13</w:t>
            </w:r>
          </w:p>
        </w:tc>
        <w:tc>
          <w:tcPr>
            <w:tcW w:type="dxa" w:w="2890"/>
          </w:tcPr>
          <w:p>
            <w:pPr>
              <w:spacing w:line="240" w:lineRule="auto" w:after="40"/>
            </w:pPr>
            <w:r/>
            <w:r>
              <w:rPr>
                <w:rFonts w:ascii="Times New Roman" w:hAnsi="Times New Roman"/>
                <w:b w:val="0"/>
                <w:sz w:val="22"/>
              </w:rPr>
              <w:t>2.23%</w:t>
            </w:r>
          </w:p>
        </w:tc>
        <w:tc>
          <w:tcPr>
            <w:tcW w:type="dxa" w:w="2890"/>
          </w:tcPr>
          <w:p>
            <w:pPr>
              <w:spacing w:line="240" w:lineRule="auto" w:after="40"/>
            </w:pPr>
            <w:r/>
            <w:r>
              <w:rPr>
                <w:rFonts w:ascii="Times New Roman" w:hAnsi="Times New Roman"/>
                <w:b w:val="0"/>
                <w:sz w:val="22"/>
              </w:rPr>
              <w:t>0.4699</w:t>
            </w:r>
          </w:p>
        </w:tc>
      </w:tr>
      <w:tr>
        <w:tc>
          <w:tcPr>
            <w:tcW w:type="dxa" w:w="2890"/>
          </w:tcPr>
          <w:p>
            <w:pPr>
              <w:spacing w:line="240" w:lineRule="auto" w:after="40"/>
            </w:pPr>
            <w:r/>
            <w:r>
              <w:rPr>
                <w:rFonts w:ascii="Times New Roman" w:hAnsi="Times New Roman"/>
                <w:b w:val="0"/>
                <w:sz w:val="22"/>
              </w:rPr>
              <w:t>11</w:t>
            </w:r>
          </w:p>
        </w:tc>
        <w:tc>
          <w:tcPr>
            <w:tcW w:type="dxa" w:w="2890"/>
          </w:tcPr>
          <w:p>
            <w:pPr>
              <w:spacing w:line="240" w:lineRule="auto" w:after="40"/>
            </w:pPr>
            <w:r/>
            <w:r>
              <w:rPr>
                <w:rFonts w:ascii="Times New Roman" w:hAnsi="Times New Roman"/>
                <w:b w:val="0"/>
                <w:sz w:val="22"/>
              </w:rPr>
              <w:t>2.91%</w:t>
            </w:r>
          </w:p>
        </w:tc>
        <w:tc>
          <w:tcPr>
            <w:tcW w:type="dxa" w:w="2890"/>
          </w:tcPr>
          <w:p>
            <w:pPr>
              <w:spacing w:line="240" w:lineRule="auto" w:after="40"/>
            </w:pPr>
            <w:r/>
            <w:r>
              <w:rPr>
                <w:rFonts w:ascii="Times New Roman" w:hAnsi="Times New Roman"/>
                <w:b w:val="0"/>
                <w:sz w:val="22"/>
              </w:rPr>
              <w:t>0.4660</w:t>
            </w:r>
          </w:p>
        </w:tc>
      </w:tr>
    </w:tbl>
    <w:p/>
    <w:p>
      <w:pPr>
        <w:spacing w:line="360" w:lineRule="auto" w:after="120"/>
      </w:pPr>
      <w:r>
        <w:rPr>
          <w:rFonts w:ascii="Times New Roman" w:hAnsi="Times New Roman"/>
          <w:sz w:val="24"/>
        </w:rPr>
        <w:t xml:space="preserve">Twelve is the strongest, and the ordering of its divisors — 12 &gt; 6 &gt; 4 &gt; 3 &gt; 2 — is exactly the dilution pattern expected if multiples of twelve are the carrier: each coarser modulus admits more non-annual terms and loses discrimination in proportion. The moduli that do </w:t>
      </w:r>
      <w:r>
        <w:rPr>
          <w:rFonts w:ascii="Times New Roman" w:hAnsi="Times New Roman"/>
          <w:i/>
          <w:sz w:val="24"/>
        </w:rPr>
        <w:t>not</w:t>
      </w:r>
      <w:r>
        <w:rPr>
          <w:rFonts w:ascii="Times New Roman" w:hAnsi="Times New Roman"/>
          <w:sz w:val="24"/>
        </w:rPr>
        <w:t xml:space="preserve"> divide twelve behave quite differently. Eleven and thirteen sit at or below chance, at 0.4660 and 0.4699. It is not the case that any modulus would do.</w:t>
      </w:r>
    </w:p>
    <w:p>
      <w:pPr>
        <w:spacing w:line="360" w:lineRule="auto" w:after="120"/>
      </w:pPr>
      <w:r>
        <w:rPr>
          <w:rFonts w:ascii="Times New Roman" w:hAnsi="Times New Roman"/>
          <w:sz w:val="24"/>
        </w:rPr>
        <w:t xml:space="preserve">One qualification, and it refines rather than threatens the finding. Within the facilities that are </w:t>
      </w:r>
      <w:r>
        <w:rPr>
          <w:rFonts w:ascii="Times New Roman" w:hAnsi="Times New Roman"/>
          <w:i/>
          <w:sz w:val="24"/>
        </w:rPr>
        <w:t>not</w:t>
      </w:r>
      <w:r>
        <w:rPr>
          <w:rFonts w:ascii="Times New Roman" w:hAnsi="Times New Roman"/>
          <w:sz w:val="24"/>
        </w:rPr>
        <w:t xml:space="preserve"> multiples of twelve, "multiple of three" still reaches</w:t>
      </w:r>
    </w:p>
    <w:p>
      <w:pPr>
        <w:spacing w:line="360" w:lineRule="auto" w:after="120"/>
      </w:pPr>
      <w:r>
        <w:rPr>
          <w:rFonts w:ascii="Times New Roman" w:hAnsi="Times New Roman"/>
          <w:b/>
          <w:sz w:val="24"/>
        </w:rPr>
        <w:t>0.5888</w:t>
      </w:r>
      <w:r>
        <w:rPr>
          <w:rFonts w:ascii="Times New Roman" w:hAnsi="Times New Roman"/>
          <w:sz w:val="24"/>
        </w:rPr>
        <w:t xml:space="preserve"> and "multiple of six" </w:t>
      </w:r>
      <w:r>
        <w:rPr>
          <w:rFonts w:ascii="Times New Roman" w:hAnsi="Times New Roman"/>
          <w:b/>
          <w:sz w:val="24"/>
        </w:rPr>
        <w:t>0.5684</w:t>
      </w:r>
      <w:r>
        <w:rPr>
          <w:rFonts w:ascii="Times New Roman" w:hAnsi="Times New Roman"/>
          <w:sz w:val="24"/>
        </w:rPr>
        <w:t>. Some signal therefore attaches to quarter- and half-year terms independently of whole years. The pattern is roundness on a calendar grid rather than annual roundness alone, which is if anything the more natural reading of a contractual convention.</w:t>
      </w:r>
    </w:p>
    <w:p>
      <w:pPr>
        <w:spacing w:line="360" w:lineRule="auto" w:after="120"/>
      </w:pPr>
      <w:r>
        <w:rPr>
          <w:rFonts w:ascii="Times New Roman" w:hAnsi="Times New Roman"/>
          <w:sz w:val="24"/>
        </w:rPr>
        <w:t xml:space="preserve">(The 0.8859 here and the 0.8894 in §5.10.2 differ because this probe additionally excludes facilities with a term of zero; both are produced by code in </w:t>
      </w:r>
      <w:r>
        <w:rPr>
          <w:rFonts w:ascii="Times New Roman" w:hAnsi="Times New Roman"/>
          <w:sz w:val="24"/>
        </w:rPr>
        <w:t>research/src/</w:t>
      </w:r>
      <w:r>
        <w:rPr>
          <w:rFonts w:ascii="Times New Roman" w:hAnsi="Times New Roman"/>
          <w:sz w:val="24"/>
        </w:rPr>
        <w:t>.)</w:t>
      </w:r>
    </w:p>
    <w:p>
      <w:pPr>
        <w:pStyle w:val="Heading3"/>
        <w:spacing w:line="360" w:lineRule="auto" w:before="240" w:after="120"/>
      </w:pPr>
      <w:r>
        <w:rPr>
          <w:rFonts w:ascii="Times New Roman" w:hAnsi="Times New Roman"/>
          <w:b w:val="0"/>
          <w:sz w:val="24"/>
        </w:rPr>
        <w:t>5.10.7 The contamination reaches the dataset's own documentation</w:t>
      </w:r>
    </w:p>
    <w:p>
      <w:pPr>
        <w:spacing w:line="360" w:lineRule="auto" w:after="120"/>
      </w:pPr>
      <w:r>
        <w:rPr>
          <w:rFonts w:ascii="Times New Roman" w:hAnsi="Times New Roman"/>
          <w:sz w:val="24"/>
        </w:rPr>
        <w:t xml:space="preserve">Li, Mickel and Taylor [28], the paper that documents this dataset, derive a feature from </w:t>
      </w:r>
      <w:r>
        <w:rPr>
          <w:rFonts w:ascii="Times New Roman" w:hAnsi="Times New Roman"/>
          <w:sz w:val="24"/>
        </w:rPr>
        <w:t>Term</w:t>
      </w:r>
      <w:r>
        <w:rPr>
          <w:rFonts w:ascii="Times New Roman" w:hAnsi="Times New Roman"/>
          <w:sz w:val="24"/>
        </w:rPr>
        <w:t xml:space="preserve"> themselves. They define a dummy </w:t>
      </w:r>
      <w:r>
        <w:rPr>
          <w:rFonts w:ascii="Times New Roman" w:hAnsi="Times New Roman"/>
          <w:sz w:val="24"/>
        </w:rPr>
        <w:t>RealEstate</w:t>
      </w:r>
      <w:r>
        <w:rPr>
          <w:rFonts w:ascii="Times New Roman" w:hAnsi="Times New Roman"/>
          <w:sz w:val="24"/>
        </w:rPr>
        <w:t xml:space="preserve">, set to 1 where </w:t>
      </w:r>
      <w:r>
        <w:rPr>
          <w:rFonts w:ascii="Times New Roman" w:hAnsi="Times New Roman"/>
          <w:sz w:val="24"/>
        </w:rPr>
        <w:t>Term</w:t>
      </w:r>
      <w:r>
        <w:rPr>
          <w:rFonts w:ascii="Times New Roman" w:hAnsi="Times New Roman"/>
          <w:sz w:val="24"/>
        </w:rPr>
        <w:t xml:space="preserve"> ≥ 240 months, reasoning that only real-estate-backed loans run twenty years or more, and report those loans defaulting at 1.64% against 21.16% for the rest. The 1990–2010 cohort used here reproduces that closely: </w:t>
      </w:r>
      <w:r>
        <w:rPr>
          <w:rFonts w:ascii="Times New Roman" w:hAnsi="Times New Roman"/>
          <w:b/>
          <w:sz w:val="24"/>
        </w:rPr>
        <w:t>1.45% against 20.69%</w:t>
      </w:r>
      <w:r>
        <w:rPr>
          <w:rFonts w:ascii="Times New Roman" w:hAnsi="Times New Roman"/>
          <w:sz w:val="24"/>
        </w:rPr>
        <w:t>.</w:t>
      </w:r>
    </w:p>
    <w:p>
      <w:pPr>
        <w:spacing w:line="360" w:lineRule="auto" w:after="120"/>
      </w:pPr>
      <w:r>
        <w:rPr>
          <w:rFonts w:ascii="Times New Roman" w:hAnsi="Times New Roman"/>
          <w:sz w:val="24"/>
        </w:rPr>
        <w:t xml:space="preserve">If </w:t>
      </w:r>
      <w:r>
        <w:rPr>
          <w:rFonts w:ascii="Times New Roman" w:hAnsi="Times New Roman"/>
          <w:sz w:val="24"/>
        </w:rPr>
        <w:t>Term</w:t>
      </w:r>
      <w:r>
        <w:rPr>
          <w:rFonts w:ascii="Times New Roman" w:hAnsi="Times New Roman"/>
          <w:sz w:val="24"/>
        </w:rPr>
        <w:t xml:space="preserve"> carries outcome information, a feature derived from it does too. Two explanations were tested.</w:t>
      </w:r>
    </w:p>
    <w:p>
      <w:pPr>
        <w:spacing w:line="360" w:lineRule="auto" w:after="120"/>
      </w:pPr>
      <w:r>
        <w:rPr>
          <w:rFonts w:ascii="Times New Roman" w:hAnsi="Times New Roman"/>
          <w:b/>
          <w:sz w:val="24"/>
        </w:rPr>
        <w:t>Right-censoring — tested and rejected.</w:t>
      </w:r>
      <w:r>
        <w:rPr>
          <w:rFonts w:ascii="Times New Roman" w:hAnsi="Times New Roman"/>
          <w:sz w:val="24"/>
        </w:rPr>
        <w:t xml:space="preserve"> A twenty-year loan approved after 1994 cannot mature before the 2014 cut-off, and indeed </w:t>
      </w:r>
      <w:r>
        <w:rPr>
          <w:rFonts w:ascii="Times New Roman" w:hAnsi="Times New Roman"/>
          <w:b/>
          <w:sz w:val="24"/>
        </w:rPr>
        <w:t>87.6%</w:t>
      </w:r>
      <w:r>
        <w:rPr>
          <w:rFonts w:ascii="Times New Roman" w:hAnsi="Times New Roman"/>
          <w:sz w:val="24"/>
        </w:rPr>
        <w:t xml:space="preserve"> of these facilities are censored. But restricting to the ones that did mature </w:t>
      </w:r>
      <w:r>
        <w:rPr>
          <w:rFonts w:ascii="Times New Roman" w:hAnsi="Times New Roman"/>
          <w:i/>
          <w:sz w:val="24"/>
        </w:rPr>
        <w:t>lowers</w:t>
      </w:r>
      <w:r>
        <w:rPr>
          <w:rFonts w:ascii="Times New Roman" w:hAnsi="Times New Roman"/>
          <w:sz w:val="24"/>
        </w:rPr>
        <w:t xml:space="preserve"> their default rate, to </w:t>
      </w:r>
      <w:r>
        <w:rPr>
          <w:rFonts w:ascii="Times New Roman" w:hAnsi="Times New Roman"/>
          <w:b/>
          <w:sz w:val="24"/>
        </w:rPr>
        <w:t>0.56%</w:t>
      </w:r>
      <w:r>
        <w:rPr>
          <w:rFonts w:ascii="Times New Roman" w:hAnsi="Times New Roman"/>
          <w:sz w:val="24"/>
        </w:rPr>
        <w:t>, against 1.57% for the censored. Censoring does not explain the contrast, and the hypothesis is recorded as refuted rather than dropped.</w:t>
      </w:r>
    </w:p>
    <w:p>
      <w:pPr>
        <w:spacing w:line="360" w:lineRule="auto" w:after="120"/>
      </w:pPr>
      <w:r>
        <w:rPr>
          <w:rFonts w:ascii="Times New Roman" w:hAnsi="Times New Roman"/>
          <w:b/>
          <w:sz w:val="24"/>
        </w:rPr>
        <w:t>Roundness — the dominant factor, but not a simple confound.</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240 requires a value at or above a multiple of twelve, and the group is </w:t>
      </w:r>
      <w:r>
        <w:rPr>
          <w:rFonts w:ascii="Times New Roman" w:hAnsi="Times New Roman"/>
          <w:b/>
          <w:sz w:val="24"/>
        </w:rPr>
        <w:t>95.96%</w:t>
      </w:r>
      <w:r>
        <w:rPr>
          <w:rFonts w:ascii="Times New Roman" w:hAnsi="Times New Roman"/>
          <w:sz w:val="24"/>
        </w:rPr>
        <w:t xml:space="preserve"> round-termed against 69.27% for the rest. Stratifying by roundness does not reduce the contrast so much as split it in two: among matured facilities the gap is 20.40 points unstratified, </w:t>
      </w:r>
      <w:r>
        <w:rPr>
          <w:rFonts w:ascii="Times New Roman" w:hAnsi="Times New Roman"/>
          <w:b/>
          <w:sz w:val="24"/>
        </w:rPr>
        <w:t>2.51 points within round terms</w:t>
      </w:r>
      <w:r>
        <w:rPr>
          <w:rFonts w:ascii="Times New Roman" w:hAnsi="Times New Roman"/>
          <w:sz w:val="24"/>
        </w:rPr>
        <w:t xml:space="preserve">, and </w:t>
      </w:r>
      <w:r>
        <w:rPr>
          <w:rFonts w:ascii="Times New Roman" w:hAnsi="Times New Roman"/>
          <w:b/>
          <w:sz w:val="24"/>
        </w:rPr>
        <w:t>50.32 points within irregular ones</w:t>
      </w:r>
      <w:r>
        <w:rPr>
          <w:rFonts w:ascii="Times New Roman" w:hAnsi="Times New Roman"/>
          <w:sz w:val="24"/>
        </w:rPr>
        <w:t>.</w:t>
      </w:r>
    </w:p>
    <w:p>
      <w:pPr>
        <w:spacing w:line="360" w:lineRule="auto" w:after="120"/>
      </w:pPr>
      <w:r>
        <w:rPr>
          <w:rFonts w:ascii="Times New Roman" w:hAnsi="Times New Roman"/>
          <w:sz w:val="24"/>
        </w:rPr>
        <w:t xml:space="preserve">What actually dominates is roundness itself. Among matured facilities under 240 months, round terms default at </w:t>
      </w:r>
      <w:r>
        <w:rPr>
          <w:rFonts w:ascii="Times New Roman" w:hAnsi="Times New Roman"/>
          <w:b/>
          <w:sz w:val="24"/>
        </w:rPr>
        <w:t>2.58%</w:t>
      </w:r>
      <w:r>
        <w:rPr>
          <w:rFonts w:ascii="Times New Roman" w:hAnsi="Times New Roman"/>
          <w:sz w:val="24"/>
        </w:rPr>
        <w:t xml:space="preserve"> and irregular terms at </w:t>
      </w:r>
      <w:r>
        <w:rPr>
          <w:rFonts w:ascii="Times New Roman" w:hAnsi="Times New Roman"/>
          <w:b/>
          <w:sz w:val="24"/>
        </w:rPr>
        <w:t>62.39%</w:t>
      </w:r>
      <w:r>
        <w:rPr>
          <w:rFonts w:ascii="Times New Roman" w:hAnsi="Times New Roman"/>
          <w:sz w:val="24"/>
        </w:rPr>
        <w:t xml:space="preserve">. The documented </w:t>
      </w:r>
      <w:r>
        <w:rPr>
          <w:rFonts w:ascii="Times New Roman" w:hAnsi="Times New Roman"/>
          <w:sz w:val="24"/>
        </w:rPr>
        <w:t>RealEstate</w:t>
      </w:r>
      <w:r>
        <w:rPr>
          <w:rFonts w:ascii="Times New Roman" w:hAnsi="Times New Roman"/>
          <w:sz w:val="24"/>
        </w:rPr>
        <w:t xml:space="preserve"> contrast is largely a restatement of that, and the separation surviving inside the irregular stratum is real and unexplained here.</w:t>
      </w:r>
    </w:p>
    <w:p>
      <w:pPr>
        <w:spacing w:line="360" w:lineRule="auto" w:after="120"/>
      </w:pPr>
      <w:r>
        <w:rPr>
          <w:rFonts w:ascii="Times New Roman" w:hAnsi="Times New Roman"/>
          <w:sz w:val="24"/>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 Intervals are 95% bootstrap percentiles over 400 resamples of the test cohort, with the decline threshold recomputed inside each resample.</w:t>
      </w:r>
    </w:p>
    <w:p>
      <w:pPr>
        <w:pStyle w:val="Caption"/>
        <w:spacing w:line="360" w:lineRule="auto" w:before="120" w:after="40"/>
      </w:pPr>
      <w:r>
        <w:rPr>
          <w:rFonts w:ascii="Times New Roman" w:hAnsi="Times New Roman"/>
          <w:b w:val="0"/>
          <w:i w:val="0"/>
          <w:sz w:val="24"/>
        </w:rPr>
        <w:t>Table 5.18</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[0.308, 0.344] — fails</w:t>
            </w:r>
          </w:p>
        </w:tc>
        <w:tc>
          <w:tcPr>
            <w:tcW w:type="dxa" w:w="2890"/>
          </w:tcPr>
          <w:p>
            <w:pPr>
              <w:spacing w:line="240" w:lineRule="auto" w:after="40"/>
            </w:pPr>
            <w:r/>
            <w:r>
              <w:rPr>
                <w:rFonts w:ascii="Times New Roman" w:hAnsi="Times New Roman"/>
                <w:b w:val="0"/>
                <w:sz w:val="22"/>
              </w:rPr>
              <w:t>0.183 [0.170, 0.209]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[0.820, 0.838] — passes</w:t>
            </w:r>
          </w:p>
        </w:tc>
        <w:tc>
          <w:tcPr>
            <w:tcW w:type="dxa" w:w="2890"/>
          </w:tcPr>
          <w:p>
            <w:pPr>
              <w:spacing w:line="240" w:lineRule="auto" w:after="40"/>
            </w:pPr>
            <w:r/>
            <w:r>
              <w:rPr>
                <w:rFonts w:ascii="Times New Roman" w:hAnsi="Times New Roman"/>
                <w:b w:val="0"/>
                <w:sz w:val="22"/>
              </w:rPr>
              <w:t>0.729 [0.711, 0.746]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[0.989, 0.997] — passes</w:t>
            </w:r>
          </w:p>
        </w:tc>
        <w:tc>
          <w:tcPr>
            <w:tcW w:type="dxa" w:w="2890"/>
          </w:tcPr>
          <w:p>
            <w:pPr>
              <w:spacing w:line="240" w:lineRule="auto" w:after="40"/>
            </w:pPr>
            <w:r/>
            <w:r>
              <w:rPr>
                <w:rFonts w:ascii="Times New Roman" w:hAnsi="Times New Roman"/>
                <w:b w:val="0"/>
                <w:sz w:val="22"/>
              </w:rPr>
              <w:t>0.711 [0.707, 0.714]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[0.752, 0.783] — fails</w:t>
            </w:r>
          </w:p>
        </w:tc>
        <w:tc>
          <w:tcPr>
            <w:tcW w:type="dxa" w:w="2890"/>
          </w:tcPr>
          <w:p>
            <w:pPr>
              <w:spacing w:line="240" w:lineRule="auto" w:after="40"/>
            </w:pPr>
            <w:r/>
            <w:r>
              <w:rPr>
                <w:rFonts w:ascii="Times New Roman" w:hAnsi="Times New Roman"/>
                <w:b w:val="0"/>
                <w:sz w:val="22"/>
              </w:rPr>
              <w:t>0.731 [0.702, 0.758]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[0.785, 0.793] — fails</w:t>
            </w:r>
          </w:p>
        </w:tc>
        <w:tc>
          <w:tcPr>
            <w:tcW w:type="dxa" w:w="2890"/>
          </w:tcPr>
          <w:p>
            <w:pPr>
              <w:spacing w:line="240" w:lineRule="auto" w:after="40"/>
            </w:pPr>
            <w:r/>
            <w:r>
              <w:rPr>
                <w:rFonts w:ascii="Times New Roman" w:hAnsi="Times New Roman"/>
                <w:b w:val="0"/>
                <w:sz w:val="22"/>
              </w:rPr>
              <w:t>0.831 [0.828, 0.836] — passes</w:t>
            </w:r>
          </w:p>
        </w:tc>
      </w:tr>
    </w:tbl>
    <w:p/>
    <w:p>
      <w:pPr>
        <w:spacing w:line="360" w:lineRule="auto" w:after="120"/>
      </w:pPr>
      <w:r>
        <w:rPr>
          <w:rFonts w:ascii="Times New Roman" w:hAnsi="Times New Roman"/>
          <w:b/>
          <w:sz w:val="24"/>
        </w:rPr>
        <w:t>Both measures are ratios of a minimum to a maximum across groups, and that structure is biased.</w:t>
      </w:r>
      <w:r>
        <w:rPr>
          <w:rFonts w:ascii="Times New Roman" w:hAnsi="Times New Roman"/>
          <w:sz w:val="24"/>
        </w:rPr>
        <w:t xml:space="preserve"> Sampling noise pushes the observed minimum down and the maximum up, so a disparity ratio computed this way reads worse than reality even when no group is treated differently — and the smaller the groups, the worse it reads. This has to be quantified rather than asserted away, since one group here has only 752 members.</w:t>
      </w:r>
    </w:p>
    <w:p>
      <w:pPr>
        <w:spacing w:line="360" w:lineRule="auto" w:after="120"/>
      </w:pPr>
      <w:r>
        <w:rPr>
          <w:rFonts w:ascii="Times New Roman" w:hAnsi="Times New Roman"/>
          <w:sz w:val="24"/>
        </w:rPr>
        <w:t xml:space="preserve">It was quantified by permuting the decisions: assigning the same volume of declines at random, holding group sizes fixed, and re-measuring. </w:t>
      </w:r>
      <w:r>
        <w:rPr>
          <w:rFonts w:ascii="Times New Roman" w:hAnsi="Times New Roman"/>
          <w:b/>
          <w:sz w:val="24"/>
        </w:rPr>
        <w:t>Under random assignment the ratio reads 0.973 to 0.999</w:t>
      </w:r>
      <w:r>
        <w:rPr>
          <w:rFonts w:ascii="Times New Roman" w:hAnsi="Times New Roman"/>
          <w:sz w:val="24"/>
        </w:rPr>
        <w:t xml:space="preserve"> across the five attributes. That is the floor the measure produces with no disparity present. The observed values — 0.325, 0.711, 0.729, 0.773, 0.789 — are nowhere near it, so the bias is real but far too small to account for the findings.</w:t>
      </w:r>
    </w:p>
    <w:p>
      <w:pPr>
        <w:spacing w:line="360" w:lineRule="auto" w:after="120"/>
      </w:pPr>
      <w:r>
        <w:rPr>
          <w:rFonts w:ascii="Times New Roman" w:hAnsi="Times New Roman"/>
          <w:sz w:val="24"/>
        </w:rPr>
        <w:t xml:space="preserve">The identification is also stable. Resampling the cohort names the same group as worst-affected in </w:t>
      </w:r>
      <w:r>
        <w:rPr>
          <w:rFonts w:ascii="Times New Roman" w:hAnsi="Times New Roman"/>
          <w:b/>
          <w:sz w:val="24"/>
        </w:rPr>
        <w:t>89% to 100%</w:t>
      </w:r>
      <w:r>
        <w:rPr>
          <w:rFonts w:ascii="Times New Roman" w:hAnsi="Times New Roman"/>
          <w:sz w:val="24"/>
        </w:rPr>
        <w:t xml:space="preserve"> of draws, depending on the attribute; only sector under the gradient booster falls below 100%, at 89%. A disparity attached to a group that changed between resamples would be a statement about noise, and none of these are.</w:t>
      </w:r>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 xml:space="preserve">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 — decline the riskiest 20%, which on these applicants falls at a predicted default probability of </w:t>
      </w:r>
      <w:r>
        <w:rPr>
          <w:rFonts w:ascii="Times New Roman" w:hAnsi="Times New Roman"/>
          <w:b/>
          <w:sz w:val="24"/>
        </w:rPr>
        <w:t>0.2293</w:t>
      </w:r>
      <w:r>
        <w:rPr>
          <w:rFonts w:ascii="Times New Roman" w:hAnsi="Times New Roman"/>
          <w:sz w:val="24"/>
        </w:rPr>
        <w:t>. §5.19.3 shows the conclusion does not depend on that choice.</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w:t>
      </w:r>
      <w:r>
        <w:rPr>
          <w:rFonts w:ascii="Times New Roman" w:hAnsi="Times New Roman"/>
          <w:sz w:val="24"/>
        </w:rPr>
        <w:t xml:space="preserve"> — identical for every applicant, because nothing remains for the model to vary on.</w:t>
      </w:r>
    </w:p>
    <w:p>
      <w:pPr>
        <w:spacing w:line="360" w:lineRule="auto" w:after="120"/>
      </w:pPr>
      <w:r>
        <w:rPr>
          <w:rFonts w:ascii="Times New Roman" w:hAnsi="Times New Roman"/>
          <w:b/>
          <w:sz w:val="24"/>
        </w:rPr>
        <w:t>This does not depend on where the decline threshold is placed</w:t>
      </w:r>
      <w:r>
        <w:rPr>
          <w:rFonts w:ascii="Times New Roman" w:hAnsi="Times New Roman"/>
          <w:sz w:val="24"/>
        </w:rPr>
        <w:t xml:space="preserve">, which is the obvious objection to a result reported under a single policy. That score sits at the </w:t>
      </w:r>
      <w:r>
        <w:rPr>
          <w:rFonts w:ascii="Times New Roman" w:hAnsi="Times New Roman"/>
          <w:b/>
          <w:sz w:val="24"/>
        </w:rPr>
        <w:t>6.5th percentile</w:t>
      </w:r>
      <w:r>
        <w:rPr>
          <w:rFonts w:ascii="Times New Roman" w:hAnsi="Times New Roman"/>
          <w:sz w:val="24"/>
        </w:rPr>
        <w:t xml:space="preserve"> of real applicants' scores. Supplying nothing therefore beats 93.5% of genuine applications, and remains an approval under any policy declining less than </w:t>
      </w:r>
      <w:r>
        <w:rPr>
          <w:rFonts w:ascii="Times New Roman" w:hAnsi="Times New Roman"/>
          <w:b/>
          <w:sz w:val="24"/>
        </w:rPr>
        <w:t>93.5%</w:t>
      </w:r>
      <w:r>
        <w:rPr>
          <w:rFonts w:ascii="Times New Roman" w:hAnsi="Times New Roman"/>
          <w:sz w:val="24"/>
        </w:rPr>
        <w:t xml:space="preserve"> of the portfolio. The logistic regression is worse: its no-information score of 0.0669 sits at the </w:t>
      </w:r>
      <w:r>
        <w:rPr>
          <w:rFonts w:ascii="Times New Roman" w:hAnsi="Times New Roman"/>
          <w:b/>
          <w:sz w:val="24"/>
        </w:rPr>
        <w:t>3.9th percentile</w:t>
      </w:r>
      <w:r>
        <w:rPr>
          <w:rFonts w:ascii="Times New Roman" w:hAnsi="Times New Roman"/>
          <w:sz w:val="24"/>
        </w:rPr>
        <w:t xml:space="preserve">, giving a crossover at </w:t>
      </w:r>
      <w:r>
        <w:rPr>
          <w:rFonts w:ascii="Times New Roman" w:hAnsi="Times New Roman"/>
          <w:b/>
          <w:sz w:val="24"/>
        </w:rPr>
        <w:t>96.1%</w:t>
      </w:r>
      <w:r>
        <w:rPr>
          <w:rFonts w:ascii="Times New Roman" w:hAnsi="Times New Roman"/>
          <w:sz w:val="24"/>
        </w:rPr>
        <w:t>.</w:t>
      </w:r>
    </w:p>
    <w:p>
      <w:pPr>
        <w:spacing w:line="360" w:lineRule="auto" w:after="120"/>
      </w:pPr>
      <w:r>
        <w:rPr>
          <w:rFonts w:ascii="Times New Roman" w:hAnsi="Times New Roman"/>
          <w:sz w:val="24"/>
        </w:rPr>
        <w:t>No lender declines nine applicants in ten. Within the entire range of policies a bank might actually operate, an applicant who answers nothing is approved.</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research/src/modulus_probe.py          # is twelve arbitrary? python research/src/realestate_probe.py       # the documentation's own feature python research/src/fairness_analysis.py      # disparate impact, bootstrapped python research/src/missingness_analysis.py   # what withholding does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