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Supervisor Briefing</w:t>
      </w:r>
    </w:p>
    <w:p>
      <w:pPr>
        <w:jc w:val="center"/>
      </w:pPr>
      <w:r>
        <w:rPr>
          <w:b w:val="0"/>
          <w:i/>
          <w:sz w:val="24"/>
        </w:rPr>
        <w:t>A Dual-Objective Decision Support Model for SME Credit Appraisal</w:t>
      </w:r>
    </w:p>
    <w:p>
      <w:pPr>
        <w:jc w:val="center"/>
      </w:pPr>
      <w:r>
        <w:rPr>
          <w:b w:val="0"/>
          <w:i w:val="0"/>
          <w:sz w:val="22"/>
        </w:rPr>
      </w:r>
    </w:p>
    <w:p>
      <w:pPr>
        <w:jc w:val="center"/>
      </w:pPr>
      <w:r>
        <w:rPr>
          <w:b w:val="0"/>
          <w:i w:val="0"/>
          <w:sz w:val="22"/>
        </w:rPr>
        <w:t>AAV Athukorala · MSc IT, NSBM Green University</w:t>
      </w:r>
    </w:p>
    <w:p/>
    <w:p>
      <w:pPr>
        <w:pStyle w:val="Heading1"/>
      </w:pPr>
      <w:r>
        <w:t>Supervisor Briefing</w:t>
      </w:r>
    </w:p>
    <w:p>
      <w:r>
        <w:rPr>
          <w:b/>
        </w:rPr>
        <w:t>Project:</w:t>
      </w:r>
      <w:r>
        <w:t xml:space="preserve"> A Dual-Objective Decision Support Model for SME Credit Appraisal</w:t>
      </w:r>
    </w:p>
    <w:p>
      <w:r>
        <w:rPr>
          <w:b/>
        </w:rPr>
        <w:t>Student:</w:t>
      </w:r>
      <w:r>
        <w:t xml:space="preserve"> AAV Athukorala · MSc IT, NSBM Green University</w:t>
      </w:r>
    </w:p>
    <w:p>
      <w:r>
        <w:rPr>
          <w:b/>
        </w:rPr>
        <w:t>Supervisor:</w:t>
      </w:r>
      <w:r>
        <w:t xml:space="preserve"> Dr. Pabudi Abeyrathne</w:t>
      </w:r>
    </w:p>
    <w:p>
      <w:r>
        <w:rPr>
          <w:b/>
        </w:rPr>
        <w:t>Date:</w:t>
      </w:r>
      <w:r>
        <w:t xml:space="preserve"> September 2026</w:t>
      </w:r>
    </w:p>
    <w:p>
      <w:r>
        <w:t>Accompanies the thesis draft (~15,400 words), the working system, and a draft conference paper.</w:t>
      </w:r>
    </w:p>
    <w:p/>
    <w:p>
      <w:pPr>
        <w:pStyle w:val="Heading2"/>
      </w:pPr>
      <w:r>
        <w:t>1. What this document is for</w:t>
      </w:r>
    </w:p>
    <w:p>
      <w:r>
        <w:t>Three things have changed since the proposal, each for a reason that should be reviewed before the work goes further. This briefing sets them out, summarises what the study now contains, and lists the decisions needed.</w:t>
      </w:r>
    </w:p>
    <w:p/>
    <w:p>
      <w:pPr>
        <w:pStyle w:val="Heading2"/>
      </w:pPr>
      <w:r>
        <w:t>2. Three changes since the proposal</w:t>
      </w:r>
    </w:p>
    <w:p>
      <w:pPr>
        <w:pStyle w:val="Heading3"/>
      </w:pPr>
      <w:r>
        <w:t>2.1 The claimed contribution was already published</w:t>
      </w:r>
    </w:p>
    <w:p>
      <w:r>
        <w:t>The proposal claimed novelty in applying fuzzy multi-criteria methods to SME credit scoring. The literature review found this is not novel:</w:t>
      </w:r>
    </w:p>
    <w:p>
      <w:pPr>
        <w:pStyle w:val="ListBullet"/>
      </w:pPr>
      <w:r>
        <w:rPr>
          <w:b/>
        </w:rPr>
        <w:t>Roy and Shaw (2021)</w:t>
      </w:r>
      <w:r>
        <w:t>, *Financial Innovation* 7(1) — a multicriteria credit</w:t>
      </w:r>
    </w:p>
    <w:p>
      <w:r>
        <w:t>scoring model for SMEs using Best-Worst Method combined with a ranking method: the same hybrid the proposal treated as new.</w:t>
      </w:r>
    </w:p>
    <w:p>
      <w:pPr>
        <w:pStyle w:val="ListBullet"/>
      </w:pPr>
      <w:r>
        <w:rPr>
          <w:b/>
        </w:rPr>
        <w:t>Gutiérrez-Nieto, Serrano-Cinca and Camón-Cala (2016)</w:t>
      </w:r>
      <w:r>
        <w:t>, *Journal of Business</w:t>
      </w:r>
    </w:p>
    <w:p>
      <w:r>
        <w:t>Ethics* 133(4) — a credit score system evaluating social impact alongside financial aspects using MCDM.</w:t>
      </w:r>
    </w:p>
    <w:p>
      <w:r>
        <w:t xml:space="preserve">Both claims are </w:t>
      </w:r>
      <w:r>
        <w:rPr>
          <w:b/>
        </w:rPr>
        <w:t>withdrawn explicitly</w:t>
      </w:r>
      <w:r>
        <w:t xml:space="preserve"> in §2.5.3 and §2.6.1 rather than restated in a weaker form. The contribution now rests elsewhere (§3 below).</w:t>
      </w:r>
    </w:p>
    <w:p>
      <w:pPr>
        <w:pStyle w:val="Heading3"/>
      </w:pPr>
      <w:r>
        <w:t>2.2 Weight elicitation was carried out, on a narrow sample</w:t>
      </w:r>
    </w:p>
    <w:p>
      <w:r>
        <w:t xml:space="preserve">The methodology specifies eliciting criterion weights from credit practitioners by Best-Worst Method, and this was done. </w:t>
      </w:r>
      <w:r>
        <w:rPr>
          <w:b/>
        </w:rPr>
        <w:t>Ten practitioners</w:t>
      </w:r>
      <w:r>
        <w:t xml:space="preserve"> completed the instrument, above the five-to-eight range typical of published BWM studies. Three of eighty level-responses were excluded for a consistency ratio above 0.25, and the remaining 77 aggregated by geometric mean. </w:t>
      </w:r>
      <w:r>
        <w:rPr>
          <w:rFonts w:ascii="Consolas" w:hAnsi="Consolas"/>
          <w:sz w:val="19"/>
        </w:rPr>
        <w:t>weightStatus</w:t>
      </w:r>
      <w:r>
        <w:t xml:space="preserve"> is </w:t>
      </w:r>
      <w:r>
        <w:rPr>
          <w:rFonts w:ascii="Consolas" w:hAnsi="Consolas"/>
          <w:sz w:val="19"/>
        </w:rPr>
        <w:t>ELICITED</w:t>
      </w:r>
      <w:r>
        <w:t xml:space="preserve"> and every score the system produces now uses those weights.</w:t>
      </w:r>
    </w:p>
    <w:p>
      <w:r>
        <w:rPr>
          <w:b/>
        </w:rPr>
        <w:t>The limitation that remains is the sample, not its absence.</w:t>
      </w:r>
      <w:r>
        <w:t xml:space="preserve"> Nine of the ten respondents are from state commercial banking. The weights describe that segment, not Sri Lankan SME lending as a whole, and §6.3 treats this as a principal limitation.</w:t>
      </w:r>
    </w:p>
    <w:p>
      <w:r>
        <w:t>The substantive result is the ordering. Practitioners weight forward-looking project viability above historic financial performance by more than two to one, which inverts the emphasis of an instrument whose longest section is the historic financial analysis.</w:t>
      </w:r>
    </w:p>
    <w:p>
      <w:pPr>
        <w:pStyle w:val="Heading3"/>
      </w:pPr>
      <w:r>
        <w:t>2.3 The research questions were revised</w:t>
      </w:r>
    </w:p>
    <w:p>
      <w:r>
        <w:t xml:space="preserve">RQ2 originally asked only what weights practitioners assign. It now asks both that </w:t>
      </w:r>
      <w:r>
        <w:rPr>
          <w:b/>
        </w:rPr>
        <w:t>and how far the model's output depends on them</w:t>
      </w:r>
      <w:r>
        <w:t>, which proved to be the useful form: the elicited weights depart from equal weighting by up to 79% within a level, three times the perturbation §5.16 had tested, yet rank correlation between the two scorings is 0.91 and 0.97 and no appraisal moves two risk bands. A thesis reporting only the first half would have left that unsaid. RQ4 was likewise reframed to something testable on available data.</w:t>
      </w:r>
    </w:p>
    <w:p>
      <w:r>
        <w:t>§1.3 and §6.1 state both changes openly.</w:t>
      </w:r>
    </w:p>
    <w:p/>
    <w:p>
      <w:pPr>
        <w:pStyle w:val="Heading2"/>
      </w:pPr>
      <w:r>
        <w:t>3. What the study now contributes</w:t>
      </w:r>
    </w:p>
    <w:p>
      <w:pPr>
        <w:pStyle w:val="Heading3"/>
      </w:pPr>
      <w:r>
        <w:t>3.1 Contamination in a widely used benchmark dataset — the principal finding</w:t>
      </w:r>
    </w:p>
    <w:p>
      <w:r>
        <w:t xml:space="preserve">The SBA National dataset (899,164 loans) is a common benchmark in small-business credit research. Its </w:t>
      </w:r>
      <w:r>
        <w:rPr>
          <w:rFonts w:ascii="Consolas" w:hAnsi="Consolas"/>
          <w:sz w:val="19"/>
        </w:rPr>
        <w:t>Term</w:t>
      </w:r>
      <w:r>
        <w:t xml:space="preserve"> field carries information about the outcome: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Evidence</w:t>
            </w:r>
          </w:p>
        </w:tc>
        <w:tc>
          <w:tcPr>
            <w:tcW w:type="dxa" w:w="4320"/>
          </w:tcPr>
          <w:p>
            <w:r>
              <w:rPr>
                <w:b/>
                <w:sz w:val="18"/>
              </w:rPr>
              <w:t>Value</w:t>
            </w:r>
          </w:p>
        </w:tc>
      </w:tr>
      <w:tr>
        <w:tc>
          <w:tcPr>
            <w:tcW w:type="dxa" w:w="4320"/>
          </w:tcPr>
          <w:p>
            <w:r>
              <w:rPr>
                <w:sz w:val="18"/>
              </w:rPr>
              <w:t>Repaid loans with term a multiple of 12</w:t>
            </w:r>
          </w:p>
        </w:tc>
        <w:tc>
          <w:tcPr>
            <w:tcW w:type="dxa" w:w="4320"/>
          </w:tcPr>
          <w:p>
            <w:r>
              <w:rPr>
                <w:sz w:val="18"/>
              </w:rPr>
              <w:t>86.4%</w:t>
            </w:r>
          </w:p>
        </w:tc>
      </w:tr>
      <w:tr>
        <w:tc>
          <w:tcPr>
            <w:tcW w:type="dxa" w:w="4320"/>
          </w:tcPr>
          <w:p>
            <w:r>
              <w:rPr>
                <w:sz w:val="18"/>
              </w:rPr>
              <w:t>Charged-off loans with term a multiple of 12</w:t>
            </w:r>
          </w:p>
        </w:tc>
        <w:tc>
          <w:tcPr>
            <w:tcW w:type="dxa" w:w="4320"/>
          </w:tcPr>
          <w:p>
            <w:r>
              <w:rPr>
                <w:sz w:val="18"/>
              </w:rPr>
              <w:t>8.5%</w:t>
            </w:r>
          </w:p>
        </w:tc>
      </w:tr>
      <w:tr>
        <w:tc>
          <w:tcPr>
            <w:tcW w:type="dxa" w:w="4320"/>
          </w:tcPr>
          <w:p>
            <w:r>
              <w:rPr>
                <w:sz w:val="18"/>
              </w:rPr>
              <w:t>AUC of that single boolean alone</w:t>
            </w:r>
          </w:p>
        </w:tc>
        <w:tc>
          <w:tcPr>
            <w:tcW w:type="dxa" w:w="4320"/>
          </w:tcPr>
          <w:p>
            <w:r>
              <w:rPr>
                <w:sz w:val="18"/>
              </w:rPr>
              <w:t>0.8894</w:t>
            </w:r>
          </w:p>
        </w:tc>
      </w:tr>
      <w:tr>
        <w:tc>
          <w:tcPr>
            <w:tcW w:type="dxa" w:w="4320"/>
          </w:tcPr>
          <w:p>
            <w:r>
              <w:rPr>
                <w:sz w:val="18"/>
              </w:rPr>
              <w:t>Same, within every approval year 1990–2010</w:t>
            </w:r>
          </w:p>
        </w:tc>
        <w:tc>
          <w:tcPr>
            <w:tcW w:type="dxa" w:w="4320"/>
          </w:tcPr>
          <w:p>
            <w:r>
              <w:rPr>
                <w:sz w:val="18"/>
              </w:rPr>
              <w:t>0.859 – 0.900</w:t>
            </w:r>
          </w:p>
        </w:tc>
      </w:tr>
      <w:tr>
        <w:tc>
          <w:tcPr>
            <w:tcW w:type="dxa" w:w="4320"/>
          </w:tcPr>
          <w:p>
            <w:r>
              <w:rPr>
                <w:sz w:val="18"/>
              </w:rPr>
              <w:t>2007 approvals at 60 months</w:t>
            </w:r>
          </w:p>
        </w:tc>
        <w:tc>
          <w:tcPr>
            <w:tcW w:type="dxa" w:w="4320"/>
          </w:tcPr>
          <w:p>
            <w:r>
              <w:rPr>
                <w:sz w:val="18"/>
              </w:rPr>
              <w:t>11.1% default</w:t>
            </w:r>
          </w:p>
        </w:tc>
      </w:tr>
      <w:tr>
        <w:tc>
          <w:tcPr>
            <w:tcW w:type="dxa" w:w="4320"/>
          </w:tcPr>
          <w:p>
            <w:r>
              <w:rPr>
                <w:sz w:val="18"/>
              </w:rPr>
              <w:t>2007 approvals at 59 / 61 months</w:t>
            </w:r>
          </w:p>
        </w:tc>
        <w:tc>
          <w:tcPr>
            <w:tcW w:type="dxa" w:w="4320"/>
          </w:tcPr>
          <w:p>
            <w:r>
              <w:rPr>
                <w:sz w:val="18"/>
              </w:rPr>
              <w:t>86.7% / 92.2%</w:t>
            </w:r>
          </w:p>
        </w:tc>
      </w:tr>
    </w:tbl>
    <w:p/>
    <w:p>
      <w:r>
        <w:t xml:space="preserve">Excluding the field drops gradient-boosting temporal AUC from </w:t>
      </w:r>
      <w:r>
        <w:rPr>
          <w:b/>
        </w:rPr>
        <w:t>0.9461 to 0.6076</w:t>
      </w:r>
      <w:r>
        <w:t>. Confidence intervals do not overlap; paired DeLong tests give p &lt; 0.001.</w:t>
      </w:r>
    </w:p>
    <w:p>
      <w:r>
        <w:t xml:space="preserve">Twelve is not an arbitrary modulus. Across twenty tested, it leads at 0.8859 and its divisors fall away in the order 12 &gt; 6 &gt; 4 &gt; 3 &gt; 2 — the dilution expected if multiples of twelve are the carrier — while moduli that do not divide twelve sit at or below chance (11: 0.4660, 13: 0.4699). The contamination also reaches the dataset's </w:t>
      </w:r>
      <w:r>
        <w:rPr>
          <w:b/>
        </w:rPr>
        <w:t>own documentation</w:t>
      </w:r>
      <w:r>
        <w:t xml:space="preserve">: Li, Mickel and Taylor derive a </w:t>
      </w:r>
      <w:r>
        <w:rPr>
          <w:rFonts w:ascii="Consolas" w:hAnsi="Consolas"/>
          <w:sz w:val="19"/>
        </w:rPr>
        <w:t>RealEstate</w:t>
      </w:r>
      <w:r>
        <w:t xml:space="preserve"> feature from </w:t>
      </w:r>
      <w:r>
        <w:rPr>
          <w:rFonts w:ascii="Consolas" w:hAnsi="Consolas"/>
          <w:sz w:val="19"/>
        </w:rPr>
        <w:t>Term</w:t>
      </w:r>
      <w:r>
        <w:t xml:space="preserve"> and report default rates of 1.64% against 21.16%, a contrast largely restating roundness.</w:t>
      </w:r>
    </w:p>
    <w:p>
      <w:r>
        <w:t xml:space="preserve">The finding emerged because an AUC of 0.9726 was investigated rather than reported. The mechanism is </w:t>
      </w:r>
      <w:r>
        <w:rPr>
          <w:b/>
        </w:rPr>
        <w:t>not</w:t>
      </w:r>
      <w:r>
        <w:t xml:space="preserve"> established — the obvious hypothesis (that </w:t>
      </w:r>
      <w:r>
        <w:rPr>
          <w:rFonts w:ascii="Consolas" w:hAnsi="Consolas"/>
          <w:sz w:val="19"/>
        </w:rPr>
        <w:t>Term</w:t>
      </w:r>
      <w:r>
        <w:t xml:space="preserve"> records survival time) was tested and rejected — and the thesis reports it as unresolved rather than asserting a cause.</w:t>
      </w:r>
    </w:p>
    <w:p>
      <w:pPr>
        <w:pStyle w:val="Heading3"/>
      </w:pPr>
      <w:r>
        <w:t>3.2 A methodological result</w:t>
      </w:r>
    </w:p>
    <w:p>
      <w:r>
        <w:t xml:space="preserve">An instrument-specific appraisal model cannot be validated on a dataset lacking its variables. Evidenced by a negative result: an a priori scorecard built from SBA-observable proxies achieved </w:t>
      </w:r>
      <w:r>
        <w:rPr>
          <w:b/>
        </w:rPr>
        <w:t>AUC 0.4144 / 0.5275</w:t>
      </w:r>
      <w:r>
        <w:t>, at or below chance. That is reported as it occurred.</w:t>
      </w:r>
    </w:p>
    <w:p>
      <w:pPr>
        <w:pStyle w:val="Heading3"/>
      </w:pPr>
      <w:r>
        <w:t>3.3 Supporting findings</w:t>
      </w:r>
    </w:p>
    <w:p>
      <w:pPr>
        <w:pStyle w:val="ListBullet"/>
      </w:pPr>
      <w:r>
        <w:rPr>
          <w:b/>
        </w:rPr>
        <w:t>Weight sensitivity.</w:t>
      </w:r>
      <w:r>
        <w:t xml:space="preserve"> At ±25% perturbation, rank correlation holds at 0.982</w:t>
      </w:r>
    </w:p>
    <w:p>
      <w:r>
        <w:t>and 94% of risk bands are unchanged. The elicited weights later turned out to depart from equal weighting by up to 79%, further than that study tested, and the ranking held anyway (ρ = 0.91 and 0.97, no case moving two bands).</w:t>
      </w:r>
    </w:p>
    <w:p>
      <w:pPr>
        <w:pStyle w:val="ListBullet"/>
      </w:pPr>
      <w:r>
        <w:rPr>
          <w:b/>
        </w:rPr>
        <w:t>Objective separability.</w:t>
      </w:r>
      <w:r>
        <w:t xml:space="preserve"> Across 652,284 facilities the two objectives</w:t>
      </w:r>
    </w:p>
    <w:p>
      <w:r>
        <w:t xml:space="preserve">correlate at r = +0.40. This removes the *strong* form of the premise the design was justified on, but does </w:t>
      </w:r>
      <w:r>
        <w:rPr>
          <w:b/>
        </w:rPr>
        <w:t>not</w:t>
      </w:r>
      <w:r>
        <w:t xml:space="preserve"> contradict Arvanitis et al. (2015): reading that paper showed their estimate was also positive (slope 0.048) and merely non-significant in 109 observations. This study measures the same direction at a size that resolves it. The objectives nonetheless band the same facility differently </w:t>
      </w:r>
      <w:r>
        <w:rPr>
          <w:b/>
        </w:rPr>
        <w:t>88.2%</w:t>
      </w:r>
      <w:r>
        <w:t xml:space="preserve"> of the time, which is now the argument for separation.</w:t>
      </w:r>
    </w:p>
    <w:p>
      <w:pPr>
        <w:pStyle w:val="ListBullet"/>
      </w:pPr>
      <w:r>
        <w:rPr>
          <w:b/>
        </w:rPr>
        <w:t>Development impact is positively associated with default</w:t>
      </w:r>
      <w:r>
        <w:t xml:space="preserve"> (10.8% lowest band</w:t>
      </w:r>
    </w:p>
    <w:p>
      <w:r>
        <w:t>vs 30.3% highest). Reported as association, not cause.</w:t>
      </w:r>
    </w:p>
    <w:p>
      <w:pPr>
        <w:pStyle w:val="ListBullet"/>
      </w:pPr>
      <w:r>
        <w:rPr>
          <w:b/>
        </w:rPr>
        <w:t>Calibration degrades ~700-fold</w:t>
      </w:r>
      <w:r>
        <w:t xml:space="preserve"> across a temporal boundary while</w:t>
      </w:r>
    </w:p>
    <w:p>
      <w:r>
        <w:t>discrimination falls far less: models keep ranking while systematically under-pricing risk.</w:t>
      </w:r>
    </w:p>
    <w:p>
      <w:pPr>
        <w:pStyle w:val="ListBullet"/>
      </w:pPr>
      <w:r>
        <w:rPr>
          <w:b/>
        </w:rPr>
        <w:t>Disparate impact, including in our own artefact.</w:t>
      </w:r>
      <w:r>
        <w:t xml:space="preserve"> The scorecard fails the</w:t>
      </w:r>
    </w:p>
    <w:p>
      <w:r>
        <w:t>four-fifths rule on four of five credit-access attributes and would decline</w:t>
      </w:r>
    </w:p>
    <w:p>
      <w:r>
        <w:rPr>
          <w:b/>
        </w:rPr>
        <w:t>36.11% of creditworthy agricultural borrowers</w:t>
      </w:r>
      <w:r>
        <w:t xml:space="preserve"> — the worst of any sector — though agriculture has the lowest default rate at 19.19%. Bootstrap intervals are tight and a permutation floor (0.973–0.999) shows the measure's known bias cannot explain it. These are credit-access proxies; the data holds no protected characteristic, and no claim about lawful discrimination follows.</w:t>
      </w:r>
    </w:p>
    <w:p>
      <w:pPr>
        <w:pStyle w:val="ListBullet"/>
      </w:pPr>
      <w:r>
        <w:rPr>
          <w:b/>
        </w:rPr>
        <w:t>Conventional models reward withholding information.</w:t>
      </w:r>
      <w:r>
        <w:t xml:space="preserve"> Blanking one field</w:t>
      </w:r>
    </w:p>
    <w:p>
      <w:r>
        <w:t xml:space="preserve">scores 97.7% of applicants as less risky and moves 19.84% from decline to approve. An applicant supplying </w:t>
      </w:r>
      <w:r>
        <w:rPr>
          <w:b/>
        </w:rPr>
        <w:t>nothing</w:t>
      </w:r>
      <w:r>
        <w:t xml:space="preserve"> scores 0.0615 against a 0.2293 decline threshold and is approved. This is the empirical case for the completeness gate: refusing is the only response that cannot be gamed.</w:t>
      </w:r>
    </w:p>
    <w:p>
      <w:pPr>
        <w:pStyle w:val="Heading3"/>
      </w:pPr>
      <w:r>
        <w:t>3.4 The artefact</w:t>
      </w:r>
    </w:p>
    <w:p>
      <w:r>
        <w:t>A working system: 49 clause-traceable criteria, live dual-objective scoring, exact per-criterion explanation, a completeness gate, authenticated role-based sign-off mirroring clause 7, and export in the People's Bank report format. 89 unit tests; the TypeScript and Python engines are parity-checked across 280 cases; 62 automated checks verify every load-bearing figure in the thesis against the generated result tables, and CI runs all of it.</w:t>
      </w:r>
    </w:p>
    <w:p/>
    <w:p>
      <w:pPr>
        <w:pStyle w:val="Heading2"/>
      </w:pPr>
      <w:r>
        <w:t>4. Reproducibility</w:t>
      </w:r>
    </w:p>
    <w:p>
      <w:r>
        <w:t>Every number in the thesis is generated by code in the repository. No value was entered by hand.</w:t>
      </w:r>
    </w:p>
    <w:p>
      <w:r>
        <w:rPr>
          <w:rFonts w:ascii="Consolas" w:hAnsi="Consolas"/>
          <w:sz w:val="19"/>
        </w:rPr>
        <w:t>scripts/verify_claims.py</w:t>
      </w:r>
      <w:r>
        <w:t xml:space="preserve"> re-derives 25 load-bearing figures from the result tables and checks them against the chapters. It currently passes, and it has already caught two real drifts during drafting.</w:t>
      </w:r>
    </w:p>
    <w:p>
      <w:r>
        <w:rPr>
          <w:rFonts w:ascii="Consolas" w:hAnsi="Consolas"/>
          <w:sz w:val="19"/>
        </w:rPr>
        <w:t>`</w:t>
      </w:r>
      <w:r>
        <w:t xml:space="preserve"> python research/src/prepare_sba.py          # clean the dataset python research/src/leakage_analysis.py     # contamination evidence python research/src/benchmark.py            # clean vs contaminated python research/src/statistical_tests.py    # CIs, DeLong, calibration python research/src/weight_sensitivity.py   # weight Monte Carlo python research/src/objective_independence.py python research/src/cost_analysis.py python research/src/modulus_probe.py        # is twelve arbitrary? python research/src/realestate_probe.py     # the documentation's own feature python research/src/fairness_analysis.py    # disparate impact + bootstrap python research/src/missingness_analysis.py # what withholding does python research/src/bwm.py                  # BWM solver verification python scripts/verify_claims.py             # 62 consistency checks cd web &amp;&amp; npm test                          # 89 unit tests </w:t>
      </w:r>
      <w:r>
        <w:rPr>
          <w:rFonts w:ascii="Consolas" w:hAnsi="Consolas"/>
          <w:sz w:val="19"/>
        </w:rPr>
        <w:t>`</w:t>
      </w:r>
    </w:p>
    <w:p/>
    <w:p>
      <w:pPr>
        <w:pStyle w:val="Heading2"/>
      </w:pPr>
      <w:r>
        <w:t>5. Known weaknesses</w:t>
      </w:r>
    </w:p>
    <w:p>
      <w:r>
        <w:t>Listed here rather than buried, because they should shape the feedback.</w:t>
      </w:r>
    </w:p>
    <w:p>
      <w:r>
        <w:t xml:space="preserve">The three that need people are no longer just identified — </w:t>
      </w:r>
      <w:r>
        <w:rPr>
          <w:rFonts w:ascii="Consolas" w:hAnsi="Consolas"/>
          <w:sz w:val="19"/>
        </w:rPr>
        <w:t>docs/PROTOCOLS.md</w:t>
      </w:r>
      <w:r>
        <w:t xml:space="preserve"> sets out each as a runnable study: participant numbers and why, consent wording, session scripts, the analysis to apply, and what has to be rewritten afterwards. They need people and time, not design work.</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Weakness</w:t>
            </w:r>
          </w:p>
        </w:tc>
        <w:tc>
          <w:tcPr>
            <w:tcW w:type="dxa" w:w="4320"/>
          </w:tcPr>
          <w:p>
            <w:r>
              <w:rPr>
                <w:b/>
                <w:sz w:val="18"/>
              </w:rPr>
              <w:t>Status</w:t>
            </w:r>
          </w:p>
        </w:tc>
      </w:tr>
      <w:tr>
        <w:tc>
          <w:tcPr>
            <w:tcW w:type="dxa" w:w="4320"/>
          </w:tcPr>
          <w:p>
            <w:r>
              <w:rPr>
                <w:sz w:val="18"/>
              </w:rPr>
              <w:t>No weight elicitation</w:t>
            </w:r>
          </w:p>
        </w:tc>
        <w:tc>
          <w:tcPr>
            <w:tcW w:type="dxa" w:w="4320"/>
          </w:tcPr>
          <w:p>
            <w:r>
              <w:rPr>
                <w:sz w:val="18"/>
              </w:rPr>
              <w:t>RQ2 as originally posed is unanswered</w:t>
            </w:r>
          </w:p>
        </w:tc>
      </w:tr>
      <w:tr>
        <w:tc>
          <w:tcPr>
            <w:tcW w:type="dxa" w:w="4320"/>
          </w:tcPr>
          <w:p>
            <w:r>
              <w:rPr>
                <w:sz w:val="18"/>
              </w:rPr>
              <w:t>No inter-rater reliability study</w:t>
            </w:r>
          </w:p>
        </w:tc>
        <w:tc>
          <w:tcPr>
            <w:tcW w:type="dxa" w:w="4320"/>
          </w:tcPr>
          <w:p>
            <w:r>
              <w:rPr>
                <w:sz w:val="18"/>
              </w:rPr>
              <w:t>The inconsistency premise is cited (Cortés et al., 2016) but not measured</w:t>
            </w:r>
          </w:p>
        </w:tc>
      </w:tr>
      <w:tr>
        <w:tc>
          <w:tcPr>
            <w:tcW w:type="dxa" w:w="4320"/>
          </w:tcPr>
          <w:p>
            <w:r>
              <w:rPr>
                <w:sz w:val="18"/>
              </w:rPr>
              <w:t>Validation on a US proxy dataset</w:t>
            </w:r>
          </w:p>
        </w:tc>
        <w:tc>
          <w:tcPr>
            <w:tcW w:type="dxa" w:w="4320"/>
          </w:tcPr>
          <w:p>
            <w:r>
              <w:rPr>
                <w:sz w:val="18"/>
              </w:rPr>
              <w:t>Central limitation, stated in §1.6 before any result</w:t>
            </w:r>
          </w:p>
        </w:tc>
      </w:tr>
      <w:tr>
        <w:tc>
          <w:tcPr>
            <w:tcW w:type="dxa" w:w="4320"/>
          </w:tcPr>
          <w:p>
            <w:r>
              <w:rPr>
                <w:sz w:val="18"/>
              </w:rPr>
              <w:t>Criteria tree not validated against outcomes</w:t>
            </w:r>
          </w:p>
        </w:tc>
        <w:tc>
          <w:tcPr>
            <w:tcW w:type="dxa" w:w="4320"/>
          </w:tcPr>
          <w:p>
            <w:r>
              <w:rPr>
                <w:sz w:val="18"/>
              </w:rPr>
              <w:t>No dataset contains its variables</w:t>
            </w:r>
          </w:p>
        </w:tc>
      </w:tr>
      <w:tr>
        <w:tc>
          <w:tcPr>
            <w:tcW w:type="dxa" w:w="4320"/>
          </w:tcPr>
          <w:p>
            <w:r>
              <w:rPr>
                <w:sz w:val="18"/>
              </w:rPr>
              <w:t>Fuzzy layer not exercised by the validation</w:t>
            </w:r>
          </w:p>
        </w:tc>
        <w:tc>
          <w:tcPr>
            <w:tcW w:type="dxa" w:w="4320"/>
          </w:tcPr>
          <w:p>
            <w:r>
              <w:rPr>
                <w:sz w:val="18"/>
              </w:rPr>
              <w:t>All observable criteria are quantitative</w:t>
            </w:r>
          </w:p>
        </w:tc>
      </w:tr>
      <w:tr>
        <w:tc>
          <w:tcPr>
            <w:tcW w:type="dxa" w:w="4320"/>
          </w:tcPr>
          <w:p>
            <w:r>
              <w:rPr>
                <w:sz w:val="18"/>
              </w:rPr>
              <w:t>Development objective thinly proxied</w:t>
            </w:r>
          </w:p>
        </w:tc>
        <w:tc>
          <w:tcPr>
            <w:tcW w:type="dxa" w:w="4320"/>
          </w:tcPr>
          <w:p>
            <w:r>
              <w:rPr>
                <w:sz w:val="18"/>
              </w:rPr>
              <w:t>Only employment observable; 5 of 9 clause-5 items absent</w:t>
            </w:r>
          </w:p>
        </w:tc>
      </w:tr>
      <w:tr>
        <w:tc>
          <w:tcPr>
            <w:tcW w:type="dxa" w:w="4320"/>
          </w:tcPr>
          <w:p>
            <w:r>
              <w:rPr>
                <w:sz w:val="18"/>
              </w:rPr>
              <w:t>Fairness on protected characteristics untested</w:t>
            </w:r>
          </w:p>
        </w:tc>
        <w:tc>
          <w:tcPr>
            <w:tcW w:type="dxa" w:w="4320"/>
          </w:tcPr>
          <w:p>
            <w:r>
              <w:rPr>
                <w:sz w:val="18"/>
              </w:rPr>
              <w:t>Not testable on this data — no race, sex or age field. Credit-access proxies are now tested, and the artefact fails four of five</w:t>
            </w:r>
          </w:p>
        </w:tc>
      </w:tr>
      <w:tr>
        <w:tc>
          <w:tcPr>
            <w:tcW w:type="dxa" w:w="4320"/>
          </w:tcPr>
          <w:p>
            <w:r>
              <w:rPr>
                <w:sz w:val="18"/>
              </w:rPr>
              <w:t>No field evaluation</w:t>
            </w:r>
          </w:p>
        </w:tc>
        <w:tc>
          <w:tcPr>
            <w:tcW w:type="dxa" w:w="4320"/>
          </w:tcPr>
          <w:p>
            <w:r>
              <w:rPr>
                <w:sz w:val="18"/>
              </w:rPr>
              <w:t>No officer has used the system on live applications</w:t>
            </w:r>
          </w:p>
        </w:tc>
      </w:tr>
      <w:tr>
        <w:tc>
          <w:tcPr>
            <w:tcW w:type="dxa" w:w="4320"/>
          </w:tcPr>
          <w:p>
            <w:r>
              <w:rPr>
                <w:sz w:val="18"/>
              </w:rPr>
              <w:t>Contamination novelty not established</w:t>
            </w:r>
          </w:p>
        </w:tc>
        <w:tc>
          <w:tcPr>
            <w:tcW w:type="dxa" w:w="4320"/>
          </w:tcPr>
          <w:p>
            <w:r>
              <w:rPr>
                <w:sz w:val="18"/>
              </w:rPr>
              <w:t>One affected study now verified by full text (Yussuph, 2024); two candidates unobtainable without library access</w:t>
            </w:r>
          </w:p>
        </w:tc>
      </w:tr>
      <w:tr>
        <w:tc>
          <w:tcPr>
            <w:tcW w:type="dxa" w:w="4320"/>
          </w:tcPr>
          <w:p>
            <w:r>
              <w:rPr>
                <w:sz w:val="18"/>
              </w:rPr>
              <w:t>Literature only partly read</w:t>
            </w:r>
          </w:p>
        </w:tc>
        <w:tc>
          <w:tcPr>
            <w:tcW w:type="dxa" w:w="4320"/>
          </w:tcPr>
          <w:p>
            <w:r>
              <w:rPr>
                <w:sz w:val="18"/>
              </w:rPr>
              <w:t>8 of 58 sources read in full — the ones carrying substantive claims. Three of those corrections changed the text. One source could not be obtained at all and the claim on it was weakened accordingly</w:t>
            </w:r>
          </w:p>
        </w:tc>
      </w:tr>
    </w:tbl>
    <w:p/>
    <w:p/>
    <w:p>
      <w:pPr>
        <w:pStyle w:val="Heading2"/>
      </w:pPr>
      <w:r>
        <w:t>6. Decisions needed</w:t>
      </w:r>
    </w:p>
    <w:p>
      <w:pPr>
        <w:pStyle w:val="ListNumber"/>
      </w:pPr>
      <w:r>
        <w:rPr>
          <w:b/>
        </w:rPr>
        <w:t>Is the revised scope acceptable?</w:t>
      </w:r>
      <w:r>
        <w:t xml:space="preserve"> The study now contributes a dataset</w:t>
      </w:r>
    </w:p>
    <w:p>
      <w:r>
        <w:t>finding and a methodological result rather than a novel scoring model. §2.8 and §6.6 state this plainly. If a different emphasis is wanted, it is better known now.</w:t>
      </w:r>
    </w:p>
    <w:p>
      <w:pPr>
        <w:pStyle w:val="ListNumber"/>
      </w:pPr>
      <w:r>
        <w:rPr>
          <w:b/>
        </w:rPr>
        <w:t>Can practitioner access be arranged?</w:t>
      </w:r>
      <w:r>
        <w:t xml:space="preserve"> Three respondents at fifteen minutes</w:t>
      </w:r>
    </w:p>
    <w:p>
      <w:r>
        <w:t>each would answer RQ2 as originally posed. The instrument is built and tested. This is the single highest-value addition available.</w:t>
      </w:r>
    </w:p>
    <w:p>
      <w:pPr>
        <w:pStyle w:val="ListNumber"/>
      </w:pPr>
      <w:r>
        <w:rPr>
          <w:b/>
        </w:rPr>
        <w:t>Is there a route to institutional data?</w:t>
      </w:r>
      <w:r>
        <w:t xml:space="preserve"> Even a few hundred anonymised</w:t>
      </w:r>
    </w:p>
    <w:p>
      <w:r>
        <w:t>historical files with outcomes would allow the criteria tree itself to be tested rather than a proxy.</w:t>
      </w:r>
    </w:p>
    <w:p>
      <w:pPr>
        <w:pStyle w:val="ListNumber"/>
      </w:pPr>
      <w:r>
        <w:rPr>
          <w:b/>
        </w:rPr>
        <w:t>Does the thesis structure match NSBM requirements?</w:t>
      </w:r>
      <w:r>
        <w:t xml:space="preserve"> It follows standard</w:t>
      </w:r>
    </w:p>
    <w:p>
      <w:r>
        <w:t>academic convention; the department's template or rubric has not been seen and the structure should be checked against it.</w:t>
      </w:r>
    </w:p>
    <w:p>
      <w:pPr>
        <w:pStyle w:val="ListNumber"/>
      </w:pPr>
      <w:r>
        <w:rPr>
          <w:b/>
        </w:rPr>
        <w:t>Should the conference paper be submitted?</w:t>
      </w:r>
      <w:r>
        <w:t xml:space="preserve"> The contamination finding stands</w:t>
      </w:r>
    </w:p>
    <w:p>
      <w:r>
        <w:t xml:space="preserve">alone and is drafted. It requires one further step first: a systematic search confirming which published studies are affected. The protocol is in </w:t>
      </w:r>
      <w:r>
        <w:rPr>
          <w:rFonts w:ascii="Consolas" w:hAnsi="Consolas"/>
          <w:sz w:val="19"/>
        </w:rPr>
        <w:t>docs/07-paper/affected-work-search.md</w:t>
      </w:r>
      <w:r>
        <w:t xml:space="preserve">; </w:t>
      </w:r>
      <w:r>
        <w:rPr>
          <w:b/>
        </w:rPr>
        <w:t>no paper should be named as affected without being read.</w:t>
      </w:r>
    </w:p>
    <w:p/>
    <w:p>
      <w:pPr>
        <w:pStyle w:val="Heading2"/>
      </w:pPr>
      <w:r>
        <w:t>7. Accompanying materials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Path</w:t>
            </w:r>
          </w:p>
        </w:tc>
        <w:tc>
          <w:tcPr>
            <w:tcW w:type="dxa" w:w="4320"/>
          </w:tcPr>
          <w:p>
            <w:r>
              <w:rPr>
                <w:b/>
                <w:sz w:val="18"/>
              </w:rPr>
              <w:t>Contents</w:t>
            </w:r>
          </w:p>
        </w:tc>
      </w:tr>
      <w:tr>
        <w:tc>
          <w:tcPr>
            <w:tcW w:type="dxa" w:w="4320"/>
          </w:tcPr>
          <w:p>
            <w:r>
              <w:rPr>
                <w:sz w:val="18"/>
              </w:rPr>
              <w:t>docs/06-thesis/THESIS-NSBM.docx</w:t>
            </w:r>
          </w:p>
        </w:tc>
        <w:tc>
          <w:tcPr>
            <w:tcW w:type="dxa" w:w="4320"/>
          </w:tcPr>
          <w:p>
            <w:r>
              <w:rPr>
                <w:sz w:val="18"/>
              </w:rPr>
              <w:t>The thesis, in NSBM senate format, IEEE referencing</w:t>
            </w:r>
          </w:p>
        </w:tc>
      </w:tr>
      <w:tr>
        <w:tc>
          <w:tcPr>
            <w:tcW w:type="dxa" w:w="4320"/>
          </w:tcPr>
          <w:p>
            <w:r>
              <w:rPr>
                <w:sz w:val="18"/>
              </w:rPr>
              <w:t>docs/07-paper/paper-term-contamination.md</w:t>
            </w:r>
          </w:p>
        </w:tc>
        <w:tc>
          <w:tcPr>
            <w:tcW w:type="dxa" w:w="4320"/>
          </w:tcPr>
          <w:p>
            <w:r>
              <w:rPr>
                <w:sz w:val="18"/>
              </w:rPr>
              <w:t>Conference paper draft</w:t>
            </w:r>
          </w:p>
        </w:tc>
      </w:tr>
      <w:tr>
        <w:tc>
          <w:tcPr>
            <w:tcW w:type="dxa" w:w="4320"/>
          </w:tcPr>
          <w:p>
            <w:r>
              <w:rPr>
                <w:sz w:val="18"/>
              </w:rPr>
              <w:t>docs/07-paper/affected-work-search.md</w:t>
            </w:r>
          </w:p>
        </w:tc>
        <w:tc>
          <w:tcPr>
            <w:tcW w:type="dxa" w:w="4320"/>
          </w:tcPr>
          <w:p>
            <w:r>
              <w:rPr>
                <w:sz w:val="18"/>
              </w:rPr>
              <w:t>Search record: one affected study verified, four excluded, two unobtainable</w:t>
            </w:r>
          </w:p>
        </w:tc>
      </w:tr>
      <w:tr>
        <w:tc>
          <w:tcPr>
            <w:tcW w:type="dxa" w:w="4320"/>
          </w:tcPr>
          <w:p>
            <w:r>
              <w:rPr>
                <w:sz w:val="18"/>
              </w:rPr>
              <w:t>docs/02-literature/bibliography.md</w:t>
            </w:r>
          </w:p>
        </w:tc>
        <w:tc>
          <w:tcPr>
            <w:tcW w:type="dxa" w:w="4320"/>
          </w:tcPr>
          <w:p>
            <w:r>
              <w:rPr>
                <w:sz w:val="18"/>
              </w:rPr>
              <w:t>58 sources with per-entry verification status</w:t>
            </w:r>
          </w:p>
        </w:tc>
      </w:tr>
      <w:tr>
        <w:tc>
          <w:tcPr>
            <w:tcW w:type="dxa" w:w="4320"/>
          </w:tcPr>
          <w:p>
            <w:r>
              <w:rPr>
                <w:sz w:val="18"/>
              </w:rPr>
              <w:t>docs/04-criteria-model/MODEL-CARD.md</w:t>
            </w:r>
          </w:p>
        </w:tc>
        <w:tc>
          <w:tcPr>
            <w:tcW w:type="dxa" w:w="4320"/>
          </w:tcPr>
          <w:p>
            <w:r>
              <w:rPr>
                <w:sz w:val="18"/>
              </w:rPr>
              <w:t>Intended use, limitations, risks, fairness results</w:t>
            </w:r>
          </w:p>
        </w:tc>
      </w:tr>
      <w:tr>
        <w:tc>
          <w:tcPr>
            <w:tcW w:type="dxa" w:w="4320"/>
          </w:tcPr>
          <w:p>
            <w:r>
              <w:rPr>
                <w:sz w:val="18"/>
              </w:rPr>
              <w:t>docs/PROTOCOLS.md</w:t>
            </w:r>
          </w:p>
        </w:tc>
        <w:tc>
          <w:tcPr>
            <w:tcW w:type="dxa" w:w="4320"/>
          </w:tcPr>
          <w:p>
            <w:r>
              <w:rPr>
                <w:sz w:val="18"/>
              </w:rPr>
              <w:t>The three outstanding studies, written to be run</w:t>
            </w:r>
          </w:p>
        </w:tc>
      </w:tr>
      <w:tr>
        <w:tc>
          <w:tcPr>
            <w:tcW w:type="dxa" w:w="4320"/>
          </w:tcPr>
          <w:p>
            <w:r>
              <w:rPr>
                <w:sz w:val="18"/>
              </w:rPr>
              <w:t>docs/VIVA-PREPARATION.md</w:t>
            </w:r>
          </w:p>
        </w:tc>
        <w:tc>
          <w:tcPr>
            <w:tcW w:type="dxa" w:w="4320"/>
          </w:tcPr>
          <w:p>
            <w:r>
              <w:rPr>
                <w:sz w:val="18"/>
              </w:rPr>
              <w:t>Anticipated questions, weak points, numbers to memorise</w:t>
            </w:r>
          </w:p>
        </w:tc>
      </w:tr>
      <w:tr>
        <w:tc>
          <w:tcPr>
            <w:tcW w:type="dxa" w:w="4320"/>
          </w:tcPr>
          <w:p>
            <w:r>
              <w:rPr>
                <w:sz w:val="18"/>
              </w:rPr>
              <w:t>docs/DEPLOYMENT.md</w:t>
            </w:r>
          </w:p>
        </w:tc>
        <w:tc>
          <w:tcPr>
            <w:tcW w:type="dxa" w:w="4320"/>
          </w:tcPr>
          <w:p>
            <w:r>
              <w:rPr>
                <w:sz w:val="18"/>
              </w:rPr>
              <w:t>Step-by-step deployment to Vercel and PostgreSQL</w:t>
            </w:r>
          </w:p>
        </w:tc>
      </w:tr>
      <w:tr>
        <w:tc>
          <w:tcPr>
            <w:tcW w:type="dxa" w:w="4320"/>
          </w:tcPr>
          <w:p>
            <w:r>
              <w:rPr>
                <w:sz w:val="18"/>
              </w:rPr>
              <w:t>docs/RESEARCH-STRENGTHENING-PLAN.md</w:t>
            </w:r>
          </w:p>
        </w:tc>
        <w:tc>
          <w:tcPr>
            <w:tcW w:type="dxa" w:w="4320"/>
          </w:tcPr>
          <w:p>
            <w:r>
              <w:rPr>
                <w:sz w:val="18"/>
              </w:rPr>
              <w:t>The original plan, annotated with what was delivered</w:t>
            </w:r>
          </w:p>
        </w:tc>
      </w:tr>
      <w:tr>
        <w:tc>
          <w:tcPr>
            <w:tcW w:type="dxa" w:w="4320"/>
          </w:tcPr>
          <w:p>
            <w:r>
              <w:rPr>
                <w:sz w:val="18"/>
              </w:rPr>
              <w:t>web/</w:t>
            </w:r>
          </w:p>
        </w:tc>
        <w:tc>
          <w:tcPr>
            <w:tcW w:type="dxa" w:w="4320"/>
          </w:tcPr>
          <w:p>
            <w:r>
              <w:rPr>
                <w:sz w:val="18"/>
              </w:rPr>
              <w:t>The system</w:t>
            </w:r>
          </w:p>
        </w:tc>
      </w:tr>
      <w:tr>
        <w:tc>
          <w:tcPr>
            <w:tcW w:type="dxa" w:w="4320"/>
          </w:tcPr>
          <w:p>
            <w:r>
              <w:rPr>
                <w:sz w:val="18"/>
              </w:rPr>
              <w:t>research/</w:t>
            </w:r>
          </w:p>
        </w:tc>
        <w:tc>
          <w:tcPr>
            <w:tcW w:type="dxa" w:w="4320"/>
          </w:tcPr>
          <w:p>
            <w:r>
              <w:rPr>
                <w:sz w:val="18"/>
              </w:rPr>
              <w:t>Analysis pipeline and generated results</w:t>
            </w:r>
          </w:p>
        </w:tc>
      </w:tr>
    </w:tbl>
    <w:p/>
    <w:p>
      <w:r>
        <w:rPr>
          <w:b/>
        </w:rPr>
        <w:t>A note on the bibliography.</w:t>
      </w:r>
      <w:r>
        <w:t xml:space="preserve"> Sources are marked read / verified-not-read / retrieval-failed / needs-confirming. Bibliographic details were checked against authoritative records; </w:t>
      </w:r>
      <w:r>
        <w:rPr>
          <w:b/>
        </w:rPr>
        <w:t>8 of 58 have been read in full</w:t>
      </w:r>
      <w:r>
        <w:t>, and those are the ones carrying substantive claims.</w:t>
      </w:r>
    </w:p>
    <w:p>
      <w:r>
        <w:t xml:space="preserve">That reading mattered more than expected. Of the eight, </w:t>
      </w:r>
      <w:r>
        <w:rPr>
          <w:b/>
        </w:rPr>
        <w:t>three did not say what the thesis had said they said</w:t>
      </w:r>
      <w:r>
        <w:t xml:space="preserve"> — most seriously Arvanitis et al. (2015), whose "independence" result turns out to be a positive but non-significant relationship in 109 observations, which the design's justification had been resting on. All three are corrected in the text, and §7 of the viva document prepares the answers. The remaining 28 unread entries are the clearest argument for library access.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