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(§5.10.3)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That refusal is supported by evidence: appraisal at a multilateral development bank shows development and credit concerns to be empirically independent (§3.6.2), so a combined score would discard real information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(§5.10).</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and an independence premise that its own data partly contradicts.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(§5.10).</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(§5.10.1).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 xml:space="preserve">Arvanitis, Stampini and Vencatachellum [24] examine ex-ante appraisal at the African Development Bank and report a result of direct consequence: </w:t>
      </w:r>
      <w:r>
        <w:rPr>
          <w:rFonts w:ascii="Times New Roman" w:hAnsi="Times New Roman"/>
          <w:b/>
          <w:sz w:val="24"/>
        </w:rPr>
        <w:t>development and risk concerns considered during project appraisal are empirically independent of one another</w:t>
      </w:r>
      <w:r>
        <w:rPr>
          <w:rFonts w:ascii="Times New Roman" w:hAnsi="Times New Roman"/>
          <w:sz w:val="24"/>
        </w:rPr>
        <w:t>, and no assumption should be made about one from the other.</w:t>
      </w:r>
    </w:p>
    <w:p>
      <w:pPr>
        <w:spacing w:line="360" w:lineRule="auto" w:after="120"/>
      </w:pPr>
      <w:r>
        <w:rPr>
          <w:rFonts w:ascii="Times New Roman" w:hAnsi="Times New Roman"/>
          <w:sz w:val="24"/>
        </w:rP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(§5.11).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§5.10.3);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Given Arvanitis et al.'s independence result, this study reports them separately by design and never produces a combined figure.</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§5.10–5.6</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§5.10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(§5.10.3).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(§5.18.2).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(§5.10).</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§5.10.</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§5.15: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§5.10–5.5</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§5.18</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§5.18.</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(§5.18),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Vencatachellum's (2015) finding that development and credit concerns are empirically independent in development-bank appraisal. Their result comes from one multilateral institution's project portfolio. It can be tested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partly contradicts the premise the design was justified on</w:t>
      </w:r>
      <w:r>
        <w:rPr>
          <w:rFonts w:ascii="Times New Roman" w:hAnsi="Times New Roman"/>
          <w:sz w:val="24"/>
        </w:rPr>
        <w:t>, and is reported as such rather than omitted. On this population the two objectives co-move more than Arvanitis et al. found.</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§5.10–5.6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5.19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§5.10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(§5.10)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