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6"/>
        </w:rPr>
        <w:t>Supervisor Briefing</w:t>
      </w:r>
    </w:p>
    <w:p>
      <w:pPr>
        <w:jc w:val="center"/>
      </w:pPr>
      <w:r>
        <w:rPr>
          <w:b w:val="0"/>
          <w:i/>
          <w:sz w:val="24"/>
        </w:rPr>
        <w:t>A Dual-Objective Decision Support Model for SME Credit Appraisal</w:t>
      </w:r>
    </w:p>
    <w:p>
      <w:pPr>
        <w:jc w:val="center"/>
      </w:pPr>
      <w:r>
        <w:rPr>
          <w:b w:val="0"/>
          <w:i w:val="0"/>
          <w:sz w:val="22"/>
        </w:rPr>
      </w:r>
    </w:p>
    <w:p>
      <w:pPr>
        <w:jc w:val="center"/>
      </w:pPr>
      <w:r>
        <w:rPr>
          <w:b w:val="0"/>
          <w:i w:val="0"/>
          <w:sz w:val="22"/>
        </w:rPr>
        <w:t>AAV Athukorala · MSc IT, NSBM Green University</w:t>
      </w:r>
    </w:p>
    <w:p/>
    <w:p>
      <w:pPr>
        <w:pStyle w:val="Heading1"/>
      </w:pPr>
      <w:r>
        <w:t>Supervisor Briefing</w:t>
      </w:r>
    </w:p>
    <w:p>
      <w:r>
        <w:rPr>
          <w:b/>
        </w:rPr>
        <w:t>Project:</w:t>
      </w:r>
      <w:r>
        <w:t xml:space="preserve"> A Dual-Objective Decision Support Model for SME Credit Appraisal</w:t>
      </w:r>
    </w:p>
    <w:p>
      <w:r>
        <w:rPr>
          <w:b/>
        </w:rPr>
        <w:t>Student:</w:t>
      </w:r>
      <w:r>
        <w:t xml:space="preserve"> AAV Athukorala · MSc IT, NSBM Green University</w:t>
      </w:r>
    </w:p>
    <w:p>
      <w:r>
        <w:rPr>
          <w:b/>
        </w:rPr>
        <w:t>Supervisor:</w:t>
      </w:r>
      <w:r>
        <w:t xml:space="preserve"> Dr. Pabudi Abeyrathne</w:t>
      </w:r>
    </w:p>
    <w:p>
      <w:r>
        <w:rPr>
          <w:b/>
        </w:rPr>
        <w:t>Date:</w:t>
      </w:r>
      <w:r>
        <w:t xml:space="preserve"> September 2026</w:t>
      </w:r>
    </w:p>
    <w:p>
      <w:r>
        <w:t>Accompanies the thesis draft (~15,400 words), the working system, and a draft conference paper.</w:t>
      </w:r>
    </w:p>
    <w:p/>
    <w:p>
      <w:pPr>
        <w:pStyle w:val="Heading2"/>
      </w:pPr>
      <w:r>
        <w:t>1. What this document is for</w:t>
      </w:r>
    </w:p>
    <w:p>
      <w:r>
        <w:t>Three things have changed since the proposal, each for a reason that should be reviewed before the work goes further. This briefing sets them out, summarises what the study now contains, and lists the decisions needed.</w:t>
      </w:r>
    </w:p>
    <w:p/>
    <w:p>
      <w:pPr>
        <w:pStyle w:val="Heading2"/>
      </w:pPr>
      <w:r>
        <w:t>2. Three changes since the proposal</w:t>
      </w:r>
    </w:p>
    <w:p>
      <w:pPr>
        <w:pStyle w:val="Heading3"/>
      </w:pPr>
      <w:r>
        <w:t>2.1 The claimed contribution was already published</w:t>
      </w:r>
    </w:p>
    <w:p>
      <w:r>
        <w:t>The proposal claimed novelty in applying fuzzy multi-criteria methods to SME credit scoring. The literature review found this is not novel:</w:t>
      </w:r>
    </w:p>
    <w:p>
      <w:pPr>
        <w:pStyle w:val="ListBullet"/>
      </w:pPr>
      <w:r>
        <w:rPr>
          <w:b/>
        </w:rPr>
        <w:t>Roy and Shaw (2021)</w:t>
      </w:r>
      <w:r>
        <w:t>, *Financial Innovation* 7(1) — a multicriteria credit</w:t>
      </w:r>
    </w:p>
    <w:p>
      <w:r>
        <w:t>scoring model for SMEs using Best-Worst Method combined with a ranking method: the same hybrid the proposal treated as new.</w:t>
      </w:r>
    </w:p>
    <w:p>
      <w:pPr>
        <w:pStyle w:val="ListBullet"/>
      </w:pPr>
      <w:r>
        <w:rPr>
          <w:b/>
        </w:rPr>
        <w:t>Gutiérrez-Nieto, Serrano-Cinca and Camón-Cala (2016)</w:t>
      </w:r>
      <w:r>
        <w:t>, *Journal of Business</w:t>
      </w:r>
    </w:p>
    <w:p>
      <w:r>
        <w:t>Ethics* 133(4) — a credit score system evaluating social impact alongside financial aspects using MCDM.</w:t>
      </w:r>
    </w:p>
    <w:p>
      <w:r>
        <w:t xml:space="preserve">Both claims are </w:t>
      </w:r>
      <w:r>
        <w:rPr>
          <w:b/>
        </w:rPr>
        <w:t>withdrawn explicitly</w:t>
      </w:r>
      <w:r>
        <w:t xml:space="preserve"> in §2.5.3 and §2.6.1 rather than restated in a weaker form. The contribution now rests elsewhere (§3 below).</w:t>
      </w:r>
    </w:p>
    <w:p>
      <w:pPr>
        <w:pStyle w:val="Heading3"/>
      </w:pPr>
      <w:r>
        <w:t>2.2 Weight elicitation was not carried out</w:t>
      </w:r>
    </w:p>
    <w:p>
      <w:r>
        <w:t xml:space="preserve">The methodology specifies eliciting criterion weights from credit practitioners by Best-Worst Method. </w:t>
      </w:r>
      <w:r>
        <w:rPr>
          <w:b/>
        </w:rPr>
        <w:t>This was not done.</w:t>
      </w:r>
      <w:r>
        <w:t xml:space="preserve"> Recruiting officers requires institutional access and participant time that were not secured.</w:t>
      </w:r>
    </w:p>
    <w:p>
      <w:r>
        <w:t>What exists: the web instrument (86 comparisons, ~15 minutes, no name or customer data collected), a verified BWM solver, and the full analysis pipeline. What does not exist: any practitioner response.</w:t>
      </w:r>
    </w:p>
    <w:p>
      <w:r>
        <w:t xml:space="preserve">The model therefore carries </w:t>
      </w:r>
      <w:r>
        <w:rPr>
          <w:rFonts w:ascii="Consolas" w:hAnsi="Consolas"/>
          <w:sz w:val="19"/>
        </w:rPr>
        <w:t>weightStatus: PLACEHOLDER</w:t>
      </w:r>
      <w:r>
        <w:t>, and this is enforced mechanically — the derivation script refuses to mark it otherwise without usable responses, and an automated check fails the build if any chapter claims elicitation occurred.</w:t>
      </w:r>
    </w:p>
    <w:p>
      <w:pPr>
        <w:pStyle w:val="Heading3"/>
      </w:pPr>
      <w:r>
        <w:t>2.3 The research questions were revised</w:t>
      </w:r>
    </w:p>
    <w:p>
      <w:r>
        <w:t xml:space="preserve">RQ2 originally asked what weights practitioners assign. Since that cannot be answered, it now asks </w:t>
      </w:r>
      <w:r>
        <w:rPr>
          <w:b/>
        </w:rPr>
        <w:t>how much the model's output depends on its weights at all</w:t>
      </w:r>
      <w:r>
        <w:t xml:space="preserve"> — answerable by simulation, and it bounds what the missing elicitation costs. RQ4 was likewise reframed to something testable on available data.</w:t>
      </w:r>
    </w:p>
    <w:p>
      <w:r>
        <w:t>§1.3 and §6.1 state both changes openly. This is a narrowing of scope, not a substitution of equivalent value, and the thesis says so.</w:t>
      </w:r>
    </w:p>
    <w:p/>
    <w:p>
      <w:pPr>
        <w:pStyle w:val="Heading2"/>
      </w:pPr>
      <w:r>
        <w:t>3. What the study now contributes</w:t>
      </w:r>
    </w:p>
    <w:p>
      <w:pPr>
        <w:pStyle w:val="Heading3"/>
      </w:pPr>
      <w:r>
        <w:t>3.1 Contamination in a widely used benchmark dataset — the principal finding</w:t>
      </w:r>
    </w:p>
    <w:p>
      <w:r>
        <w:t xml:space="preserve">The SBA National dataset (899,164 loans) is a common benchmark in small-business credit research. Its </w:t>
      </w:r>
      <w:r>
        <w:rPr>
          <w:rFonts w:ascii="Consolas" w:hAnsi="Consolas"/>
          <w:sz w:val="19"/>
        </w:rPr>
        <w:t>Term</w:t>
      </w:r>
      <w:r>
        <w:t xml:space="preserve"> field carries information about the outcome: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Repaid loans with term a multiple of 12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Charged-off loans with term a multiple of 12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AUC of that single boolean alone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0.8894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Same, within every approval year 1990–2010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0.859 – 0.900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2007 approvals at 60 months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11.1% default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2007 approvals at 59 / 61 months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86.7% / 92.2%</w:t>
            </w:r>
          </w:p>
        </w:tc>
      </w:tr>
    </w:tbl>
    <w:p/>
    <w:p>
      <w:r>
        <w:t xml:space="preserve">Excluding the field drops gradient-boosting temporal AUC from </w:t>
      </w:r>
      <w:r>
        <w:rPr>
          <w:b/>
        </w:rPr>
        <w:t>0.9461 to 0.6076</w:t>
      </w:r>
      <w:r>
        <w:t>. Confidence intervals do not overlap; paired DeLong tests give p &lt; 0.001.</w:t>
      </w:r>
    </w:p>
    <w:p>
      <w:r>
        <w:t xml:space="preserve">The finding emerged because an AUC of 0.9726 was investigated rather than reported. The mechanism is </w:t>
      </w:r>
      <w:r>
        <w:rPr>
          <w:b/>
        </w:rPr>
        <w:t>not</w:t>
      </w:r>
      <w:r>
        <w:t xml:space="preserve"> established — the obvious hypothesis (that </w:t>
      </w:r>
      <w:r>
        <w:rPr>
          <w:rFonts w:ascii="Consolas" w:hAnsi="Consolas"/>
          <w:sz w:val="19"/>
        </w:rPr>
        <w:t>Term</w:t>
      </w:r>
      <w:r>
        <w:t xml:space="preserve"> records survival time) was tested and rejected — and the thesis reports it as unresolved rather than asserting a cause.</w:t>
      </w:r>
    </w:p>
    <w:p>
      <w:pPr>
        <w:pStyle w:val="Heading3"/>
      </w:pPr>
      <w:r>
        <w:t>3.2 A methodological result</w:t>
      </w:r>
    </w:p>
    <w:p>
      <w:r>
        <w:t xml:space="preserve">An instrument-specific appraisal model cannot be validated on a dataset lacking its variables. Evidenced by a negative result: an a priori scorecard built from SBA-observable proxies achieved </w:t>
      </w:r>
      <w:r>
        <w:rPr>
          <w:b/>
        </w:rPr>
        <w:t>AUC 0.4144 / 0.5275</w:t>
      </w:r>
      <w:r>
        <w:t>, at or below chance. That is reported as it occurred.</w:t>
      </w:r>
    </w:p>
    <w:p>
      <w:pPr>
        <w:pStyle w:val="Heading3"/>
      </w:pPr>
      <w:r>
        <w:t>3.3 Supporting findings</w:t>
      </w:r>
    </w:p>
    <w:p>
      <w:pPr>
        <w:pStyle w:val="ListBullet"/>
      </w:pPr>
      <w:r>
        <w:rPr>
          <w:b/>
        </w:rPr>
        <w:t>Weight sensitivity.</w:t>
      </w:r>
      <w:r>
        <w:t xml:space="preserve"> At ±25% perturbation, rank correlation holds at 0.982</w:t>
      </w:r>
    </w:p>
    <w:p>
      <w:r>
        <w:t>and 94% of risk bands are unchanged — bounding the placeholder-weight problem.</w:t>
      </w:r>
    </w:p>
    <w:p>
      <w:pPr>
        <w:pStyle w:val="ListBullet"/>
      </w:pPr>
      <w:r>
        <w:rPr>
          <w:b/>
        </w:rPr>
        <w:t>Objective separability.</w:t>
      </w:r>
      <w:r>
        <w:t xml:space="preserve"> Across 652,284 facilities the two objectives</w:t>
      </w:r>
    </w:p>
    <w:p>
      <w:r>
        <w:t xml:space="preserve">correlate at r = +0.40 — which </w:t>
      </w:r>
      <w:r>
        <w:rPr>
          <w:b/>
        </w:rPr>
        <w:t>partly contradicts</w:t>
      </w:r>
      <w:r>
        <w:t xml:space="preserve"> the independence premise the design was justified on, and is reported as such. They nonetheless band the same facility differently </w:t>
      </w:r>
      <w:r>
        <w:rPr>
          <w:b/>
        </w:rPr>
        <w:t>88.2%</w:t>
      </w:r>
      <w:r>
        <w:t xml:space="preserve"> of the time, which is the stronger argument for separation.</w:t>
      </w:r>
    </w:p>
    <w:p>
      <w:pPr>
        <w:pStyle w:val="ListBullet"/>
      </w:pPr>
      <w:r>
        <w:rPr>
          <w:b/>
        </w:rPr>
        <w:t>Development impact is positively associated with default</w:t>
      </w:r>
      <w:r>
        <w:t xml:space="preserve"> (10.8% lowest band</w:t>
      </w:r>
    </w:p>
    <w:p>
      <w:r>
        <w:t>vs 30.3% highest). Reported as association, not cause.</w:t>
      </w:r>
    </w:p>
    <w:p>
      <w:pPr>
        <w:pStyle w:val="ListBullet"/>
      </w:pPr>
      <w:r>
        <w:rPr>
          <w:b/>
        </w:rPr>
        <w:t>Calibration degrades ~700-fold</w:t>
      </w:r>
      <w:r>
        <w:t xml:space="preserve"> across a temporal boundary while</w:t>
      </w:r>
    </w:p>
    <w:p>
      <w:r>
        <w:t>discrimination falls far less: models keep ranking while systematically under-pricing risk.</w:t>
      </w:r>
    </w:p>
    <w:p>
      <w:pPr>
        <w:pStyle w:val="Heading3"/>
      </w:pPr>
      <w:r>
        <w:t>3.4 The artefact</w:t>
      </w:r>
    </w:p>
    <w:p>
      <w:r>
        <w:t>A working system: 49 clause-traceable criteria, live dual-objective scoring, exact per-criterion explanation, a completeness gate, authenticated role-based sign-off mirroring clause 7, and export in the People's Bank report format. 62 unit tests; the TypeScript and Python engines are parity-checked across 280 cases.</w:t>
      </w:r>
    </w:p>
    <w:p/>
    <w:p>
      <w:pPr>
        <w:pStyle w:val="Heading2"/>
      </w:pPr>
      <w:r>
        <w:t>4. Reproducibility</w:t>
      </w:r>
    </w:p>
    <w:p>
      <w:r>
        <w:t>Every number in the thesis is generated by code in the repository. No value was entered by hand.</w:t>
      </w:r>
    </w:p>
    <w:p>
      <w:r>
        <w:rPr>
          <w:rFonts w:ascii="Consolas" w:hAnsi="Consolas"/>
          <w:sz w:val="19"/>
        </w:rPr>
        <w:t>scripts/verify_claims.py</w:t>
      </w:r>
      <w:r>
        <w:t xml:space="preserve"> re-derives 25 load-bearing figures from the result tables and checks them against the chapters. It currently passes, and it has already caught two real drifts during drafting.</w:t>
      </w:r>
    </w:p>
    <w:p>
      <w:r>
        <w:rPr>
          <w:rFonts w:ascii="Consolas" w:hAnsi="Consolas"/>
          <w:sz w:val="19"/>
        </w:rPr>
        <w:t>`</w:t>
      </w:r>
      <w:r>
        <w:t xml:space="preserve"> python research/src/prepare_sba.py          # clean the dataset python research/src/leakage_analysis.py     # contamination evidence python research/src/benchmark.py            # clean vs contaminated python research/src/statistical_tests.py    # CIs, DeLong, calibration python research/src/weight_sensitivity.py   # weight Monte Carlo python research/src/objective_independence.py python research/src/cost_analysis.py python scripts/verify_claims.py             # 25 consistency checks cd web &amp;&amp; npm test                          # 62 unit tests </w:t>
      </w:r>
      <w:r>
        <w:rPr>
          <w:rFonts w:ascii="Consolas" w:hAnsi="Consolas"/>
          <w:sz w:val="19"/>
        </w:rPr>
        <w:t>`</w:t>
      </w:r>
    </w:p>
    <w:p/>
    <w:p>
      <w:pPr>
        <w:pStyle w:val="Heading2"/>
      </w:pPr>
      <w:r>
        <w:t>5. Known weaknesses</w:t>
      </w:r>
    </w:p>
    <w:p>
      <w:r>
        <w:t>Listed here rather than buried, because they should shape the feedback.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Weakness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weight elicitation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RQ2 as originally posed is unanswered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inter-rater reliability study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inconsistency premise is cited (Cortés et al., 2016) but not measured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on a US proxy dataset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Central limitation, stated in §1.6 before any 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Criteria tree not validated against outcomes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dataset contains its variables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Fuzzy layer not exercised by the 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All observable criteria are quantitative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Development objective thinly proxied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employment observable; 5 of 9 clause-5 items absent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fairness assessment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Serious gap for a credit model; recorded in the model card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field evaluation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officer has used the system on live applications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Contamination novelty not established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Search found no prior report but was not exhaustive</w:t>
            </w:r>
          </w:p>
        </w:tc>
      </w:tr>
    </w:tbl>
    <w:p/>
    <w:p/>
    <w:p>
      <w:pPr>
        <w:pStyle w:val="Heading2"/>
      </w:pPr>
      <w:r>
        <w:t>6. Decisions needed</w:t>
      </w:r>
    </w:p>
    <w:p>
      <w:pPr>
        <w:pStyle w:val="ListNumber"/>
      </w:pPr>
      <w:r>
        <w:rPr>
          <w:b/>
        </w:rPr>
        <w:t>Is the revised scope acceptable?</w:t>
      </w:r>
      <w:r>
        <w:t xml:space="preserve"> The study now contributes a dataset</w:t>
      </w:r>
    </w:p>
    <w:p>
      <w:r>
        <w:t>finding and a methodological result rather than a novel scoring model. §2.8 and §6.6 state this plainly. If a different emphasis is wanted, it is better known now.</w:t>
      </w:r>
    </w:p>
    <w:p>
      <w:pPr>
        <w:pStyle w:val="ListNumber"/>
      </w:pPr>
      <w:r>
        <w:rPr>
          <w:b/>
        </w:rPr>
        <w:t>Can practitioner access be arranged?</w:t>
      </w:r>
      <w:r>
        <w:t xml:space="preserve"> Three respondents at fifteen minutes</w:t>
      </w:r>
    </w:p>
    <w:p>
      <w:r>
        <w:t>each would answer RQ2 as originally posed. The instrument is built and tested. This is the single highest-value addition available.</w:t>
      </w:r>
    </w:p>
    <w:p>
      <w:pPr>
        <w:pStyle w:val="ListNumber"/>
      </w:pPr>
      <w:r>
        <w:rPr>
          <w:b/>
        </w:rPr>
        <w:t>Is there a route to institutional data?</w:t>
      </w:r>
      <w:r>
        <w:t xml:space="preserve"> Even a few hundred anonymised</w:t>
      </w:r>
    </w:p>
    <w:p>
      <w:r>
        <w:t>historical files with outcomes would allow the criteria tree itself to be tested rather than a proxy.</w:t>
      </w:r>
    </w:p>
    <w:p>
      <w:pPr>
        <w:pStyle w:val="ListNumber"/>
      </w:pPr>
      <w:r>
        <w:rPr>
          <w:b/>
        </w:rPr>
        <w:t>Does the thesis structure match NSBM requirements?</w:t>
      </w:r>
      <w:r>
        <w:t xml:space="preserve"> It follows standard</w:t>
      </w:r>
    </w:p>
    <w:p>
      <w:r>
        <w:t>academic convention; the department's template or rubric has not been seen and the structure should be checked against it.</w:t>
      </w:r>
    </w:p>
    <w:p>
      <w:pPr>
        <w:pStyle w:val="ListNumber"/>
      </w:pPr>
      <w:r>
        <w:rPr>
          <w:b/>
        </w:rPr>
        <w:t>Should the conference paper be submitted?</w:t>
      </w:r>
      <w:r>
        <w:t xml:space="preserve"> The contamination finding stands</w:t>
      </w:r>
    </w:p>
    <w:p>
      <w:r>
        <w:t xml:space="preserve">alone and is drafted. It requires one further step first: a systematic search confirming which published studies are affected. The protocol is in </w:t>
      </w:r>
      <w:r>
        <w:rPr>
          <w:rFonts w:ascii="Consolas" w:hAnsi="Consolas"/>
          <w:sz w:val="19"/>
        </w:rPr>
        <w:t>docs/07-paper/affected-work-search.md</w:t>
      </w:r>
      <w:r>
        <w:t xml:space="preserve">; </w:t>
      </w:r>
      <w:r>
        <w:rPr>
          <w:b/>
        </w:rPr>
        <w:t>no paper should be named as affected without being read.</w:t>
      </w:r>
    </w:p>
    <w:p/>
    <w:p>
      <w:pPr>
        <w:pStyle w:val="Heading2"/>
      </w:pPr>
      <w:r>
        <w:t>7. Accompanying materials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docs/06-thesis/THESIS.docx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Thesis draft, 6 chapters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docs/07-paper/paper-term-contamination.md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Conference paper draft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docs/07-paper/affected-work-search.md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Systematic search record and outstanding protocol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docs/02-literature/bibliography.md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 sources with per-entry verification 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docs/04-criteria-model/MODEL-CARD.md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Intended use, limitations, risks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docs/RESEARCH-STRENGTHENING-PLAN.md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Remaining work, ordered by 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web/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system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research/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Analysis pipeline and generated results</w:t>
            </w:r>
          </w:p>
        </w:tc>
      </w:tr>
    </w:tbl>
    <w:p/>
    <w:p>
      <w:r>
        <w:rPr>
          <w:b/>
        </w:rPr>
        <w:t>A note on the bibliography.</w:t>
      </w:r>
      <w:r>
        <w:t xml:space="preserve"> Sources are marked read / verified-not-read / needs-confirming. Bibliographic details were checked against authoritative records, but most have not been read in full. They must be before submission — the priority order is in the file.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