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40"/>
        </w:rPr>
        <w:t>A Fuzzy Multi-Criteria Decision Model for SME Credit Appraisal in Development Banking</w:t>
      </w:r>
    </w:p>
    <w:p>
      <w:pPr>
        <w:jc w:val="center"/>
      </w:pPr>
      <w:r>
        <w:rPr>
          <w:i/>
          <w:sz w:val="26"/>
        </w:rPr>
        <w:t>Formalising Narrative Appraisal under Dual Credit-Risk and Development-Impact Objectives: Evidence from Sri Lanka</w:t>
      </w:r>
    </w:p>
    <w:p/>
    <w:p/>
    <w:p/>
    <w:p/>
    <w:p/>
    <w:p/>
    <w:p>
      <w:pPr>
        <w:jc w:val="center"/>
      </w:pPr>
      <w:r>
        <w:rPr>
          <w:b/>
          <w:sz w:val="26"/>
        </w:rPr>
        <w:t>AAV Athukorala</w:t>
      </w:r>
    </w:p>
    <w:p>
      <w:pPr>
        <w:jc w:val="center"/>
      </w:pPr>
      <w:r>
        <w:rPr>
          <w:b w:val="0"/>
          <w:sz w:val="22"/>
        </w:rPr>
        <w:t>Student ID: 34764</w:t>
      </w:r>
    </w:p>
    <w:p>
      <w:pPr>
        <w:jc w:val="center"/>
      </w:pPr>
      <w:r>
        <w:rPr>
          <w:b w:val="0"/>
          <w:sz w:val="22"/>
        </w:rPr>
      </w:r>
    </w:p>
    <w:p>
      <w:pPr>
        <w:jc w:val="center"/>
      </w:pPr>
      <w:r>
        <w:rPr>
          <w:b w:val="0"/>
          <w:sz w:val="24"/>
        </w:rPr>
        <w:t>MSc in Information Technology</w:t>
      </w:r>
    </w:p>
    <w:p>
      <w:pPr>
        <w:jc w:val="center"/>
      </w:pPr>
      <w:r>
        <w:rPr>
          <w:b w:val="0"/>
          <w:sz w:val="24"/>
        </w:rPr>
        <w:t>NSBM Green University</w:t>
      </w:r>
    </w:p>
    <w:p>
      <w:pPr>
        <w:jc w:val="center"/>
      </w:pPr>
      <w:r>
        <w:rPr>
          <w:b w:val="0"/>
          <w:sz w:val="22"/>
        </w:rPr>
      </w:r>
    </w:p>
    <w:p>
      <w:pPr>
        <w:jc w:val="center"/>
      </w:pPr>
      <w:r>
        <w:rPr>
          <w:b w:val="0"/>
          <w:sz w:val="22"/>
        </w:rPr>
        <w:t>Supervisor: Dr. Pabudi Abeyrathne</w:t>
      </w:r>
    </w:p>
    <w:p>
      <w:r>
        <w:br w:type="page"/>
      </w:r>
    </w:p>
    <w:p>
      <w:pPr>
        <w:pStyle w:val="Heading1"/>
      </w:pPr>
      <w:r>
        <w:rPr>
          <w:color w:val="1A1A1A"/>
        </w:rPr>
        <w:t>Note on Results and Reproducibility</w:t>
      </w:r>
    </w:p>
    <w:p>
      <w:pPr>
        <w:spacing w:after="200"/>
      </w:pPr>
      <w:r>
        <w:t>Every quantitative result reported in this thesis is produced by code in the accompanying repository and can be regenerated from the raw data. No value has been entered by hand.</w:t>
      </w:r>
    </w:p>
    <w:p>
      <w:pPr>
        <w:spacing w:after="200"/>
      </w:pPr>
      <w:r>
        <w:t>Where an experiment could not be run, the claim is withdrawn and the gap recorded as a limitation rather than filled with an estimate. Negative results are reported as they occurred: these include a claimed contribution withdrawn after the literature review (§2.3.3), an expert scorecard that failed to discriminate (§5.6), and a hypothesis about the mechanism of a data anomaly that was tested and rejected (§5.3.4).</w:t>
      </w:r>
    </w:p>
    <w:p>
      <w:pPr>
        <w:spacing w:after="200"/>
      </w:pPr>
      <w:r>
        <w:t>Sections of Chapter 6 that depend on elicitation data are marked as pending where that data was not obtained. Scores computed under placeholder criterion weights are labelled as such throughout and are not reported as findings.</w:t>
      </w:r>
    </w:p>
    <w:p>
      <w:r>
        <w:br w:type="page"/>
      </w:r>
    </w:p>
    <w:p>
      <w:pPr>
        <w:pStyle w:val="Heading1"/>
      </w:pPr>
      <w:r>
        <w:t>Chapter 1 — Introduction</w:t>
      </w:r>
    </w:p>
    <w:p>
      <w:pPr>
        <w:pStyle w:val="Heading2"/>
      </w:pPr>
      <w:r>
        <w:t>1.1 Background</w:t>
      </w:r>
    </w:p>
    <w:p>
      <w:r>
        <w:t>Small and medium enterprises account for the large majority of businesses in Sri Lanka and a substantial share of employment.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r>
        <w:t>Most of that literature examines whether credit is *available*. This study examines something narrower and less studied: how a bank *decides*, once an application is in front of an officer.</w:t>
      </w:r>
    </w:p>
    <w:p>
      <w:pPr>
        <w:pStyle w:val="Heading2"/>
      </w:pPr>
      <w:r>
        <w:t>1.2 The appraisal problem</w:t>
      </w:r>
    </w:p>
    <w:p>
      <w:r>
        <w:t>People's Bank appraises SME credit using a *Project / Business Appraisal Report for SME Credit Facility*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r>
        <w:t xml:space="preserve">It is also, in large part, </w:t>
      </w:r>
      <w:r>
        <w:rPr>
          <w:b/>
        </w:rPr>
        <w:t>narrative</w:t>
      </w:r>
      <w:r>
        <w:t>. Clause 2.18 asks for written comments on profitability, liquidity, activity and gearing. Clause 3.2 asks for a description of management style. Clause 7 then asks the officer to certify that the project is "financially viable and technically feasible."</w:t>
      </w:r>
    </w:p>
    <w:p>
      <w:r>
        <w:t>Between the evidence and the certification there is no stated procedure. The form specifies exhaustively *what* to consider and says nothing about *how to weigh it*.</w:t>
      </w:r>
    </w:p>
    <w:p>
      <w:r>
        <w:t>Three consequences follow:</w:t>
      </w:r>
    </w:p>
    <w:p>
      <w:r>
        <w:rPr>
          <w:b/>
        </w:rPr>
        <w:t>It is slow.</w:t>
      </w:r>
      <w:r>
        <w:t xml:space="preserve"> Thirteen ratios, cover ratios, break-even and working capital computations are performed by hand for every application.</w:t>
      </w:r>
    </w:p>
    <w:p>
      <w:r>
        <w:rPr>
          <w:b/>
        </w:rPr>
        <w:t>It is inconsistent.</w:t>
      </w:r>
      <w:r>
        <w:t xml:space="preserve"> Two officers with the same file may reach different conclusions, because the method for combining the evidence lives in each officer's head rather than in the instrument.</w:t>
      </w:r>
    </w:p>
    <w:p>
      <w:r>
        <w:rPr>
          <w:b/>
        </w:rPr>
        <w:t>It is difficult to audit.</w:t>
      </w:r>
      <w:r>
        <w:t xml:space="preserve"> A recommendation records a conclusion but not the reasoning that produced it. When a facility later performs badly, there is no record of which factors were weighed and how heavily.</w:t>
      </w:r>
    </w:p>
    <w:p>
      <w:r>
        <w:t>None of this reflects poorly on the officers. It reflects an instrument that codifies what to look at without codifying how to judge it.</w:t>
      </w:r>
    </w:p>
    <w:p>
      <w:pPr>
        <w:pStyle w:val="Heading2"/>
      </w:pPr>
      <w:r>
        <w:t>1.3 Research questions</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r>
        <w:t>These differ from the questions in the original research proposal. The literature review (§2.3.3) established that the contribution originally claimed — applying fuzzy multi-criteria methods to SME credit scoring — is already published. The questions were revised accordingly rather than restated in a form the literature no longer supports.</w:t>
      </w:r>
    </w:p>
    <w:p>
      <w:pPr>
        <w:pStyle w:val="Heading2"/>
      </w:pPr>
      <w:r>
        <w:t>1.4 Objectives</w:t>
      </w:r>
    </w:p>
    <w:p>
      <w:pPr>
        <w:pStyle w:val="ListNumber"/>
      </w:pPr>
      <w:r>
        <w:t>Derive a computable criteria model from the People's Bank appraisal form, with</w:t>
      </w:r>
    </w:p>
    <w:p>
      <w:r>
        <w:t>every criterion traceable to a numbered clause.</w:t>
      </w:r>
    </w:p>
    <w:p>
      <w:pPr>
        <w:pStyle w:val="ListNumber"/>
      </w:pPr>
      <w:r>
        <w:t>Implement a scoring method handling both measured quantities and linguistic</w:t>
      </w:r>
    </w:p>
    <w:p>
      <w:r>
        <w:t>judgements, reporting per-criterion contributions.</w:t>
      </w:r>
    </w:p>
    <w:p>
      <w:pPr>
        <w:pStyle w:val="ListNumber"/>
      </w:pPr>
      <w:r>
        <w:t>Build a working decision-support system that produces its output in the</w:t>
      </w:r>
    </w:p>
    <w:p>
      <w:r>
        <w:t>institution's own report format.</w:t>
      </w:r>
    </w:p>
    <w:p>
      <w:pPr>
        <w:pStyle w:val="ListNumber"/>
      </w:pPr>
      <w:r>
        <w:t>Elicit criterion weights from practitioners using a method whose response</w:t>
      </w:r>
    </w:p>
    <w:p>
      <w:r>
        <w:t>burden is realistic and whose consistency is measurable.</w:t>
      </w:r>
    </w:p>
    <w:p>
      <w:pPr>
        <w:pStyle w:val="ListNumber"/>
      </w:pPr>
      <w:r>
        <w:t>Evaluate what can be established about the model empirically — and state</w:t>
      </w:r>
    </w:p>
    <w:p>
      <w:r>
        <w:t>plainly what cannot.</w:t>
      </w:r>
    </w:p>
    <w:p>
      <w:pPr>
        <w:pStyle w:val="Heading2"/>
      </w:pPr>
      <w:r>
        <w:t>1.5 A note on the second objective</w:t>
      </w:r>
    </w:p>
    <w:p>
      <w: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r>
        <w:t>Conventional credit scoring optimises one thing: the probability of repayment. Applying that framing to this instrument would mean deleting clause 5 — discarding the developmental half of a state bank's mandate because it does not fit the model.</w:t>
      </w:r>
    </w:p>
    <w:p>
      <w:r>
        <w:t xml:space="preserve">This study therefore scores two objectives and </w:t>
      </w:r>
      <w:r>
        <w:rPr>
          <w:b/>
        </w:rPr>
        <w:t>reports them separately, never combining them into a single figure</w:t>
      </w:r>
      <w:r>
        <w:t>. Prior work has scored social impact alongside credit risk (§2.4.1); what is done differently here is the refusal to aggregate. That refusal is supported by evidence: appraisal at a multilateral development bank shows development and credit concerns to be empirically independent (§2.4.2), so a combined score would discard real information rather than summarise it.</w:t>
      </w:r>
    </w:p>
    <w:p>
      <w:pPr>
        <w:pStyle w:val="Heading2"/>
      </w:pPr>
      <w:r>
        <w:t>1.6 Scope and delimitations</w:t>
      </w:r>
    </w:p>
    <w:p>
      <w:r>
        <w:rPr>
          <w:b/>
        </w:rPr>
        <w:t>In scope.</w:t>
      </w:r>
      <w:r>
        <w:t xml:space="preserve"> One institution's appraisal instrument; a working system; weight elicitation from practitioners; empirical validation of the scoring machinery against public data with realised outcomes.</w:t>
      </w:r>
    </w:p>
    <w:p>
      <w:r>
        <w:rPr>
          <w:b/>
        </w:rPr>
        <w:t>Out of scope.</w:t>
      </w:r>
      <w: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r>
        <w:rPr>
          <w:b/>
        </w:rPr>
        <w:t>The central limitation, stated at the outset.</w:t>
      </w:r>
      <w: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pPr>
      <w:r>
        <w:t>1.7 Contributions</w:t>
      </w:r>
    </w:p>
    <w:p>
      <w:pPr>
        <w:pStyle w:val="ListNumber"/>
      </w:pPr>
      <w:r>
        <w:rPr>
          <w:b/>
        </w:rPr>
        <w:t>Contamination in a widely used benchmark dataset.</w:t>
      </w:r>
      <w:r>
        <w:t xml:space="preserve"> In the SBA National</w:t>
      </w:r>
    </w:p>
    <w:p>
      <w:r>
        <w:t xml:space="preserve">dataset, whether the </w:t>
      </w:r>
      <w:r>
        <w:rPr>
          <w:rFonts w:ascii="Consolas" w:hAnsi="Consolas"/>
          <w:sz w:val="19"/>
        </w:rPr>
        <w:t>Term</w:t>
      </w:r>
      <w: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pPr>
      <w:r>
        <w:rPr>
          <w:b/>
        </w:rPr>
        <w:t>A methodological consequence</w:t>
      </w:r>
      <w:r>
        <w:t>: an instrument-specific appraisal model</w:t>
      </w:r>
    </w:p>
    <w:p>
      <w:r>
        <w:t>cannot be validated on a dataset lacking its variables. Substituting available proxies tests the proxies, not the model — evidenced by a scorecard that failed to discriminate (§5.6).</w:t>
      </w:r>
    </w:p>
    <w:p>
      <w:pPr>
        <w:pStyle w:val="ListNumber"/>
      </w:pPr>
      <w:r>
        <w:rPr>
          <w:b/>
        </w:rPr>
        <w:t>A clause-traceable formalisation method</w:t>
      </w:r>
      <w:r>
        <w:t xml:space="preserve"> taking a named state bank's</w:t>
      </w:r>
    </w:p>
    <w:p>
      <w:r>
        <w:t>production form to a 49-criterion computable model, transferable to comparable institutions.</w:t>
      </w:r>
    </w:p>
    <w:p>
      <w:pPr>
        <w:pStyle w:val="ListNumber"/>
      </w:pPr>
      <w:r>
        <w:rPr>
          <w:b/>
        </w:rPr>
        <w:t>A working system</w:t>
      </w:r>
      <w:r>
        <w:t xml:space="preserve"> producing dual-objective, explainable assessments and</w:t>
      </w:r>
    </w:p>
    <w:p>
      <w:r>
        <w:t>exporting them in the bank's own report format.</w:t>
      </w:r>
    </w:p>
    <w:p>
      <w:pPr>
        <w:pStyle w:val="ListNumber"/>
      </w:pPr>
      <w:r>
        <w:rPr>
          <w:b/>
        </w:rPr>
        <w:t>A design finding</w:t>
      </w:r>
      <w:r>
        <w:t>: weight renormalisation over unassessed criteria allows a</w:t>
      </w:r>
    </w:p>
    <w:p>
      <w:r>
        <w:t>sparse appraisal to produce a confident score, requiring an explicit completeness gate (§4.5).</w:t>
      </w:r>
    </w:p>
    <w:p>
      <w:r>
        <w:t>Contributions 1 and 2 are the substantial ones. Contributions 3 to 5 are real but incremental, and are described as such throughout.</w:t>
      </w:r>
    </w:p>
    <w:p>
      <w:pPr>
        <w:pStyle w:val="Heading2"/>
      </w:pPr>
      <w:r>
        <w:t>1.8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Chapter</w:t>
            </w:r>
          </w:p>
        </w:tc>
        <w:tc>
          <w:tcPr>
            <w:tcW w:type="dxa" w:w="4320"/>
          </w:tcPr>
          <w:p>
            <w:r>
              <w:rPr>
                <w:b/>
                <w:sz w:val="18"/>
              </w:rPr>
              <w:t>Content</w:t>
            </w:r>
          </w:p>
        </w:tc>
      </w:tr>
      <w:tr>
        <w:tc>
          <w:tcPr>
            <w:tcW w:type="dxa" w:w="4320"/>
          </w:tcPr>
          <w:p>
            <w:r>
              <w:rPr>
                <w:sz w:val="18"/>
              </w:rPr>
              <w:t>2</w:t>
            </w:r>
          </w:p>
        </w:tc>
        <w:tc>
          <w:tcPr>
            <w:tcW w:type="dxa" w:w="4320"/>
          </w:tcPr>
          <w:p>
            <w:r>
              <w:rPr>
                <w:sz w:val="18"/>
              </w:rPr>
              <w:t>Literature: MCDM in credit, non-financial objectives, explainability, and what remains open</w:t>
            </w:r>
          </w:p>
        </w:tc>
      </w:tr>
      <w:tr>
        <w:tc>
          <w:tcPr>
            <w:tcW w:type="dxa" w:w="4320"/>
          </w:tcPr>
          <w:p>
            <w:r>
              <w:rPr>
                <w:sz w:val="18"/>
              </w:rPr>
              <w:t>3</w:t>
            </w:r>
          </w:p>
        </w:tc>
        <w:tc>
          <w:tcPr>
            <w:tcW w:type="dxa" w:w="4320"/>
          </w:tcPr>
          <w:p>
            <w:r>
              <w:rPr>
                <w:sz w:val="18"/>
              </w:rPr>
              <w:t>Methodology: design science, formalisation, BWM elicitation, validation protocol, ethics</w:t>
            </w:r>
          </w:p>
        </w:tc>
      </w:tr>
      <w:tr>
        <w:tc>
          <w:tcPr>
            <w:tcW w:type="dxa" w:w="4320"/>
          </w:tcPr>
          <w:p>
            <w:r>
              <w:rPr>
                <w:sz w:val="18"/>
              </w:rPr>
              <w:t>4</w:t>
            </w:r>
          </w:p>
        </w:tc>
        <w:tc>
          <w:tcPr>
            <w:tcW w:type="dxa" w:w="4320"/>
          </w:tcPr>
          <w:p>
            <w:r>
              <w:rPr>
                <w:sz w:val="18"/>
              </w:rPr>
              <w:t>Design and implementation of the criteria model and system</w:t>
            </w:r>
          </w:p>
        </w:tc>
      </w:tr>
      <w:tr>
        <w:tc>
          <w:tcPr>
            <w:tcW w:type="dxa" w:w="4320"/>
          </w:tcPr>
          <w:p>
            <w:r>
              <w:rPr>
                <w:sz w:val="18"/>
              </w:rPr>
              <w:t>5</w:t>
            </w:r>
          </w:p>
        </w:tc>
        <w:tc>
          <w:tcPr>
            <w:tcW w:type="dxa" w:w="4320"/>
          </w:tcPr>
          <w:p>
            <w:r>
              <w:rPr>
                <w:sz w:val="18"/>
              </w:rPr>
              <w:t>Empirical validation, the contamination finding, and a negative result</w:t>
            </w:r>
          </w:p>
        </w:tc>
      </w:tr>
      <w:tr>
        <w:tc>
          <w:tcPr>
            <w:tcW w:type="dxa" w:w="4320"/>
          </w:tcPr>
          <w:p>
            <w:r>
              <w:rPr>
                <w:sz w:val="18"/>
              </w:rPr>
              <w:t>6</w:t>
            </w:r>
          </w:p>
        </w:tc>
        <w:tc>
          <w:tcPr>
            <w:tcW w:type="dxa" w:w="4320"/>
          </w:tcPr>
          <w:p>
            <w:r>
              <w:rPr>
                <w:sz w:val="18"/>
              </w:rPr>
              <w:t>Elicitation results, discussion, limitations, conclusion</w:t>
            </w:r>
          </w:p>
        </w:tc>
      </w:tr>
    </w:tbl>
    <w:p/>
    <w:p>
      <w:r>
        <w:t>A note on presentation. This thesis reports several things that did not work: a claimed contribution withdrawn after the literature review, a scorecard that failed to discriminate, and a mechanism hypothesis tested and rejected. These are reported because a study that presents only its successes gives the reader no way to judge the reliability of any of them.</w:t>
      </w:r>
    </w:p>
    <w:p>
      <w:r>
        <w:br w:type="page"/>
      </w:r>
    </w:p>
    <w:p>
      <w:pPr>
        <w:pStyle w:val="Heading1"/>
      </w:pPr>
      <w:r>
        <w:t>Chapter 2 — Literature Review</w:t>
      </w:r>
    </w:p>
    <w:p>
      <w:pPr>
        <w:ind w:left="504"/>
      </w:pPr>
      <w:r>
        <w:rPr>
          <w:i/>
          <w:sz w:val="20"/>
        </w:rPr>
        <w:t>Verification note for the author. Every source cited here was located</w:t>
      </w:r>
    </w:p>
    <w:p>
      <w:pPr>
        <w:ind w:left="504"/>
      </w:pPr>
      <w:r>
        <w:rPr>
          <w:i/>
          <w:sz w:val="20"/>
        </w:rPr>
        <w:t>through a literature search and its bibliographic details checked. Before</w:t>
      </w:r>
    </w:p>
    <w:p>
      <w:pPr>
        <w:ind w:left="504"/>
      </w:pPr>
      <w:r>
        <w:rPr>
          <w:i/>
          <w:sz w:val="20"/>
        </w:rPr>
        <w:t>submission, obtain and read each paper directly — do not cite from a summary.</w:t>
      </w:r>
    </w:p>
    <w:p>
      <w:pPr>
        <w:ind w:left="504"/>
      </w:pPr>
      <w:r>
        <w:rPr>
          <w:i/>
          <w:sz w:val="20"/>
        </w:rPr>
        <w:t>Where this chapter says a claim is "not found in the searched literature", that</w:t>
      </w:r>
    </w:p>
    <w:p>
      <w:pPr>
        <w:ind w:left="504"/>
      </w:pPr>
      <w:r>
        <w:rPr>
          <w:i/>
          <w:sz w:val="20"/>
        </w:rPr>
        <w:t>is a statement about a non-exhaustive search, not a claim of priority.</w:t>
      </w:r>
    </w:p>
    <w:p>
      <w:pPr>
        <w:pStyle w:val="Heading2"/>
      </w:pPr>
      <w:r>
        <w:t>2.1 Scope</w:t>
      </w:r>
    </w:p>
    <w:p>
      <w:r>
        <w:t>This review covers four bodies of work bearing on the research questions: credit scoring for SMEs; multi-criteria decision methods applied to credit; non-financial objectives in lending; and explainability requirements. It closes by stating what the present study adds — which, after examining the literature, is narrower than initially supposed.</w:t>
      </w:r>
    </w:p>
    <w:p>
      <w:pPr>
        <w:pStyle w:val="Heading2"/>
      </w:pPr>
      <w:r>
        <w:t>2.2 SME credit assessment</w:t>
      </w:r>
    </w:p>
    <w:p>
      <w:r>
        <w:t>Credit scoring has a long statistical lineage, from discriminant analysis through logistic regression to modern machine learning. For SMEs the problem is harder than for consumer credit: financial statements are often unaudited or absent, trading histories are short, and collateral is thin.</w:t>
      </w:r>
    </w:p>
    <w:p>
      <w:r>
        <w:t>In Sri Lanka specifically, access to finance is repeatedly identified as a principal constraint on SME growth. The supply-side barriers documented include absent formal records, lack of tangible collateral, non-submission of financial statements, and limited management capacity — with policy responses proposed around SME credit rating, credit guarantee schemes and SME-friendly banking practice (Institute of Policy Studies, Sri Lanka). This establishes the practical motivation for the present study but does not address the appraisal *process* itself, which is where this research is situated.</w:t>
      </w:r>
    </w:p>
    <w:p>
      <w:pPr>
        <w:pStyle w:val="Heading2"/>
      </w:pPr>
      <w:r>
        <w:t>2.3 Multi-criteria decision methods in credit evaluation</w:t>
      </w:r>
    </w:p>
    <w:p>
      <w:pPr>
        <w:pStyle w:val="Heading3"/>
      </w:pPr>
      <w:r>
        <w:t>2.3.1 Fuzzy MCDM for credit scoring</w:t>
      </w:r>
    </w:p>
    <w:p>
      <w:r>
        <w:t>Where credit judgement is linguistic and imprecise, fuzzy set theory offers a representation that discards less information than forcing a crisp number. Fuzzy AHP has been applied to generate criteria weights in credit scoring decision-support systems, with fuzzy linguistic variables used explicitly to capture the vagueness arising from human subjectivity. More recent work combines fuzzy AHP with neural approaches for SME credit risk assessment, identifying financial status and development planning as dominant risk themes.</w:t>
      </w:r>
    </w:p>
    <w:p>
      <w:pPr>
        <w:pStyle w:val="Heading3"/>
      </w:pPr>
      <w:r>
        <w:t>2.3.2 Best-Worst Method</w:t>
      </w:r>
    </w:p>
    <w:p>
      <w:r>
        <w:t>The Best-Worst Method (Rezaei, 2015) determines criteria weights from two comparison vectors: the best criterion against all others, and all others against the worst. It requires 2n−3 comparisons rather than AHP's n(n−1)/2, and the anchoring of every comparison to a fixed reference tends to produce more consistent responses. Rezaei (2016) subsequently gave a linear formulation with a unique solution, which is the form used in this study.</w:t>
      </w:r>
    </w:p>
    <w:p>
      <w:pPr>
        <w:pStyle w:val="Heading3"/>
      </w:pPr>
      <w:r>
        <w:t>2.3.3 Prior work closest to this study</w:t>
      </w:r>
    </w:p>
    <w:p>
      <w:r>
        <w:rPr>
          <w:b/>
        </w:rPr>
        <w:t>Roy and Shaw (2021) is the nearest precedent and must be acknowledged plainly.</w:t>
      </w:r>
      <w:r>
        <w:t xml:space="preserve"> They construct a multicriteria credit scoring model for SMEs using exactly the hybrid this study's methodology chapter proposes: BWM to determine criteria weights, combined with a ranking method (TOPSIS) to score applicants. They report credit history, cash liquidity and repayment period as the dominant criteria.</w:t>
      </w:r>
    </w:p>
    <w:p>
      <w:r>
        <w:t xml:space="preserve">The implication is direct: </w:t>
      </w:r>
      <w:r>
        <w:rPr>
          <w:b/>
        </w:rPr>
        <w:t>applying BWM to SME credit scoring is not novel.</w:t>
      </w:r>
      <w:r>
        <w:t xml:space="preserve"> An earlier draft of this research treated the fuzzy-MCDM combination as its methodological contribution. The literature does not support that claim, and it is withdrawn. Related work extends the same family further — fuzzy BWM with fuzzy TOPSIS for sustainable credit scoring, and fuzzy-BWM with TOPSIS-Sort-C for credit rating — confirming that the method space is well populated.</w:t>
      </w:r>
    </w:p>
    <w:p>
      <w:r>
        <w:t xml:space="preserve">What remains open is not the method but its </w:t>
      </w:r>
      <w:r>
        <w:rPr>
          <w:b/>
        </w:rPr>
        <w:t>object</w:t>
      </w:r>
      <w:r>
        <w:t>: no located study formalises a *specific, named, operational appraisal instrument* of a state bank, with every criterion traceable to a numbered clause of that institution's own document.</w:t>
      </w:r>
    </w:p>
    <w:p>
      <w:pPr>
        <w:pStyle w:val="Heading2"/>
      </w:pPr>
      <w:r>
        <w:t>2.4 Non-financial objectives in lending</w:t>
      </w:r>
    </w:p>
    <w:p>
      <w:pPr>
        <w:pStyle w:val="Heading3"/>
      </w:pPr>
      <w:r>
        <w:t>2.4.1 Social criteria in credit scoring</w:t>
      </w:r>
    </w:p>
    <w:p>
      <w:r>
        <w:t>Gutiérrez-Nieto, Serrano-Cinca and Camón-Cala (2016)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r>
        <w:t xml:space="preserve">This is close to the present study's second objective, and again narrows the novelty claim: </w:t>
      </w:r>
      <w:r>
        <w:rPr>
          <w:b/>
        </w:rPr>
        <w:t>scoring social impact alongside credit risk has been done.</w:t>
      </w:r>
      <w:r>
        <w:t xml:space="preserve"> The difference here is one of institutional grounding — the development criteria in this study are not selected by the researcher from a development framework, but taken from clause 5 of an instrument a state bank already uses in production.</w:t>
      </w:r>
    </w:p>
    <w:p>
      <w:pPr>
        <w:pStyle w:val="Heading3"/>
      </w:pPr>
      <w:r>
        <w:t>2.4.2 Development returns and credit risk in development banking</w:t>
      </w:r>
    </w:p>
    <w:p>
      <w:r>
        <w:t>Arvanitis, Stampini and Vencatachellum (2015) examine ex-ante appraisal at the African Development Bank and report a result of direct consequence for this study:</w:t>
      </w:r>
    </w:p>
    <w:p>
      <w:r>
        <w:rPr>
          <w:b/>
        </w:rPr>
        <w:t>development and risk concerns considered during project appraisal are empirically independent of one another</w:t>
      </w:r>
      <w:r>
        <w:t>, and no assumption should be made about one from the other.</w:t>
      </w:r>
    </w:p>
    <w:p>
      <w:r>
        <w:t>This is the strongest available justification for the design decision taken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 The present study's refusal to merge the two objectives is therefore not merely a presentational preference but is supported by prior empirical evidence.</w:t>
      </w:r>
    </w:p>
    <w:p>
      <w:pPr>
        <w:pStyle w:val="Heading2"/>
      </w:pPr>
      <w:r>
        <w:t>2.5 Explainability and its regulatory basis</w:t>
      </w:r>
    </w:p>
    <w:p>
      <w:r>
        <w:t>Explainability in credit is a legal requirement, not a design preference. Under the U.S. Equal Credit Opportunity Act and Regulation B, creditors must state the specific principal reasons for adverse action; regulatory guidance has held that a creditor cannot excuse non-compliance on the grounds that its technology is too complex to interpret, nor satisfy the requirement by citing broad categories. Credit scoring is designated high-risk under the EU AI Act.</w:t>
      </w:r>
    </w:p>
    <w:p>
      <w:r>
        <w:t>Two consequences follow for this study. First, a scoring model intended for adoption inside a bank must decompose its output into per-criterion contributions — which is why the engine reports contributions summing exactly to the parent score. Second, an interpretable model that loses some discrimination relative to an opaque one may still be the only deployable option, which reframes the comparison in Chapter 5: the question is not merely which model scores highest.</w:t>
      </w:r>
    </w:p>
    <w:p>
      <w:pPr>
        <w:pStyle w:val="Heading2"/>
      </w:pPr>
      <w:r>
        <w:t>2.6 The SBA National dataset</w:t>
      </w:r>
    </w:p>
    <w:p>
      <w:r>
        <w:t>Li, Mickel and Taylor (2018) introduced the SBA National dataset — 899,164 loan guarantees, 1987–2014, with realised outcomes — as a teaching resource for statistics as investigative decision-making. It has since become a widely used benchmark in small-business credit research.</w:t>
      </w:r>
    </w:p>
    <w:p>
      <w:r>
        <w:t xml:space="preserve">The searched literature discusses feature importance in this dataset, and notes </w:t>
      </w:r>
      <w:r>
        <w:rPr>
          <w:rFonts w:ascii="Consolas" w:hAnsi="Consolas"/>
          <w:sz w:val="19"/>
        </w:rPr>
        <w:t>Term</w:t>
      </w:r>
      <w:r>
        <w:t>, disbursement and approval amounts as significant predictors of default. General treatments of leakage in credit modelling identify interest rate, issue date and outstanding principal as fields to remove.</w:t>
      </w:r>
    </w:p>
    <w:p>
      <w:r>
        <w:rPr>
          <w:b/>
        </w:rPr>
        <w:t>No located source reports that the `Term` field itself carries outcome information.</w:t>
      </w:r>
      <w:r>
        <w:t xml:space="preserve"> Chapter 5 presents evidence that it does. This is stated as a finding the author has not found documented elsewhere, which is weaker than a claim of priority and is the appropriate claim given a non-exhaustive search.</w:t>
      </w:r>
    </w:p>
    <w:p>
      <w:pPr>
        <w:pStyle w:val="Heading2"/>
      </w:pPr>
      <w:r>
        <w:t>2.7 Research gap</w:t>
      </w:r>
    </w:p>
    <w:p>
      <w:r>
        <w:t xml:space="preserve">Consolidating the above, the following are </w:t>
      </w:r>
      <w:r>
        <w:rPr>
          <w:b/>
        </w:rPr>
        <w:t>not</w:t>
      </w:r>
      <w:r>
        <w:t xml:space="preserve"> contributions of this study, contrary to the initial proposal:</w:t>
      </w:r>
    </w:p>
    <w:p>
      <w:pPr>
        <w:pStyle w:val="ListBullet"/>
      </w:pPr>
      <w:r>
        <w:t>applying BWM or fuzzy MCDM to SME credit scoring (Roy and Shaw, 2021);</w:t>
      </w:r>
    </w:p>
    <w:p>
      <w:pPr>
        <w:pStyle w:val="ListBullet"/>
      </w:pPr>
      <w:r>
        <w:t>scoring social or developmental impact alongside credit risk</w:t>
      </w:r>
    </w:p>
    <w:p>
      <w:r>
        <w:t>(Gutiérrez-Nieto et al., 2016);</w:t>
      </w:r>
    </w:p>
    <w:p>
      <w:pPr>
        <w:pStyle w:val="ListBullet"/>
      </w:pPr>
      <w:r>
        <w:t>observing that development banks appraise against two objectives</w:t>
      </w:r>
    </w:p>
    <w:p>
      <w:r>
        <w:t>(Arvanitis et al., 2015).</w:t>
      </w:r>
    </w:p>
    <w:p>
      <w:r>
        <w:t>What the literature leaves open, and what this study addresses:</w:t>
      </w:r>
    </w:p>
    <w:p>
      <w:pPr>
        <w:pStyle w:val="ListNumber"/>
      </w:pPr>
      <w:r>
        <w:rPr>
          <w:b/>
        </w:rPr>
        <w:t>Formalising a specific operational instrument.</w:t>
      </w:r>
      <w:r>
        <w:t xml:space="preserve"> Existing models select</w:t>
      </w:r>
    </w:p>
    <w:p>
      <w:r>
        <w:t>criteria from theory or from the researcher's judgement. None located takes a named state bank's production appraisal form and derives a computable model from it clause by clause, with full traceability maintained as a design constraint.</w:t>
      </w:r>
    </w:p>
    <w:p>
      <w:pPr>
        <w:pStyle w:val="ListNumber"/>
      </w:pPr>
      <w:r>
        <w:rPr>
          <w:b/>
        </w:rPr>
        <w:t>Keeping dual objectives unaggregated.</w:t>
      </w:r>
      <w:r>
        <w:t xml:space="preserve"> Prior dual-objective systems combine</w:t>
      </w:r>
    </w:p>
    <w:p>
      <w:r>
        <w:t>social and financial scores. Given Arvanitis et al.'s independence result, this study reports them separately by design and never produces a combined figure.</w:t>
      </w:r>
    </w:p>
    <w:p>
      <w:pPr>
        <w:pStyle w:val="ListNumber"/>
      </w:pPr>
      <w:r>
        <w:rPr>
          <w:b/>
        </w:rPr>
        <w:t>The Sri Lankan state-bank context</w:t>
      </w:r>
      <w:r>
        <w:t>, which is documented as finance-constrained</w:t>
      </w:r>
    </w:p>
    <w:p>
      <w:r>
        <w:t>but not studied at the level of appraisal process.</w:t>
      </w:r>
    </w:p>
    <w:p>
      <w:pPr>
        <w:pStyle w:val="ListNumber"/>
      </w:pPr>
      <w:r>
        <w:rPr>
          <w:b/>
        </w:rPr>
        <w:t>Contamination in a widely used benchmark dataset</w:t>
      </w:r>
      <w:r>
        <w:t xml:space="preserve"> (Chapter 5), and the</w:t>
      </w:r>
    </w:p>
    <w:p>
      <w:r>
        <w:t>consequent methodological point that instrument-specific models cannot be validated on datasets lacking their variables.</w:t>
      </w:r>
    </w:p>
    <w:p>
      <w:r>
        <w:t>Contribution 4 is the most substantial and the most transferable. Contributions 1 to 3 are real but incremental, and are stated as such.</w:t>
      </w:r>
    </w:p>
    <w:p/>
    <w:p>
      <w:pPr>
        <w:pStyle w:val="Heading2"/>
      </w:pPr>
      <w:r>
        <w:t>References</w:t>
      </w:r>
    </w:p>
    <w:p>
      <w:r>
        <w:t>Arvanitis, Y., Stampini, M. and Vencatachellum, D. (2015) 'Balancing development returns and credit risks: project appraisal in a multilateral development bank',</w:t>
      </w:r>
    </w:p>
    <w:p>
      <w:r>
        <w:t>*Impact Assessment and Project Appraisal*, 33(3), pp. 195–206. doi:10.1080/14615517.2015.1041837.</w:t>
      </w:r>
    </w:p>
    <w:p>
      <w:r>
        <w:t>Gutiérrez-Nieto, B., Serrano-Cinca, C. and Camón-Cala, J. (2016) 'A Credit Score System for Socially Responsible Lending', *Journal of Business Ethics*, 133(4), pp. 691–701. doi:10.1007/s10551-014-2448-5.</w:t>
      </w:r>
    </w:p>
    <w:p>
      <w:r>
        <w:t>Li, M., Mickel, A. and Taylor, S. (2018) '"Should This Loan be Approved or Denied?": A Large Dataset with Class Assignment Guidelines', *Journal of Statistics Education*, 26(1), pp. 55–66. doi:10.1080/10691898.2018.1434342.</w:t>
      </w:r>
    </w:p>
    <w:p>
      <w:r>
        <w:t>Rezaei, J. (2015) 'Best-worst multi-criteria decision-making method', *Omega*, 53, pp. 49–57. doi:10.1016/j.omega.2014.11.009.</w:t>
      </w:r>
    </w:p>
    <w:p>
      <w:r>
        <w:t>Rezaei, J. (2016) 'Best-worst multi-criteria decision-making method: Some properties and a linear model', *Omega*, 64, pp. 126–130.</w:t>
      </w:r>
    </w:p>
    <w:p>
      <w:r>
        <w:t>Roy, P.K. and Shaw, K. (2021) 'A multicriteria credit scoring model for SMEs using hybrid BWM and TOPSIS', *Financial Innovation*, 7(1). doi:10.1186/s40854-021-00295-5.</w:t>
      </w:r>
    </w:p>
    <w:p>
      <w:r>
        <w:rPr>
          <w:b/>
        </w:rPr>
        <w:t>To be completed before submission</w:t>
      </w:r>
      <w:r>
        <w:t xml:space="preserve"> — the following were located but require retrieval and full bibliographic capture:</w:t>
      </w:r>
    </w:p>
    <w:p>
      <w:pPr>
        <w:pStyle w:val="ListBullet"/>
      </w:pPr>
      <w:r>
        <w:t>Fuzzy decision support system for credit scoring, *Neural Computing and</w:t>
      </w:r>
    </w:p>
    <w:p>
      <w:r>
        <w:t>Applications* (Springer), doi:10.1007/s00521-016-2592-1</w:t>
      </w:r>
    </w:p>
    <w:p>
      <w:pPr>
        <w:pStyle w:val="ListBullet"/>
      </w:pPr>
      <w:r>
        <w:t>Integrated fuzzy credit rating model using fuzzy-BWM and fuzzy-TOPSIS-Sort-C,</w:t>
      </w:r>
    </w:p>
    <w:p>
      <w:r>
        <w:t>*Complex &amp; Intelligent Systems*, doi:10.1007/s40747-022-00823-5</w:t>
      </w:r>
    </w:p>
    <w:p>
      <w:pPr>
        <w:pStyle w:val="ListBullet"/>
      </w:pPr>
      <w:r>
        <w:t>Multi-criteria sustainable credit score system using fuzzy BWM and fuzzy TOPSIS,</w:t>
      </w:r>
    </w:p>
    <w:p>
      <w:r>
        <w:t>*Environment, Development and Sustainability*, doi:10.1007/s10668-021-01662-z</w:t>
      </w:r>
    </w:p>
    <w:p>
      <w:pPr>
        <w:pStyle w:val="ListBullet"/>
      </w:pPr>
      <w:r>
        <w:t>Knowledge-informed neural network integrating fuzzy AHP and PCA for SME credit</w:t>
      </w:r>
    </w:p>
    <w:p>
      <w:r>
        <w:t>risk assessment, *Scientific Reports* (2025), doi:10.1038/s41598-025-21441-4</w:t>
      </w:r>
    </w:p>
    <w:p>
      <w:pPr>
        <w:pStyle w:val="ListBullet"/>
      </w:pPr>
      <w:r>
        <w:t>Institute of Policy Studies Sri Lanka, *Banking on SME Growth: Concepts,</w:t>
      </w:r>
    </w:p>
    <w:p>
      <w:r>
        <w:t>Challenges and Policy Options to Improve Access to Finance in Sri Lanka*</w:t>
      </w:r>
    </w:p>
    <w:p>
      <w:pPr>
        <w:pStyle w:val="ListBullet"/>
      </w:pPr>
      <w:r>
        <w:t>Central Bank of Sri Lanka, *Annual Report* — for national SME credit statistics</w:t>
      </w:r>
    </w:p>
    <w:p>
      <w:pPr>
        <w:pStyle w:val="ListBullet"/>
      </w:pPr>
      <w:r>
        <w:t>World Bank Enterprise Surveys — Sri Lanka firm-level access-to-finance data</w:t>
      </w:r>
    </w:p>
    <w:p>
      <w:r>
        <w:br w:type="page"/>
      </w:r>
    </w:p>
    <w:p>
      <w:pPr>
        <w:pStyle w:val="Heading1"/>
      </w:pPr>
      <w:r>
        <w:t>Chapter 3 — Methodology</w:t>
      </w:r>
    </w:p>
    <w:p>
      <w:pPr>
        <w:pStyle w:val="Heading2"/>
      </w:pPr>
      <w:r>
        <w:t>3.1 Research design</w:t>
      </w:r>
    </w:p>
    <w:p>
      <w:r>
        <w:t xml:space="preserve">This study follows </w:t>
      </w:r>
      <w:r>
        <w:rPr>
          <w:b/>
        </w:rPr>
        <w:t>Design Science Research</w:t>
      </w:r>
      <w:r>
        <w:t>: knowledge is produced by building an artefact and evaluating it. The artefact is a dual-objective decision-support system for SME credit appraisal, together with the criteria model beneath it.</w:t>
      </w:r>
    </w:p>
    <w:p>
      <w:r>
        <w:t>Three activities make up the design: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Activity</w:t>
            </w:r>
          </w:p>
        </w:tc>
        <w:tc>
          <w:tcPr>
            <w:tcW w:type="dxa" w:w="2160"/>
          </w:tcPr>
          <w:p>
            <w:r>
              <w:rPr>
                <w:b/>
                <w:sz w:val="18"/>
              </w:rPr>
              <w:t>Addresses</w:t>
            </w:r>
          </w:p>
        </w:tc>
        <w:tc>
          <w:tcPr>
            <w:tcW w:type="dxa" w:w="2160"/>
          </w:tcPr>
          <w:p>
            <w:r>
              <w:rPr>
                <w:b/>
                <w:sz w:val="18"/>
              </w:rPr>
              <w:t>Method</w:t>
            </w:r>
          </w:p>
        </w:tc>
        <w:tc>
          <w:tcPr>
            <w:tcW w:type="dxa" w:w="2160"/>
          </w:tcPr>
          <w:p>
            <w:r>
              <w:rPr>
                <w:b/>
                <w:sz w:val="18"/>
              </w:rPr>
              <w:t>Output</w:t>
            </w:r>
          </w:p>
        </w:tc>
      </w:tr>
      <w:tr>
        <w:tc>
          <w:tcPr>
            <w:tcW w:type="dxa" w:w="2160"/>
          </w:tcPr>
          <w:p>
            <w:r>
              <w:rPr>
                <w:sz w:val="18"/>
              </w:rPr>
              <w:t>Formalisation</w:t>
            </w:r>
          </w:p>
        </w:tc>
        <w:tc>
          <w:tcPr>
            <w:tcW w:type="dxa" w:w="2160"/>
          </w:tcPr>
          <w:p>
            <w:r>
              <w:rPr>
                <w:sz w:val="18"/>
              </w:rPr>
              <w:t>RQ1</w:t>
            </w:r>
          </w:p>
        </w:tc>
        <w:tc>
          <w:tcPr>
            <w:tcW w:type="dxa" w:w="2160"/>
          </w:tcPr>
          <w:p>
            <w:r>
              <w:rPr>
                <w:sz w:val="18"/>
              </w:rPr>
              <w:t>Clause-by-clause derivation from the bank's form</w:t>
            </w:r>
          </w:p>
        </w:tc>
        <w:tc>
          <w:tcPr>
            <w:tcW w:type="dxa" w:w="2160"/>
          </w:tcPr>
          <w:p>
            <w:r>
              <w:rPr>
                <w:sz w:val="18"/>
              </w:rPr>
              <w:t>49-criterion model</w:t>
            </w:r>
          </w:p>
        </w:tc>
      </w:tr>
      <w:tr>
        <w:tc>
          <w:tcPr>
            <w:tcW w:type="dxa" w:w="2160"/>
          </w:tcPr>
          <w:p>
            <w:r>
              <w:rPr>
                <w:sz w:val="18"/>
              </w:rPr>
              <w:t>Weight elicitation</w:t>
            </w:r>
          </w:p>
        </w:tc>
        <w:tc>
          <w:tcPr>
            <w:tcW w:type="dxa" w:w="2160"/>
          </w:tcPr>
          <w:p>
            <w:r>
              <w:rPr>
                <w:sz w:val="18"/>
              </w:rPr>
              <w:t>RQ2</w:t>
            </w:r>
          </w:p>
        </w:tc>
        <w:tc>
          <w:tcPr>
            <w:tcW w:type="dxa" w:w="2160"/>
          </w:tcPr>
          <w:p>
            <w:r>
              <w:rPr>
                <w:sz w:val="18"/>
              </w:rPr>
              <w:t>Best-Worst Method with practitioners</w:t>
            </w:r>
          </w:p>
        </w:tc>
        <w:tc>
          <w:tcPr>
            <w:tcW w:type="dxa" w:w="2160"/>
          </w:tcPr>
          <w:p>
            <w:r>
              <w:rPr>
                <w:sz w:val="18"/>
              </w:rPr>
              <w:t>Weights + consistency ratios</w:t>
            </w:r>
          </w:p>
        </w:tc>
      </w:tr>
      <w:tr>
        <w:tc>
          <w:tcPr>
            <w:tcW w:type="dxa" w:w="2160"/>
          </w:tcPr>
          <w:p>
            <w:r>
              <w:rPr>
                <w:sz w:val="18"/>
              </w:rPr>
              <w:t>Empirical validation</w:t>
            </w:r>
          </w:p>
        </w:tc>
        <w:tc>
          <w:tcPr>
            <w:tcW w:type="dxa" w:w="2160"/>
          </w:tcPr>
          <w:p>
            <w:r>
              <w:rPr>
                <w:sz w:val="18"/>
              </w:rPr>
              <w:t>RQ3</w:t>
            </w:r>
          </w:p>
        </w:tc>
        <w:tc>
          <w:tcPr>
            <w:tcW w:type="dxa" w:w="2160"/>
          </w:tcPr>
          <w:p>
            <w:r>
              <w:rPr>
                <w:sz w:val="18"/>
              </w:rPr>
              <w:t>Benchmarking against realised outcomes</w:t>
            </w:r>
          </w:p>
        </w:tc>
        <w:tc>
          <w:tcPr>
            <w:tcW w:type="dxa" w:w="2160"/>
          </w:tcPr>
          <w:p>
            <w:r>
              <w:rPr>
                <w:sz w:val="18"/>
              </w:rPr>
              <w:t>Chapter 5</w:t>
            </w:r>
          </w:p>
        </w:tc>
      </w:tr>
      <w:tr>
        <w:tc>
          <w:tcPr>
            <w:tcW w:type="dxa" w:w="2160"/>
          </w:tcPr>
          <w:p>
            <w:r>
              <w:rPr>
                <w:sz w:val="18"/>
              </w:rPr>
              <w:t>Objective comparison</w:t>
            </w:r>
          </w:p>
        </w:tc>
        <w:tc>
          <w:tcPr>
            <w:tcW w:type="dxa" w:w="2160"/>
          </w:tcPr>
          <w:p>
            <w:r>
              <w:rPr>
                <w:sz w:val="18"/>
              </w:rPr>
              <w:t>RQ4</w:t>
            </w:r>
          </w:p>
        </w:tc>
        <w:tc>
          <w:tcPr>
            <w:tcW w:type="dxa" w:w="2160"/>
          </w:tcPr>
          <w:p>
            <w:r>
              <w:rPr>
                <w:sz w:val="18"/>
              </w:rPr>
              <w:t>Dual-objective scoring of the same applications</w:t>
            </w:r>
          </w:p>
        </w:tc>
        <w:tc>
          <w:tcPr>
            <w:tcW w:type="dxa" w:w="2160"/>
          </w:tcPr>
          <w:p>
            <w:r>
              <w:rPr>
                <w:sz w:val="18"/>
              </w:rPr>
              <w:t>Chapters 4–6</w:t>
            </w:r>
          </w:p>
        </w:tc>
      </w:tr>
    </w:tbl>
    <w:p/>
    <w:p>
      <w:pPr>
        <w:pStyle w:val="Heading2"/>
      </w:pPr>
      <w:r>
        <w:t>3.2 Research questions</w:t>
      </w:r>
    </w:p>
    <w:p>
      <w:r>
        <w:t>The questions were revised from the original proposal after the literature review established that the initially claimed contribution was already published (§2.3.3). The revised set:</w:t>
      </w:r>
    </w:p>
    <w:p>
      <w:pPr>
        <w:pStyle w:val="ListBullet"/>
      </w:pPr>
      <w:r>
        <w:rPr>
          <w:b/>
        </w:rPr>
        <w:t>RQ1</w:t>
      </w:r>
      <w:r>
        <w:t xml:space="preserve"> — How can the narrative, multi-section appraisal instrument used by a</w:t>
      </w:r>
    </w:p>
    <w:p>
      <w:r>
        <w:t>Sri Lankan state bank be formalised into a computable multi-criteria model without discarding the judgement it encodes?</w:t>
      </w:r>
    </w:p>
    <w:p>
      <w:pPr>
        <w:pStyle w:val="ListBullet"/>
      </w:pPr>
      <w:r>
        <w:rPr>
          <w:b/>
        </w:rPr>
        <w:t>RQ2</w:t>
      </w:r>
      <w:r>
        <w:t xml:space="preserve"> — What relative weights do experienced credit practitioners assign to</w:t>
      </w:r>
    </w:p>
    <w:p>
      <w:r>
        <w:t>the resulting criteria, and how consistent are those judgements?</w:t>
      </w:r>
    </w:p>
    <w:p>
      <w:pPr>
        <w:pStyle w:val="ListBullet"/>
      </w:pPr>
      <w:r>
        <w:rPr>
          <w:b/>
        </w:rPr>
        <w:t>RQ3</w:t>
      </w:r>
      <w:r>
        <w:t xml:space="preserve"> — How does the resulting model perform against realised loan outcomes on</w:t>
      </w:r>
    </w:p>
    <w:p>
      <w:r>
        <w:t>observable criteria, relative to standard credit-scoring benchmarks?</w:t>
      </w:r>
    </w:p>
    <w:p>
      <w:pPr>
        <w:pStyle w:val="ListBullet"/>
      </w:pPr>
      <w:r>
        <w:rPr>
          <w:b/>
        </w:rPr>
        <w:t>RQ4</w:t>
      </w:r>
      <w:r>
        <w:t xml:space="preserve"> — How does treating development impact as a separate objective change</w:t>
      </w:r>
    </w:p>
    <w:p>
      <w:r>
        <w:t>the assessment of applications, compared with credit risk alone?</w:t>
      </w:r>
    </w:p>
    <w:p>
      <w:pPr>
        <w:pStyle w:val="Heading2"/>
      </w:pPr>
      <w:r>
        <w:t>3.3 Formalisation method (RQ1)</w:t>
      </w:r>
    </w:p>
    <w:p>
      <w:r>
        <w:t>The source instrument is the People's Bank *Project / Business Appraisal Report for SME Credit Facility* (Annexure I–V), an operational form in current use.</w:t>
      </w:r>
    </w:p>
    <w:p>
      <w:r>
        <w:t>Each clause was classified as directly computable, structured judgement, unstructured judgement, or administrative, and criteria were derived accordingly (§4.2.2). One constraint governed the process:</w:t>
      </w:r>
    </w:p>
    <w:p>
      <w:pPr>
        <w:ind w:left="504"/>
      </w:pPr>
      <w:r>
        <w:rPr>
          <w:i/>
          <w:sz w:val="20"/>
        </w:rPr>
        <w:t>No criterion may exist without a source clause.</w:t>
      </w:r>
    </w:p>
    <w:p>
      <w: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r>
        <w:t>The resulting model is held as a single machine-readable file consumed by both the application and the analysis pipeline, so that no divergence between "the model in the paper" and "the model in the system" is possible.</w:t>
      </w:r>
    </w:p>
    <w:p>
      <w:pPr>
        <w:pStyle w:val="Heading2"/>
      </w:pPr>
      <w:r>
        <w:t>3.4 Scoring method</w:t>
      </w:r>
    </w:p>
    <w:p>
      <w: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r>
        <w:t>Three rules govern edge cases, each chosen deliberately:</w:t>
      </w:r>
    </w:p>
    <w:p>
      <w:pPr>
        <w:pStyle w:val="ListNumber"/>
      </w:pPr>
      <w:r>
        <w:rPr>
          <w:b/>
        </w:rPr>
        <w:t>Unassessed criteria are excluded and weights renormalised</w:t>
      </w:r>
      <w:r>
        <w:t>, never treated as</w:t>
      </w:r>
    </w:p>
    <w:p>
      <w:r>
        <w:t>zero — an incomplete appraisal is not a bad one.</w:t>
      </w:r>
    </w:p>
    <w:p>
      <w:pPr>
        <w:pStyle w:val="ListNumber"/>
      </w:pPr>
      <w:r>
        <w:rPr>
          <w:b/>
        </w:rPr>
        <w:t>Below a completeness threshold, no recommendation is issued</w:t>
      </w:r>
      <w:r>
        <w:t xml:space="preserve"> — rule 1 alone</w:t>
      </w:r>
    </w:p>
    <w:p>
      <w:r>
        <w:t>allows a sparse file to produce a confident score (§4.5).</w:t>
      </w:r>
    </w:p>
    <w:p>
      <w:pPr>
        <w:pStyle w:val="ListNumber"/>
      </w:pPr>
      <w:r>
        <w:rPr>
          <w:b/>
        </w:rPr>
        <w:t>Critical criteria are evaluated on raw values</w:t>
      </w:r>
      <w:r>
        <w:t xml:space="preserve"> and surfaced separately, so a</w:t>
      </w:r>
    </w:p>
    <w:p>
      <w:r>
        <w:t>DSCR below 1.0 cannot be averaged away.</w:t>
      </w:r>
    </w:p>
    <w:p>
      <w:pPr>
        <w:pStyle w:val="Heading2"/>
      </w:pPr>
      <w:r>
        <w:t>3.5 Weight elicitation (RQ2)</w:t>
      </w:r>
    </w:p>
    <w:p>
      <w:pPr>
        <w:pStyle w:val="Heading3"/>
      </w:pPr>
      <w:r>
        <w:t>3.5.1 Method selection</w:t>
      </w:r>
    </w:p>
    <w:p>
      <w:r>
        <w:t xml:space="preserve">Classical pairwise AHP over this criteria tree requires </w:t>
      </w:r>
      <w:r>
        <w:rPr>
          <w:b/>
        </w:rPr>
        <w:t>168 comparisons</w:t>
      </w:r>
      <w: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r>
        <w:t xml:space="preserve">The Best-Worst Method (Rezaei, 2015) requires 2n−3 comparisons per level, reducing the instrument to </w:t>
      </w:r>
      <w:r>
        <w:rPr>
          <w:b/>
        </w:rPr>
        <w:t>86 comparisons</w:t>
      </w:r>
      <w:r>
        <w:t xml:space="preserve"> — roughly fifteen minutes. Because every comparison is anchored to a fixed reference rather than a rotating partner, BWM also tends to yield more consistent responses. The linear formulation (Rezaei, 2016) is used, giving a unique solution.</w:t>
      </w:r>
    </w:p>
    <w:p>
      <w:r>
        <w:t>The choice is a response to a real constraint on practitioner time, not a convenience.</w:t>
      </w:r>
    </w:p>
    <w:p>
      <w:pPr>
        <w:pStyle w:val="Heading3"/>
      </w:pPr>
      <w:r>
        <w:t>3.5.2 Instrument</w:t>
      </w:r>
    </w:p>
    <w:p>
      <w:r>
        <w:t>Elicitation is conducted through a web instrument forming part of the system, in eight sections: one comparing the six credit-risk dimensions, and one for the criteria within each of the seven dimensions.</w:t>
      </w:r>
    </w:p>
    <w:p>
      <w:r>
        <w:t>For each section the respondent identifies the most important item, identifies the least important, then rates the best against each other item and each item against the worst, on the 1–9 scale.</w:t>
      </w:r>
    </w:p>
    <w:p>
      <w:pPr>
        <w:pStyle w:val="Heading3"/>
      </w:pPr>
      <w:r>
        <w:t>3.5.3 Analysis</w:t>
      </w:r>
    </w:p>
    <w:p>
      <w: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r>
        <w:t xml:space="preserve">Responses with </w:t>
      </w:r>
      <w:r>
        <w:rPr>
          <w:b/>
        </w:rPr>
        <w:t>CR &gt; 0.25</w:t>
      </w:r>
      <w:r>
        <w:t xml:space="preserve"> are excluded rather than averaged in. The number excluded is reported: silently discarding respondents would make the study unreproducible.</w:t>
      </w:r>
    </w:p>
    <w:p>
      <w:r>
        <w:t xml:space="preserve">Surviving responses are aggregated by </w:t>
      </w:r>
      <w:r>
        <w:rPr>
          <w:b/>
        </w:rPr>
        <w:t>geometric mean</w:t>
      </w:r>
      <w:r>
        <w:t>, the standard aggregation for ratio-scale priority vectors, which preserves the ratio relationships that an arithmetic mean distorts.</w:t>
      </w:r>
    </w:p>
    <w:p>
      <w:pPr>
        <w:pStyle w:val="Heading3"/>
      </w:pPr>
      <w:r>
        <w:t>3.5.4 Sampling and its limits</w:t>
      </w:r>
    </w:p>
    <w:p>
      <w:r>
        <w:t xml:space="preserve">Respondents are credit and appraisal practitioners recruited through professional contact. This is </w:t>
      </w:r>
      <w:r>
        <w:rPr>
          <w:b/>
        </w:rPr>
        <w:t>purposive, non-probability sampling</w:t>
      </w:r>
      <w:r>
        <w:t xml:space="preserve"> with a small n, and the resulting weights represent the judgement of those respondents, not of Sri Lankan credit practice generally. Chapter 6 reports the achieved sample and treats this as a primary limitation.</w:t>
      </w:r>
    </w:p>
    <w:p>
      <w:pPr>
        <w:pStyle w:val="Heading2"/>
      </w:pPr>
      <w:r>
        <w:t>3.6 Empirical validation (RQ3)</w:t>
      </w:r>
    </w:p>
    <w:p>
      <w:pPr>
        <w:pStyle w:val="Heading3"/>
      </w:pPr>
      <w:r>
        <w:t>3.6.1 The proxy problem, stated in advance</w:t>
      </w:r>
    </w:p>
    <w:p>
      <w:r>
        <w:t>No public dataset contains the criteria this model scores. Access to the bank's own historical files was not available and would in any case be confidential.</w:t>
      </w:r>
    </w:p>
    <w:p>
      <w:r>
        <w:t xml:space="preserve">Validation therefore uses the SBA National dataset as a </w:t>
      </w:r>
      <w:r>
        <w:rPr>
          <w:b/>
        </w:rPr>
        <w:t>proxy</w:t>
      </w:r>
      <w:r>
        <w:t>, and the resulting claim is correspondingly narrow: it tests the scoring *machinery* on observable financial and structural variables, not the criteria tree. This limitation is stated in advance rather than discovered afterwards, because it determines what Chapter 5 is entitled to conclude.</w:t>
      </w:r>
    </w:p>
    <w:p>
      <w:pPr>
        <w:pStyle w:val="Heading3"/>
      </w:pPr>
      <w:r>
        <w:t>3.6.2 Protocol</w:t>
      </w:r>
    </w:p>
    <w:p>
      <w:pPr>
        <w:pStyle w:val="ListBullet"/>
      </w:pPr>
      <w:r>
        <w:t>Outcome-derived fields are dropped and their absence asserted.</w:t>
      </w:r>
    </w:p>
    <w:p>
      <w:pPr>
        <w:pStyle w:val="ListBullet"/>
      </w:pPr>
      <w:r>
        <w:t>Right-censored loans are excluded; only fully-matured facilities are analysed.</w:t>
      </w:r>
    </w:p>
    <w:p>
      <w:pPr>
        <w:pStyle w:val="ListBullet"/>
      </w:pPr>
      <w:r>
        <w:t xml:space="preserve">Two validation protocols are run: random split, and </w:t>
      </w:r>
      <w:r>
        <w:rPr>
          <w:b/>
        </w:rPr>
        <w:t>temporal split</w:t>
      </w:r>
      <w:r>
        <w:t xml:space="preserve"> (train on</w:t>
      </w:r>
    </w:p>
    <w:p>
      <w:r>
        <w:t>earlier cohorts, test on later). Both are reported, because random splitting places the same economic cycle on both sides and overstates performance.</w:t>
      </w:r>
    </w:p>
    <w:p>
      <w:pPr>
        <w:pStyle w:val="ListBullet"/>
      </w:pPr>
      <w:r>
        <w:t>The unfitted expert scorecard is compared against logistic regression and</w:t>
      </w:r>
    </w:p>
    <w:p>
      <w:r>
        <w:t>gradient boosting, both trained on hundreds of thousands of labelled outcomes.</w:t>
      </w:r>
    </w:p>
    <w:p>
      <w:pPr>
        <w:pStyle w:val="ListBullet"/>
      </w:pPr>
      <w:r>
        <w:t>Metrics: AUC, Kolmogorov-Smirnov separation, average precision, Brier score,</w:t>
      </w:r>
    </w:p>
    <w:p>
      <w:r>
        <w:t>F1 at the Youden-optimal threshold.</w:t>
      </w:r>
    </w:p>
    <w:p>
      <w: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pPr>
      <w:r>
        <w:t>3.6.3 Treatment of anomalous results</w:t>
      </w:r>
    </w:p>
    <w:p>
      <w:r>
        <w:t>An unexpectedly strong result is treated as a suspected defect until explained. This rule was applied during the study and is what produced the finding in §5.3: an AUC of 0.97 was investigated rather than reported, and proved to arise from contamination in a predictor. The rule is stated here because it is part of the method, not a lucky accident.</w:t>
      </w:r>
    </w:p>
    <w:p>
      <w:pPr>
        <w:pStyle w:val="Heading2"/>
      </w:pPr>
      <w:r>
        <w:t>3.7 Ethical considerations</w:t>
      </w:r>
    </w:p>
    <w:p>
      <w:r>
        <w:rPr>
          <w:b/>
        </w:rPr>
        <w:t>Human participants.</w:t>
      </w:r>
      <w:r>
        <w:t xml:space="preserve"> The elicitation instrument collects a self-chosen participant code, years of experience, institution type and role. It collects </w:t>
      </w:r>
      <w:r>
        <w:rPr>
          <w:b/>
        </w:rPr>
        <w:t>no name and no customer information</w:t>
      </w:r>
      <w:r>
        <w:t>. The landing page states that participation is voluntary, may be stopped at any time, and that responses are used solely for academic research and reported only in aggregate.</w:t>
      </w:r>
    </w:p>
    <w:p>
      <w:r>
        <w:rPr>
          <w:b/>
        </w:rPr>
        <w:t>Confidentiality of bank material.</w:t>
      </w:r>
      <w:r>
        <w:t xml:space="preserve"> The source appraisal form is a blank template. No customer file, no borrower data and no internal credit policy document was accessed. The system was demonstrated using constructed cases, not real applications.</w:t>
      </w:r>
    </w:p>
    <w:p>
      <w:r>
        <w:rPr>
          <w:b/>
        </w:rPr>
        <w:t>Institutional approval.</w:t>
      </w:r>
      <w: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r>
        <w:rPr>
          <w:b/>
        </w:rPr>
        <w:t>Research integrity.</w:t>
      </w:r>
      <w: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(§5.6) — are reported as they occurred.</w:t>
      </w:r>
    </w:p>
    <w:p>
      <w:pPr>
        <w:pStyle w:val="Heading2"/>
      </w:pPr>
      <w:r>
        <w:t>3.8 Limitations of the design</w:t>
      </w:r>
    </w:p>
    <w:p>
      <w:pPr>
        <w:pStyle w:val="ListBullet"/>
      </w:pPr>
      <w:r>
        <w:t xml:space="preserve">The empirical validation uses a </w:t>
      </w:r>
      <w:r>
        <w:rPr>
          <w:b/>
        </w:rPr>
        <w:t>proxy dataset from a different jurisdiction</w:t>
      </w:r>
      <w:r>
        <w:t>;</w:t>
      </w:r>
    </w:p>
    <w:p>
      <w:r>
        <w:t>the qualitative criteria are not tested against outcomes at all.</w:t>
      </w:r>
    </w:p>
    <w:p>
      <w:pPr>
        <w:pStyle w:val="ListBullet"/>
      </w:pPr>
      <w:r>
        <w:t xml:space="preserve">The </w:t>
      </w:r>
      <w:r>
        <w:rPr>
          <w:b/>
        </w:rPr>
        <w:t>fuzzy layer is not exercised</w:t>
      </w:r>
      <w:r>
        <w:t xml:space="preserve"> by the validation, since all</w:t>
      </w:r>
    </w:p>
    <w:p>
      <w:r>
        <w:t>SBA-observable criteria are quantitative and enter as degenerate fuzzy numbers.</w:t>
      </w:r>
    </w:p>
    <w:p>
      <w:pPr>
        <w:pStyle w:val="ListBullet"/>
      </w:pPr>
      <w:r>
        <w:rPr>
          <w:b/>
        </w:rPr>
        <w:t>Elicitation is small-n and purposive</w:t>
      </w:r>
      <w:r>
        <w:t>, so weights are not generalisable.</w:t>
      </w:r>
    </w:p>
    <w:p>
      <w:pPr>
        <w:pStyle w:val="ListBullet"/>
      </w:pPr>
      <w:r>
        <w:t xml:space="preserve">There is </w:t>
      </w:r>
      <w:r>
        <w:rPr>
          <w:b/>
        </w:rPr>
        <w:t>no inter-rater reliability study</w:t>
      </w:r>
      <w:r>
        <w:t>. Establishing how much two officers</w:t>
      </w:r>
    </w:p>
    <w:p>
      <w:r>
        <w:t>disagree on the same file — and whether the system narrows that gap — would directly evidence the consistency claim motivating this research. It was not feasible within the time available and is the single most valuable extension.</w:t>
      </w:r>
    </w:p>
    <w:p>
      <w:pPr>
        <w:pStyle w:val="ListBullet"/>
      </w:pPr>
      <w:r>
        <w:t xml:space="preserve">The system is evaluated for </w:t>
      </w:r>
      <w:r>
        <w:rPr>
          <w:b/>
        </w:rPr>
        <w:t>structural correctness, not field usability</w:t>
      </w:r>
      <w:r>
        <w:t>. No</w:t>
      </w:r>
    </w:p>
    <w:p>
      <w:r>
        <w:t>officer has used it on live applications.</w:t>
      </w:r>
    </w:p>
    <w:p>
      <w:r>
        <w:br w:type="page"/>
      </w:r>
    </w:p>
    <w:p>
      <w:pPr>
        <w:pStyle w:val="Heading1"/>
      </w:pPr>
      <w:r>
        <w:t>Chapter 4 — Design and Implementation</w:t>
      </w:r>
    </w:p>
    <w:p>
      <w:pPr>
        <w:pStyle w:val="Heading2"/>
      </w:pPr>
      <w:r>
        <w:t>4.1 The artefact</w:t>
      </w:r>
    </w:p>
    <w:p>
      <w: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r>
        <w:t xml:space="preserve">The system is deliberately </w:t>
      </w:r>
      <w:r>
        <w:rPr>
          <w:b/>
        </w:rPr>
        <w:t>decision support, not automation</w:t>
      </w:r>
      <w: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pPr>
      <w:r>
        <w:t>4.2 Formalising a narrative instrument</w:t>
      </w:r>
    </w:p>
    <w:p>
      <w:pPr>
        <w:pStyle w:val="Heading3"/>
      </w:pPr>
      <w:r>
        <w:t>4.2.1 The source</w:t>
      </w:r>
    </w:p>
    <w:p>
      <w:r>
        <w:t xml:space="preserve">The People's Bank *Project / Business Appraisal Report for SME Credit Facility* (Annexure I–V) is an operational form running to seven numbered sections plus five annexures. It is largely </w:t>
      </w:r>
      <w:r>
        <w:rPr>
          <w:b/>
        </w:rPr>
        <w:t>narrative</w:t>
      </w:r>
      <w: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r>
        <w:t>This is the gap the artefact addresses. The form specifies *what* to consider exhaustively and *how to weigh it* not at all.</w:t>
      </w:r>
    </w:p>
    <w:p>
      <w:pPr>
        <w:pStyle w:val="Heading3"/>
      </w:pPr>
      <w:r>
        <w:t>4.2.2 Method</w:t>
      </w:r>
    </w:p>
    <w:p>
      <w:r>
        <w:t>Each clause of the form was examined and classified:</w:t>
      </w:r>
    </w:p>
    <w:p>
      <w:pPr>
        <w:pStyle w:val="ListBullet"/>
      </w:pPr>
      <w:r>
        <w:rPr>
          <w:b/>
        </w:rPr>
        <w:t>Directly computable</w:t>
      </w:r>
      <w:r>
        <w:t xml:space="preserve"> — the thirteen ratios of clause 2.17, the DSCR/ISCR/ROI</w:t>
      </w:r>
    </w:p>
    <w:p>
      <w:r>
        <w:t>series of clause 4, the cost-of-project structure of clause 3.7, the working capital computation of Annexure II. These become quantitative criteria with explicit thresholds.</w:t>
      </w:r>
    </w:p>
    <w:p>
      <w:pPr>
        <w:pStyle w:val="ListBullet"/>
      </w:pPr>
      <w:r>
        <w:rPr>
          <w:b/>
        </w:rPr>
        <w:t>Judgement, but structured</w:t>
      </w:r>
      <w:r>
        <w:t xml:space="preserve"> — clause 3.10.3 is already Porter's five forces;</w:t>
      </w:r>
    </w:p>
    <w:p>
      <w:r>
        <w:t>clause 5 is already a nine-item before/after table. These decompose naturally into criteria scored on a linguistic scale.</w:t>
      </w:r>
    </w:p>
    <w:p>
      <w:pPr>
        <w:pStyle w:val="ListBullet"/>
      </w:pPr>
      <w:r>
        <w:rPr>
          <w:b/>
        </w:rPr>
        <w:t>Judgement, unstructured</w:t>
      </w:r>
      <w:r>
        <w:t xml:space="preserve"> — management style (3.2), technological risk (3.11).</w:t>
      </w:r>
    </w:p>
    <w:p>
      <w:r>
        <w:t>These become single qualitative criteria.</w:t>
      </w:r>
    </w:p>
    <w:p>
      <w:pPr>
        <w:pStyle w:val="ListBullet"/>
      </w:pPr>
      <w:r>
        <w:rPr>
          <w:b/>
        </w:rPr>
        <w:t>Administrative</w:t>
      </w:r>
      <w:r>
        <w:t xml:space="preserve"> — addresses, registration numbers, signature blocks. These</w:t>
      </w:r>
    </w:p>
    <w:p>
      <w:r>
        <w:t>are captured by the system but carry no score.</w:t>
      </w:r>
    </w:p>
    <w:p>
      <w:r>
        <w:t xml:space="preserve">The rule applied throughout: </w:t>
      </w:r>
      <w:r>
        <w:rPr>
          <w:b/>
        </w:rPr>
        <w:t>no criterion exists without a source clause.</w:t>
      </w:r>
      <w:r>
        <w:t xml:space="preserve"> Every entry in the resulting model carries a </w:t>
      </w:r>
      <w:r>
        <w:rPr>
          <w:rFonts w:ascii="Consolas" w:hAnsi="Consolas"/>
          <w:sz w:val="19"/>
        </w:rPr>
        <w:t>ref</w:t>
      </w:r>
      <w: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3"/>
      </w:pPr>
      <w:r>
        <w:t>4.2.3 Result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Objective</w:t>
            </w:r>
          </w:p>
        </w:tc>
        <w:tc>
          <w:tcPr>
            <w:tcW w:type="dxa" w:w="2160"/>
          </w:tcPr>
          <w:p>
            <w:r>
              <w:rPr>
                <w:b/>
                <w:sz w:val="18"/>
              </w:rPr>
              <w:t>Dimension</w:t>
            </w:r>
          </w:p>
        </w:tc>
        <w:tc>
          <w:tcPr>
            <w:tcW w:type="dxa" w:w="2160"/>
          </w:tcPr>
          <w:p>
            <w:r>
              <w:rPr>
                <w:b/>
                <w:sz w:val="18"/>
              </w:rPr>
              <w:t>Criteria</w:t>
            </w:r>
          </w:p>
        </w:tc>
        <w:tc>
          <w:tcPr>
            <w:tcW w:type="dxa" w:w="2160"/>
          </w:tcPr>
          <w:p>
            <w:r>
              <w:rPr>
                <w:b/>
                <w:sz w:val="18"/>
              </w:rPr>
              <w:t>Form clauses</w:t>
            </w:r>
          </w:p>
        </w:tc>
      </w:tr>
      <w:tr>
        <w:tc>
          <w:tcPr>
            <w:tcW w:type="dxa" w:w="2160"/>
          </w:tcPr>
          <w:p>
            <w:r>
              <w:rPr>
                <w:sz w:val="18"/>
              </w:rPr>
              <w:t>Credit Risk</w:t>
            </w:r>
          </w:p>
        </w:tc>
        <w:tc>
          <w:tcPr>
            <w:tcW w:type="dxa" w:w="2160"/>
          </w:tcPr>
          <w:p>
            <w:r>
              <w:rPr>
                <w:sz w:val="18"/>
              </w:rPr>
              <w:t>Borrower &amp; Management Capacity</w:t>
            </w:r>
          </w:p>
        </w:tc>
        <w:tc>
          <w:tcPr>
            <w:tcW w:type="dxa" w:w="2160"/>
          </w:tcPr>
          <w:p>
            <w:r>
              <w:rPr>
                <w:sz w:val="18"/>
              </w:rPr>
              <w:t>6</w:t>
            </w:r>
          </w:p>
        </w:tc>
        <w:tc>
          <w:tcPr>
            <w:tcW w:type="dxa" w:w="2160"/>
          </w:tcPr>
          <w:p>
            <w:r>
              <w:rPr>
                <w:sz w:val="18"/>
              </w:rPr>
              <w:t>2.8, 2.10, 3.2, 3.4</w:t>
            </w:r>
          </w:p>
        </w:tc>
      </w:tr>
      <w:tr>
        <w:tc>
          <w:tcPr>
            <w:tcW w:type="dxa" w:w="2160"/>
          </w:tcPr>
          <w:p>
            <w:r>
              <w:rPr>
                <w:sz w:val="18"/>
              </w:rPr>
            </w:r>
          </w:p>
        </w:tc>
        <w:tc>
          <w:tcPr>
            <w:tcW w:type="dxa" w:w="2160"/>
          </w:tcPr>
          <w:p>
            <w:r>
              <w:rPr>
                <w:sz w:val="18"/>
              </w:rPr>
              <w:t>Credit History &amp; Banking Conduct</w:t>
            </w:r>
          </w:p>
        </w:tc>
        <w:tc>
          <w:tcPr>
            <w:tcW w:type="dxa" w:w="2160"/>
          </w:tcPr>
          <w:p>
            <w:r>
              <w:rPr>
                <w:sz w:val="18"/>
              </w:rPr>
              <w:t>5</w:t>
            </w:r>
          </w:p>
        </w:tc>
        <w:tc>
          <w:tcPr>
            <w:tcW w:type="dxa" w:w="2160"/>
          </w:tcPr>
          <w:p>
            <w:r>
              <w:rPr>
                <w:sz w:val="18"/>
              </w:rPr>
              <w:t>2.11, 2.14</w:t>
            </w:r>
          </w:p>
        </w:tc>
      </w:tr>
      <w:tr>
        <w:tc>
          <w:tcPr>
            <w:tcW w:type="dxa" w:w="2160"/>
          </w:tcPr>
          <w:p>
            <w:r>
              <w:rPr>
                <w:sz w:val="18"/>
              </w:rPr>
            </w:r>
          </w:p>
        </w:tc>
        <w:tc>
          <w:tcPr>
            <w:tcW w:type="dxa" w:w="2160"/>
          </w:tcPr>
          <w:p>
            <w:r>
              <w:rPr>
                <w:sz w:val="18"/>
              </w:rPr>
              <w:t>Historic Financial Performance</w:t>
            </w:r>
          </w:p>
        </w:tc>
        <w:tc>
          <w:tcPr>
            <w:tcW w:type="dxa" w:w="2160"/>
          </w:tcPr>
          <w:p>
            <w:r>
              <w:rPr>
                <w:sz w:val="18"/>
              </w:rPr>
              <w:t>9</w:t>
            </w:r>
          </w:p>
        </w:tc>
        <w:tc>
          <w:tcPr>
            <w:tcW w:type="dxa" w:w="2160"/>
          </w:tcPr>
          <w:p>
            <w:r>
              <w:rPr>
                <w:sz w:val="18"/>
              </w:rPr>
              <w:t>2.13, 2.15–2.18</w:t>
            </w:r>
          </w:p>
        </w:tc>
      </w:tr>
      <w:tr>
        <w:tc>
          <w:tcPr>
            <w:tcW w:type="dxa" w:w="2160"/>
          </w:tcPr>
          <w:p>
            <w:r>
              <w:rPr>
                <w:sz w:val="18"/>
              </w:rPr>
            </w:r>
          </w:p>
        </w:tc>
        <w:tc>
          <w:tcPr>
            <w:tcW w:type="dxa" w:w="2160"/>
          </w:tcPr>
          <w:p>
            <w:r>
              <w:rPr>
                <w:sz w:val="18"/>
              </w:rPr>
              <w:t>Project Viability &amp; Projections</w:t>
            </w:r>
          </w:p>
        </w:tc>
        <w:tc>
          <w:tcPr>
            <w:tcW w:type="dxa" w:w="2160"/>
          </w:tcPr>
          <w:p>
            <w:r>
              <w:rPr>
                <w:sz w:val="18"/>
              </w:rPr>
              <w:t>8</w:t>
            </w:r>
          </w:p>
        </w:tc>
        <w:tc>
          <w:tcPr>
            <w:tcW w:type="dxa" w:w="2160"/>
          </w:tcPr>
          <w:p>
            <w:r>
              <w:rPr>
                <w:sz w:val="18"/>
              </w:rPr>
              <w:t>3.1.3, 3.7, 4</w:t>
            </w:r>
          </w:p>
        </w:tc>
      </w:tr>
      <w:tr>
        <w:tc>
          <w:tcPr>
            <w:tcW w:type="dxa" w:w="2160"/>
          </w:tcPr>
          <w:p>
            <w:r>
              <w:rPr>
                <w:sz w:val="18"/>
              </w:rPr>
            </w:r>
          </w:p>
        </w:tc>
        <w:tc>
          <w:tcPr>
            <w:tcW w:type="dxa" w:w="2160"/>
          </w:tcPr>
          <w:p>
            <w:r>
              <w:rPr>
                <w:sz w:val="18"/>
              </w:rPr>
              <w:t>Market &amp; Competitive Position</w:t>
            </w:r>
          </w:p>
        </w:tc>
        <w:tc>
          <w:tcPr>
            <w:tcW w:type="dxa" w:w="2160"/>
          </w:tcPr>
          <w:p>
            <w:r>
              <w:rPr>
                <w:sz w:val="18"/>
              </w:rPr>
              <w:t>7</w:t>
            </w:r>
          </w:p>
        </w:tc>
        <w:tc>
          <w:tcPr>
            <w:tcW w:type="dxa" w:w="2160"/>
          </w:tcPr>
          <w:p>
            <w:r>
              <w:rPr>
                <w:sz w:val="18"/>
              </w:rPr>
              <w:t>3.10</w:t>
            </w:r>
          </w:p>
        </w:tc>
      </w:tr>
      <w:tr>
        <w:tc>
          <w:tcPr>
            <w:tcW w:type="dxa" w:w="2160"/>
          </w:tcPr>
          <w:p>
            <w:r>
              <w:rPr>
                <w:sz w:val="18"/>
              </w:rPr>
            </w:r>
          </w:p>
        </w:tc>
        <w:tc>
          <w:tcPr>
            <w:tcW w:type="dxa" w:w="2160"/>
          </w:tcPr>
          <w:p>
            <w:r>
              <w:rPr>
                <w:sz w:val="18"/>
              </w:rPr>
              <w:t>Risk, Security &amp; Compliance</w:t>
            </w:r>
          </w:p>
        </w:tc>
        <w:tc>
          <w:tcPr>
            <w:tcW w:type="dxa" w:w="2160"/>
          </w:tcPr>
          <w:p>
            <w:r>
              <w:rPr>
                <w:sz w:val="18"/>
              </w:rPr>
              <w:t>6</w:t>
            </w:r>
          </w:p>
        </w:tc>
        <w:tc>
          <w:tcPr>
            <w:tcW w:type="dxa" w:w="2160"/>
          </w:tcPr>
          <w:p>
            <w:r>
              <w:rPr>
                <w:sz w:val="18"/>
              </w:rPr>
              <w:t>3.3, 3.5, 3.6, 3.11, 3.12, 6.5</w:t>
            </w:r>
          </w:p>
        </w:tc>
      </w:tr>
      <w:tr>
        <w:tc>
          <w:tcPr>
            <w:tcW w:type="dxa" w:w="2160"/>
          </w:tcPr>
          <w:p>
            <w:r>
              <w:rPr>
                <w:sz w:val="18"/>
              </w:rPr>
              <w:t>Development Impact</w:t>
            </w:r>
          </w:p>
        </w:tc>
        <w:tc>
          <w:tcPr>
            <w:tcW w:type="dxa" w:w="2160"/>
          </w:tcPr>
          <w:p>
            <w:r>
              <w:rPr>
                <w:sz w:val="18"/>
              </w:rPr>
              <w:t>Economic &amp; Social Contribution</w:t>
            </w:r>
          </w:p>
        </w:tc>
        <w:tc>
          <w:tcPr>
            <w:tcW w:type="dxa" w:w="2160"/>
          </w:tcPr>
          <w:p>
            <w:r>
              <w:rPr>
                <w:sz w:val="18"/>
              </w:rPr>
              <w:t>8</w:t>
            </w:r>
          </w:p>
        </w:tc>
        <w:tc>
          <w:tcPr>
            <w:tcW w:type="dxa" w:w="2160"/>
          </w:tcPr>
          <w:p>
            <w:r>
              <w:rPr>
                <w:sz w:val="18"/>
              </w:rPr>
              <w:t>5, 3.4.1</w:t>
            </w:r>
          </w:p>
        </w:tc>
      </w:tr>
      <w:tr>
        <w:tc>
          <w:tcPr>
            <w:tcW w:type="dxa" w:w="2160"/>
          </w:tcPr>
          <w:p>
            <w:r>
              <w:rPr>
                <w:sz w:val="18"/>
              </w:rPr>
              <w:t>Total</w:t>
            </w:r>
          </w:p>
        </w:tc>
        <w:tc>
          <w:tcPr>
            <w:tcW w:type="dxa" w:w="2160"/>
          </w:tcPr>
          <w:p>
            <w:r>
              <w:rPr>
                <w:sz w:val="18"/>
              </w:rPr>
              <w:t>7 dimensions</w:t>
            </w:r>
          </w:p>
        </w:tc>
        <w:tc>
          <w:tcPr>
            <w:tcW w:type="dxa" w:w="2160"/>
          </w:tcPr>
          <w:p>
            <w:r>
              <w:rPr>
                <w:sz w:val="18"/>
              </w:rPr>
              <w:t>49</w:t>
            </w:r>
          </w:p>
        </w:tc>
        <w:tc>
          <w:tcPr>
            <w:tcW w:type="dxa" w:w="2160"/>
          </w:tcPr>
          <w:p>
            <w:r>
              <w:rPr>
                <w:sz w:val="18"/>
              </w:rPr>
            </w:r>
          </w:p>
        </w:tc>
      </w:tr>
    </w:tbl>
    <w:p/>
    <w:p>
      <w:r>
        <w:t xml:space="preserve">Twenty-eight criteria are quantitative and twenty-one qualitative. The model is held in </w:t>
      </w:r>
      <w:r>
        <w:rPr>
          <w:rFonts w:ascii="Consolas" w:hAnsi="Consolas"/>
          <w:sz w:val="19"/>
        </w:rPr>
        <w:t>shared/model/criteria-tree.json</w:t>
      </w:r>
      <w:r>
        <w:t xml:space="preserve"> as the single source of truth, consumed by both the web application and the analysis pipeline.</w:t>
      </w:r>
    </w:p>
    <w:p>
      <w:pPr>
        <w:pStyle w:val="Heading2"/>
      </w:pPr>
      <w:r>
        <w:t>4.3 The dual-objective structure</w:t>
      </w:r>
    </w:p>
    <w:p>
      <w:pPr>
        <w:pStyle w:val="Heading3"/>
      </w:pPr>
      <w:r>
        <w:t>4.3.1 Rationale</w:t>
      </w:r>
    </w:p>
    <w:p>
      <w:r>
        <w:t>Clause 5 of the form, *Economic Consideration*, scores nine before/after outcomes: manpower, women's participation, local raw material usage, productive capacity, production, export sales, import substitution, value added, and foreign exchange earnings. Clause 3.4.1 separately disaggregates employment by gender.</w:t>
      </w:r>
    </w:p>
    <w:p>
      <w: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r>
        <w:t xml:space="preserve">Mainstream credit scoring optimises a single objective: the probability of repayment. Applying that framing here would mean </w:t>
      </w:r>
      <w:r>
        <w:rPr>
          <w:b/>
        </w:rPr>
        <w:t>discarding clause 5 entirely</w:t>
      </w:r>
      <w:r>
        <w:t xml:space="preserve"> — deleting the developmental half of the institution's own mandate because it does not fit the model.</w:t>
      </w:r>
    </w:p>
    <w:p>
      <w:pPr>
        <w:pStyle w:val="Heading3"/>
      </w:pPr>
      <w:r>
        <w:t>4.3.2 Design decision</w:t>
      </w:r>
    </w:p>
    <w:p>
      <w:r>
        <w:t xml:space="preserve">The model therefore carries two objectives and </w:t>
      </w:r>
      <w:r>
        <w:rPr>
          <w:b/>
        </w:rPr>
        <w:t>reports them separately. They are never combined into a single number.</w:t>
      </w:r>
    </w:p>
    <w:p>
      <w:r>
        <w:t xml:space="preserve">This is enforced in the engine rather than left to convention: </w:t>
      </w:r>
      <w:r>
        <w:rPr>
          <w:rFonts w:ascii="Consolas" w:hAnsi="Consolas"/>
          <w:sz w:val="19"/>
        </w:rPr>
        <w:t>AppraisalResult</w:t>
      </w:r>
      <w: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r>
        <w:t xml:space="preserve">Verification of this behaviour appears in the test case of §4.9: the same application scored </w:t>
      </w:r>
      <w:r>
        <w:rPr>
          <w:b/>
        </w:rPr>
        <w:t>80.2 on credit risk (band A) and 74.6 on development impact (band B)</w:t>
      </w:r>
      <w:r>
        <w:t>.</w:t>
      </w:r>
    </w:p>
    <w:p>
      <w:pPr>
        <w:pStyle w:val="Heading2"/>
      </w:pPr>
      <w:r>
        <w:t>4.4 Scoring method</w:t>
      </w:r>
    </w:p>
    <w:p>
      <w:pPr>
        <w:pStyle w:val="Heading3"/>
      </w:pPr>
      <w:r>
        <w:t>4.4.1 Quantitative criteria</w:t>
      </w:r>
    </w:p>
    <w:p>
      <w:r>
        <w:t xml:space="preserve">Each quantitative criterion carries a set of </w:t>
      </w:r>
      <w:r>
        <w:rPr>
          <w:rFonts w:ascii="Consolas" w:hAnsi="Consolas"/>
          <w:sz w:val="19"/>
        </w:rPr>
        <w:t>[rawValue, score]</w:t>
      </w:r>
      <w:r>
        <w:t xml:space="preserve"> anchors defining a piecewise-linear map onto 0–100. DSCR, for example, anchors at 0.8→0, 1.0→25, 1.25→50, 1.5→75, 2.0→100. Values outside the anchor range clamp to the nearest endpoint.</w:t>
      </w:r>
    </w:p>
    <w:p>
      <w: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pPr>
      <w:r>
        <w:t>4.4.2 Qualitative criteria</w:t>
      </w:r>
    </w:p>
    <w:p>
      <w:r>
        <w:t>Qualitative criteria are captured on a five-point linguistic scale — Very Poor, Poor, Fair, Good, Excellent — represented as triangular fuzzy numbers: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Code</w:t>
            </w:r>
          </w:p>
        </w:tc>
        <w:tc>
          <w:tcPr>
            <w:tcW w:type="dxa" w:w="2880"/>
          </w:tcPr>
          <w:p>
            <w:r>
              <w:rPr>
                <w:b/>
                <w:sz w:val="18"/>
              </w:rPr>
              <w:t>Label</w:t>
            </w:r>
          </w:p>
        </w:tc>
        <w:tc>
          <w:tcPr>
            <w:tcW w:type="dxa" w:w="2880"/>
          </w:tcPr>
          <w:p>
            <w:r>
              <w:rPr>
                <w:b/>
                <w:sz w:val="18"/>
              </w:rPr>
              <w:t>TFN</w:t>
            </w:r>
          </w:p>
        </w:tc>
      </w:tr>
      <w:tr>
        <w:tc>
          <w:tcPr>
            <w:tcW w:type="dxa" w:w="2880"/>
          </w:tcPr>
          <w:p>
            <w:r>
              <w:rPr>
                <w:sz w:val="18"/>
              </w:rPr>
              <w:t>VP</w:t>
            </w:r>
          </w:p>
        </w:tc>
        <w:tc>
          <w:tcPr>
            <w:tcW w:type="dxa" w:w="2880"/>
          </w:tcPr>
          <w:p>
            <w:r>
              <w:rPr>
                <w:sz w:val="18"/>
              </w:rPr>
              <w:t>Very Poor</w:t>
            </w:r>
          </w:p>
        </w:tc>
        <w:tc>
          <w:tcPr>
            <w:tcW w:type="dxa" w:w="2880"/>
          </w:tcPr>
          <w:p>
            <w:r>
              <w:rPr>
                <w:sz w:val="18"/>
              </w:rPr>
              <w:t>[0, 0, 25]</w:t>
            </w:r>
          </w:p>
        </w:tc>
      </w:tr>
      <w:tr>
        <w:tc>
          <w:tcPr>
            <w:tcW w:type="dxa" w:w="2880"/>
          </w:tcPr>
          <w:p>
            <w:r>
              <w:rPr>
                <w:sz w:val="18"/>
              </w:rPr>
              <w:t>P</w:t>
            </w:r>
          </w:p>
        </w:tc>
        <w:tc>
          <w:tcPr>
            <w:tcW w:type="dxa" w:w="2880"/>
          </w:tcPr>
          <w:p>
            <w:r>
              <w:rPr>
                <w:sz w:val="18"/>
              </w:rPr>
              <w:t>Poor</w:t>
            </w:r>
          </w:p>
        </w:tc>
        <w:tc>
          <w:tcPr>
            <w:tcW w:type="dxa" w:w="2880"/>
          </w:tcPr>
          <w:p>
            <w:r>
              <w:rPr>
                <w:sz w:val="18"/>
              </w:rPr>
              <w:t>[0, 25, 50]</w:t>
            </w:r>
          </w:p>
        </w:tc>
      </w:tr>
      <w:tr>
        <w:tc>
          <w:tcPr>
            <w:tcW w:type="dxa" w:w="2880"/>
          </w:tcPr>
          <w:p>
            <w:r>
              <w:rPr>
                <w:sz w:val="18"/>
              </w:rPr>
              <w:t>F</w:t>
            </w:r>
          </w:p>
        </w:tc>
        <w:tc>
          <w:tcPr>
            <w:tcW w:type="dxa" w:w="2880"/>
          </w:tcPr>
          <w:p>
            <w:r>
              <w:rPr>
                <w:sz w:val="18"/>
              </w:rPr>
              <w:t>Fair</w:t>
            </w:r>
          </w:p>
        </w:tc>
        <w:tc>
          <w:tcPr>
            <w:tcW w:type="dxa" w:w="2880"/>
          </w:tcPr>
          <w:p>
            <w:r>
              <w:rPr>
                <w:sz w:val="18"/>
              </w:rPr>
              <w:t>[25, 50, 75]</w:t>
            </w:r>
          </w:p>
        </w:tc>
      </w:tr>
      <w:tr>
        <w:tc>
          <w:tcPr>
            <w:tcW w:type="dxa" w:w="2880"/>
          </w:tcPr>
          <w:p>
            <w:r>
              <w:rPr>
                <w:sz w:val="18"/>
              </w:rPr>
              <w:t>G</w:t>
            </w:r>
          </w:p>
        </w:tc>
        <w:tc>
          <w:tcPr>
            <w:tcW w:type="dxa" w:w="2880"/>
          </w:tcPr>
          <w:p>
            <w:r>
              <w:rPr>
                <w:sz w:val="18"/>
              </w:rPr>
              <w:t>Good</w:t>
            </w:r>
          </w:p>
        </w:tc>
        <w:tc>
          <w:tcPr>
            <w:tcW w:type="dxa" w:w="2880"/>
          </w:tcPr>
          <w:p>
            <w:r>
              <w:rPr>
                <w:sz w:val="18"/>
              </w:rPr>
              <w:t>[50, 75, 100]</w:t>
            </w:r>
          </w:p>
        </w:tc>
      </w:tr>
      <w:tr>
        <w:tc>
          <w:tcPr>
            <w:tcW w:type="dxa" w:w="2880"/>
          </w:tcPr>
          <w:p>
            <w:r>
              <w:rPr>
                <w:sz w:val="18"/>
              </w:rPr>
              <w:t>E</w:t>
            </w:r>
          </w:p>
        </w:tc>
        <w:tc>
          <w:tcPr>
            <w:tcW w:type="dxa" w:w="2880"/>
          </w:tcPr>
          <w:p>
            <w:r>
              <w:rPr>
                <w:sz w:val="18"/>
              </w:rPr>
              <w:t>Excellent</w:t>
            </w:r>
          </w:p>
        </w:tc>
        <w:tc>
          <w:tcPr>
            <w:tcW w:type="dxa" w:w="2880"/>
          </w:tcPr>
          <w:p>
            <w:r>
              <w:rPr>
                <w:sz w:val="18"/>
              </w:rPr>
              <w:t>[75, 100, 100]</w:t>
            </w:r>
          </w:p>
        </w:tc>
      </w:tr>
    </w:tbl>
    <w:p/>
    <w:p>
      <w:r>
        <w:t>Fuzzy representation is used because appraisal judgements are linguistic and imprecise. An officer writing "management is sound" is not asserting 75.0; the triangular number carries that imprecision explicitly rather than discarding it.</w:t>
      </w:r>
    </w:p>
    <w:p>
      <w:r>
        <w:t xml:space="preserve">Quantitative values enter as degenerate TFNs </w:t>
      </w:r>
      <w:r>
        <w:rPr>
          <w:rFonts w:ascii="Consolas" w:hAnsi="Consolas"/>
          <w:sz w:val="19"/>
        </w:rPr>
        <w:t>[x,x,x]</w:t>
      </w:r>
      <w:r>
        <w:t>, so both criterion types flow through one aggregation path. Aggregation is the fuzzy weighted average; defuzzification is by centroid, which for a TFN reduces to the mean of its three points.</w:t>
      </w:r>
    </w:p>
    <w:p>
      <w:pPr>
        <w:pStyle w:val="Heading3"/>
      </w:pPr>
      <w:r>
        <w:t>4.4.3 Missing criteria</w:t>
      </w:r>
    </w:p>
    <w:p>
      <w:r>
        <w:t xml:space="preserve">A criterion left unassessed is </w:t>
      </w:r>
      <w:r>
        <w:rPr>
          <w:b/>
        </w:rPr>
        <w:t>excluded and the remaining weights renormalised</w:t>
      </w:r>
      <w:r>
        <w:t xml:space="preserve"> — never treated as zero. Scoring an incomplete file as though the missing sections had scored nothing would misrepresent an unfinished appraisal as a bad one.</w:t>
      </w:r>
    </w:p>
    <w:p>
      <w:r>
        <w:t>This choice creates a hazard addressed in §4.5.</w:t>
      </w:r>
    </w:p>
    <w:p>
      <w:pPr>
        <w:pStyle w:val="Heading3"/>
      </w:pPr>
      <w:r>
        <w:t>4.4.4 Critical criteria</w:t>
      </w:r>
    </w:p>
    <w:p>
      <w:r>
        <w:t>DSCR below 1.0 means projected cash flow does not cover debt service. Under most credit policies this is a knock-out, not a factor to be averaged.</w:t>
      </w:r>
    </w:p>
    <w:p>
      <w:r>
        <w:t xml:space="preserve">The engine evaluates critical breaches against the </w:t>
      </w:r>
      <w:r>
        <w:rPr>
          <w:b/>
        </w:rPr>
        <w:t>raw value</w:t>
      </w:r>
      <w:r>
        <w:t>, not the derived score, and surfaces them as a separate list on the result. A weighted average cannot dilute them, and the interface displays them above the scores rather than within them.</w:t>
      </w:r>
    </w:p>
    <w:p>
      <w:pPr>
        <w:pStyle w:val="Heading2"/>
      </w:pPr>
      <w:r>
        <w:t>4.5 The completeness gate</w:t>
      </w:r>
    </w:p>
    <w:p>
      <w:pPr>
        <w:pStyle w:val="Heading3"/>
      </w:pPr>
      <w:r>
        <w:t>4.5.1 A problem found by testing</w:t>
      </w:r>
    </w:p>
    <w:p>
      <w:r>
        <w:t>During verification, an appraisal with only seven of forty-nine criteria entered — 14% complete — returned a credit risk score of 73.7 and the recommendation *"Band B — recommend with conditions."*</w:t>
      </w:r>
    </w:p>
    <w:p>
      <w:r>
        <w:t>The arithmetic was correct. Weight renormalisation (§4.4.3) had worked exactly as designed: the seven entered criteria carried the full weight, and they happened to score well. But the system was confidently recommending a facility on almost no information, and nothing in the output signalled that.</w:t>
      </w:r>
    </w:p>
    <w:p>
      <w:r>
        <w:t xml:space="preserve">This is a genuine hazard of renormalisation, and it is not specific to this implementation. </w:t>
      </w:r>
      <w:r>
        <w:rPr>
          <w:b/>
        </w:rPr>
        <w:t>A sparse appraisal produces a plausible score while its evidential basis collapses</w:t>
      </w:r>
      <w:r>
        <w:t>, and the score itself gives no indication of the difference.</w:t>
      </w:r>
    </w:p>
    <w:p>
      <w:pPr>
        <w:pStyle w:val="Heading3"/>
      </w:pPr>
      <w:r>
        <w:t>4.5.2 Response</w:t>
      </w:r>
    </w:p>
    <w:p>
      <w:r>
        <w:t>An objective assessed below a completeness threshold (0.6) returns its score but</w:t>
      </w:r>
    </w:p>
    <w:p>
      <w:r>
        <w:rPr>
          <w:b/>
        </w:rPr>
        <w:t>no risk band and no recommendation.</w:t>
      </w:r>
      <w:r>
        <w:t xml:space="preserve"> The result carries a </w:t>
      </w:r>
      <w:r>
        <w:rPr>
          <w:rFonts w:ascii="Consolas" w:hAnsi="Consolas"/>
          <w:sz w:val="19"/>
        </w:rPr>
        <w:t>sufficient</w:t>
      </w:r>
      <w:r>
        <w:t xml:space="preserve"> flag and a list of outstanding criteria, and the interface tells the officer what is missing instead of offering a number to sign against.</w:t>
      </w:r>
    </w:p>
    <w:p>
      <w:r>
        <w:t xml:space="preserve">The gate is deliberately a </w:t>
      </w:r>
      <w:r>
        <w:rPr>
          <w:b/>
        </w:rPr>
        <w:t>refusal to answer, not a scoring adjustment</w:t>
      </w:r>
      <w:r>
        <w:t>. Discounting the score for incompleteness would have preserved the false impression that the system had an opinion. It does not; it has insufficient information, and saying so is the correct output.</w:t>
      </w:r>
    </w:p>
    <w:p>
      <w:pPr>
        <w:pStyle w:val="Heading2"/>
      </w:pPr>
      <w:r>
        <w:t>4.6 System architecture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Layer</w:t>
            </w:r>
          </w:p>
        </w:tc>
        <w:tc>
          <w:tcPr>
            <w:tcW w:type="dxa" w:w="2880"/>
          </w:tcPr>
          <w:p>
            <w:r>
              <w:rPr>
                <w:b/>
                <w:sz w:val="18"/>
              </w:rPr>
              <w:t>Technology</w:t>
            </w:r>
          </w:p>
        </w:tc>
        <w:tc>
          <w:tcPr>
            <w:tcW w:type="dxa" w:w="2880"/>
          </w:tcPr>
          <w:p>
            <w:r>
              <w:rPr>
                <w:b/>
                <w:sz w:val="18"/>
              </w:rPr>
              <w:t>Rationale</w:t>
            </w:r>
          </w:p>
        </w:tc>
      </w:tr>
      <w:tr>
        <w:tc>
          <w:tcPr>
            <w:tcW w:type="dxa" w:w="2880"/>
          </w:tcPr>
          <w:p>
            <w:r>
              <w:rPr>
                <w:sz w:val="18"/>
              </w:rPr>
              <w:t>Interface</w:t>
            </w:r>
          </w:p>
        </w:tc>
        <w:tc>
          <w:tcPr>
            <w:tcW w:type="dxa" w:w="2880"/>
          </w:tcPr>
          <w:p>
            <w:r>
              <w:rPr>
                <w:sz w:val="18"/>
              </w:rPr>
              <w:t>Next.js 16, React 19, TypeScript, Tailwind 4</w:t>
            </w:r>
          </w:p>
        </w:tc>
        <w:tc>
          <w:tcPr>
            <w:tcW w:type="dxa" w:w="2880"/>
          </w:tcPr>
          <w:p>
            <w:r>
              <w:rPr>
                <w:sz w:val="18"/>
              </w:rPr>
              <w:t>Engine runs client-side for live scoring</w:t>
            </w:r>
          </w:p>
        </w:tc>
      </w:tr>
      <w:tr>
        <w:tc>
          <w:tcPr>
            <w:tcW w:type="dxa" w:w="2880"/>
          </w:tcPr>
          <w:p>
            <w:r>
              <w:rPr>
                <w:sz w:val="18"/>
              </w:rPr>
              <w:t>Persistence</w:t>
            </w:r>
          </w:p>
        </w:tc>
        <w:tc>
          <w:tcPr>
            <w:tcW w:type="dxa" w:w="2880"/>
          </w:tcPr>
          <w:p>
            <w:r>
              <w:rPr>
                <w:sz w:val="18"/>
              </w:rPr>
              <w:t>Prisma 7, SQLite</w:t>
            </w:r>
          </w:p>
        </w:tc>
        <w:tc>
          <w:tcPr>
            <w:tcW w:type="dxa" w:w="2880"/>
          </w:tcPr>
          <w:p>
            <w:r>
              <w:rPr>
                <w:sz w:val="18"/>
              </w:rPr>
              <w:t>No external services; one config change to PostgreSQL</w:t>
            </w:r>
          </w:p>
        </w:tc>
      </w:tr>
      <w:tr>
        <w:tc>
          <w:tcPr>
            <w:tcW w:type="dxa" w:w="2880"/>
          </w:tcPr>
          <w:p>
            <w:r>
              <w:rPr>
                <w:sz w:val="18"/>
              </w:rPr>
              <w:t>Analysis</w:t>
            </w:r>
          </w:p>
        </w:tc>
        <w:tc>
          <w:tcPr>
            <w:tcW w:type="dxa" w:w="2880"/>
          </w:tcPr>
          <w:p>
            <w:r>
              <w:rPr>
                <w:sz w:val="18"/>
              </w:rPr>
              <w:t>Python, pandas, scikit-learn, SciPy</w:t>
            </w:r>
          </w:p>
        </w:tc>
        <w:tc>
          <w:tcPr>
            <w:tcW w:type="dxa" w:w="2880"/>
          </w:tcPr>
          <w:p>
            <w:r>
              <w:rPr>
                <w:sz w:val="18"/>
              </w:rPr>
              <w:t>No TypeScript equivalent for the empirical work</w:t>
            </w:r>
          </w:p>
        </w:tc>
      </w:tr>
      <w:tr>
        <w:tc>
          <w:tcPr>
            <w:tcW w:type="dxa" w:w="2880"/>
          </w:tcPr>
          <w:p>
            <w:r>
              <w:rPr>
                <w:sz w:val="18"/>
              </w:rPr>
              <w:t>Model</w:t>
            </w:r>
          </w:p>
        </w:tc>
        <w:tc>
          <w:tcPr>
            <w:tcW w:type="dxa" w:w="2880"/>
          </w:tcPr>
          <w:p>
            <w:r>
              <w:rPr>
                <w:sz w:val="18"/>
              </w:rPr>
              <w:t>shared/model/criteria-tree.json</w:t>
            </w:r>
          </w:p>
        </w:tc>
        <w:tc>
          <w:tcPr>
            <w:tcW w:type="dxa" w:w="2880"/>
          </w:tcPr>
          <w:p>
            <w:r>
              <w:rPr>
                <w:sz w:val="18"/>
              </w:rPr>
              <w:t>Single source of truth for both stacks</w:t>
            </w:r>
          </w:p>
        </w:tc>
      </w:tr>
    </w:tbl>
    <w:p/>
    <w:p>
      <w:r>
        <w:t>The two stacks never communicate at runtime. The Python pipeline calibrates and validates, exporting weights as JSON; the web application consumes that JSON. The handoff is one-directional and inspectable.</w:t>
      </w:r>
    </w:p>
    <w:p>
      <w:r>
        <w:t xml:space="preserve">The scoring engine is implemented </w:t>
      </w:r>
      <w:r>
        <w:rPr>
          <w:b/>
        </w:rPr>
        <w:t>twice</w:t>
      </w:r>
      <w: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pPr>
      <w:r>
        <w:t>4.6.1 Reproducibility of stored appraisals</w:t>
      </w:r>
    </w:p>
    <w:p>
      <w:r>
        <w:t xml:space="preserve">An appraisal stores its </w:t>
      </w:r>
      <w:r>
        <w:rPr>
          <w:b/>
        </w:rPr>
        <w:t>inputs, its complete result document, and the model version that produced it</w:t>
      </w:r>
      <w:r>
        <w:t xml:space="preserve"> — not merely a score column.</w:t>
      </w:r>
    </w:p>
    <w:p>
      <w: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pPr>
      <w:r>
        <w:t>4.7 Explainability</w:t>
      </w:r>
    </w:p>
    <w:p>
      <w:r>
        <w:t xml:space="preserve">Each criterion's contribution is computed as its normalised weight times its score, expressed in points of the parent's score. </w:t>
      </w:r>
      <w:r>
        <w:rPr>
          <w:b/>
        </w:rPr>
        <w:t>Contributions sum exactly to the parent score</w:t>
      </w:r>
      <w:r>
        <w:t>, which is what makes the breakdown a decomposition rather than a decoration.</w:t>
      </w:r>
    </w:p>
    <w:p>
      <w: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pPr>
      <w:r>
        <w:t>4.8 Report generation</w:t>
      </w:r>
    </w:p>
    <w:p>
      <w:r>
        <w:t>The system exports a completed appraisal as a Word document in the People's Bank format: Annexure I heading, clause-numbered sections, the scoring evidence, and the clause 7 signature blocks.</w:t>
      </w:r>
    </w:p>
    <w:p>
      <w: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pPr>
      <w:r>
        <w:t>4.9 Verification</w:t>
      </w:r>
    </w:p>
    <w:p>
      <w:r>
        <w:t>The engine carries a structural test suite (</w:t>
      </w:r>
      <w:r>
        <w:rPr>
          <w:rFonts w:ascii="Consolas" w:hAnsi="Consolas"/>
          <w:sz w:val="19"/>
        </w:rPr>
        <w:t>npm run test:scoring</w:t>
      </w:r>
      <w:r>
        <w:t>) covering three cases — a sound manufacturing expansion, a thin startup with a DSCR breach, and a deliberately incomplete file: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Check</w:t>
            </w:r>
          </w:p>
        </w:tc>
        <w:tc>
          <w:tcPr>
            <w:tcW w:type="dxa" w:w="4320"/>
          </w:tcPr>
          <w:p>
            <w:r>
              <w:rPr>
                <w:b/>
                <w:sz w:val="18"/>
              </w:rPr>
              <w:t>Result</w:t>
            </w:r>
          </w:p>
        </w:tc>
      </w:tr>
      <w:tr>
        <w:tc>
          <w:tcPr>
            <w:tcW w:type="dxa" w:w="4320"/>
          </w:tcPr>
          <w:p>
            <w:r>
              <w:rPr>
                <w:sz w:val="18"/>
              </w:rPr>
              <w:t>Strong case scores above weak on credit risk</w:t>
            </w:r>
          </w:p>
        </w:tc>
        <w:tc>
          <w:tcPr>
            <w:tcW w:type="dxa" w:w="4320"/>
          </w:tcPr>
          <w:p>
            <w:r>
              <w:rPr>
                <w:sz w:val="18"/>
              </w:rPr>
              <w:t>pass</w:t>
            </w:r>
          </w:p>
        </w:tc>
      </w:tr>
      <w:tr>
        <w:tc>
          <w:tcPr>
            <w:tcW w:type="dxa" w:w="4320"/>
          </w:tcPr>
          <w:p>
            <w:r>
              <w:rPr>
                <w:sz w:val="18"/>
              </w:rPr>
              <w:t>Strong case scores above weak on development impact</w:t>
            </w:r>
          </w:p>
        </w:tc>
        <w:tc>
          <w:tcPr>
            <w:tcW w:type="dxa" w:w="4320"/>
          </w:tcPr>
          <w:p>
            <w:r>
              <w:rPr>
                <w:sz w:val="18"/>
              </w:rPr>
              <w:t>pass</w:t>
            </w:r>
          </w:p>
        </w:tc>
      </w:tr>
      <w:tr>
        <w:tc>
          <w:tcPr>
            <w:tcW w:type="dxa" w:w="4320"/>
          </w:tcPr>
          <w:p>
            <w:r>
              <w:rPr>
                <w:sz w:val="18"/>
              </w:rPr>
              <w:t>Weak case flags a critical breach (DSCR 0.92)</w:t>
            </w:r>
          </w:p>
        </w:tc>
        <w:tc>
          <w:tcPr>
            <w:tcW w:type="dxa" w:w="4320"/>
          </w:tcPr>
          <w:p>
            <w:r>
              <w:rPr>
                <w:sz w:val="18"/>
              </w:rPr>
              <w:t>pass</w:t>
            </w:r>
          </w:p>
        </w:tc>
      </w:tr>
      <w:tr>
        <w:tc>
          <w:tcPr>
            <w:tcW w:type="dxa" w:w="4320"/>
          </w:tcPr>
          <w:p>
            <w:r>
              <w:rPr>
                <w:sz w:val="18"/>
              </w:rPr>
              <w:t>Strong case flags no breach</w:t>
            </w:r>
          </w:p>
        </w:tc>
        <w:tc>
          <w:tcPr>
            <w:tcW w:type="dxa" w:w="4320"/>
          </w:tcPr>
          <w:p>
            <w:r>
              <w:rPr>
                <w:sz w:val="18"/>
              </w:rPr>
              <w:t>pass</w:t>
            </w:r>
          </w:p>
        </w:tc>
      </w:tr>
      <w:tr>
        <w:tc>
          <w:tcPr>
            <w:tcW w:type="dxa" w:w="4320"/>
          </w:tcPr>
          <w:p>
            <w:r>
              <w:rPr>
                <w:sz w:val="18"/>
              </w:rPr>
              <w:t>Strong case reaches band A or B</w:t>
            </w:r>
          </w:p>
        </w:tc>
        <w:tc>
          <w:tcPr>
            <w:tcW w:type="dxa" w:w="4320"/>
          </w:tcPr>
          <w:p>
            <w:r>
              <w:rPr>
                <w:sz w:val="18"/>
              </w:rPr>
              <w:t>pass</w:t>
            </w:r>
          </w:p>
        </w:tc>
      </w:tr>
      <w:tr>
        <w:tc>
          <w:tcPr>
            <w:tcW w:type="dxa" w:w="4320"/>
          </w:tcPr>
          <w:p>
            <w:r>
              <w:rPr>
                <w:sz w:val="18"/>
              </w:rPr>
              <w:t>Weak case falls to band C or D</w:t>
            </w:r>
          </w:p>
        </w:tc>
        <w:tc>
          <w:tcPr>
            <w:tcW w:type="dxa" w:w="4320"/>
          </w:tcPr>
          <w:p>
            <w:r>
              <w:rPr>
                <w:sz w:val="18"/>
              </w:rPr>
              <w:t>pass</w:t>
            </w:r>
          </w:p>
        </w:tc>
      </w:tr>
      <w:tr>
        <w:tc>
          <w:tcPr>
            <w:tcW w:type="dxa" w:w="4320"/>
          </w:tcPr>
          <w:p>
            <w:r>
              <w:rPr>
                <w:sz w:val="18"/>
              </w:rPr>
              <w:t>Objectives reported separately, not merged</w:t>
            </w:r>
          </w:p>
        </w:tc>
        <w:tc>
          <w:tcPr>
            <w:tcW w:type="dxa" w:w="4320"/>
          </w:tcPr>
          <w:p>
            <w:r>
              <w:rPr>
                <w:sz w:val="18"/>
              </w:rPr>
              <w:t>pass</w:t>
            </w:r>
          </w:p>
        </w:tc>
      </w:tr>
      <w:tr>
        <w:tc>
          <w:tcPr>
            <w:tcW w:type="dxa" w:w="4320"/>
          </w:tcPr>
          <w:p>
            <w:r>
              <w:rPr>
                <w:sz w:val="18"/>
              </w:rPr>
              <w:t>Contributions sum to parent score</w:t>
            </w:r>
          </w:p>
        </w:tc>
        <w:tc>
          <w:tcPr>
            <w:tcW w:type="dxa" w:w="4320"/>
          </w:tcPr>
          <w:p>
            <w:r>
              <w:rPr>
                <w:sz w:val="18"/>
              </w:rPr>
              <w:t>pass</w:t>
            </w:r>
          </w:p>
        </w:tc>
      </w:tr>
      <w:tr>
        <w:tc>
          <w:tcPr>
            <w:tcW w:type="dxa" w:w="4320"/>
          </w:tcPr>
          <w:p>
            <w:r>
              <w:rPr>
                <w:sz w:val="18"/>
              </w:rPr>
              <w:t>Weight status still flagged PLACEHOLDER</w:t>
            </w:r>
          </w:p>
        </w:tc>
        <w:tc>
          <w:tcPr>
            <w:tcW w:type="dxa" w:w="4320"/>
          </w:tcPr>
          <w:p>
            <w:r>
              <w:rPr>
                <w:sz w:val="18"/>
              </w:rPr>
              <w:t>pass</w:t>
            </w:r>
          </w:p>
        </w:tc>
      </w:tr>
    </w:tbl>
    <w:p/>
    <w:p>
      <w: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Consolas" w:hAnsi="Consolas"/>
          <w:sz w:val="19"/>
        </w:rPr>
        <w:t>.docx</w:t>
      </w:r>
      <w:r>
        <w:t xml:space="preserve"> in bank format.</w:t>
      </w:r>
    </w:p>
    <w:p>
      <w:r>
        <w:t xml:space="preserve">These are </w:t>
      </w:r>
      <w:r>
        <w:rPr>
          <w:b/>
        </w:rPr>
        <w:t>structural</w:t>
      </w:r>
      <w:r>
        <w:t xml:space="preserve"> checks. They establish that the engine behaves as specified — not that its scores are accurate. Accuracy is the subject of Chapter 5, and the answer given there is heavily qualified.</w:t>
      </w:r>
    </w:p>
    <w:p>
      <w:pPr>
        <w:pStyle w:val="Heading2"/>
      </w:pPr>
      <w:r>
        <w:t>4.10 Status of the weights</w:t>
      </w:r>
    </w:p>
    <w:p>
      <w:r>
        <w:t xml:space="preserve">Throughout this chapter the model carries </w:t>
      </w:r>
      <w:r>
        <w:rPr>
          <w:rFonts w:ascii="Consolas" w:hAnsi="Consolas"/>
          <w:sz w:val="19"/>
        </w:rPr>
        <w:t>weightStatus: PLACEHOLDER</w:t>
      </w:r>
      <w:r>
        <w:t>. All criteria are equally weighted within their level.</w:t>
      </w:r>
    </w:p>
    <w:p>
      <w:r>
        <w:t xml:space="preserve">This is enforced rather than merely noted. The model synchronisation script warns on every run; the interface displays a standing notice; and the weight-derivation pipeline refuses to mark the model </w:t>
      </w:r>
      <w:r>
        <w:rPr>
          <w:rFonts w:ascii="Consolas" w:hAnsi="Consolas"/>
          <w:sz w:val="19"/>
        </w:rPr>
        <w:t>ELICITED</w:t>
      </w:r>
      <w:r>
        <w:t xml:space="preserve"> without usable elicitation responses. Scores computed under placeholder weights are structurally valid and</w:t>
      </w:r>
    </w:p>
    <w:p>
      <w:r>
        <w:rPr>
          <w:b/>
        </w:rPr>
        <w:t>must not be reported as research results</w:t>
      </w:r>
      <w:r>
        <w:t>. Chapter 6 describes the elicitation that replaces them.</w:t>
      </w:r>
    </w:p>
    <w:p>
      <w:r>
        <w:br w:type="page"/>
      </w:r>
    </w:p>
    <w:p>
      <w:pPr>
        <w:pStyle w:val="Heading1"/>
      </w:pPr>
      <w:r>
        <w:t>Chapter 5 — Empirical Validation</w:t>
      </w:r>
    </w:p>
    <w:p>
      <w:pPr>
        <w:ind w:left="504"/>
      </w:pPr>
      <w:r>
        <w:rPr>
          <w:i/>
          <w:sz w:val="20"/>
        </w:rPr>
        <w:t>Reproducibility. Every figure and table in this chapter is produced by code in</w:t>
      </w:r>
    </w:p>
    <w:p>
      <w:pPr>
        <w:ind w:left="504"/>
      </w:pPr>
      <w:r>
        <w:rPr>
          <w:i/>
          <w:sz w:val="20"/>
        </w:rPr>
        <w:t>research/src/. Re-running prepare_sba.py, leakage_analysis.py and</w:t>
      </w:r>
    </w:p>
    <w:p>
      <w:pPr>
        <w:ind w:left="504"/>
      </w:pPr>
      <w:r>
        <w:rPr>
          <w:i/>
          <w:sz w:val="20"/>
        </w:rPr>
        <w:t>benchmark.py in that order regenerates all of it. No value has been entered by</w:t>
      </w:r>
    </w:p>
    <w:p>
      <w:pPr>
        <w:ind w:left="504"/>
      </w:pPr>
      <w:r>
        <w:rPr>
          <w:i/>
          <w:sz w:val="20"/>
        </w:rPr>
        <w:t>hand.</w:t>
      </w:r>
    </w:p>
    <w:p>
      <w:pPr>
        <w:pStyle w:val="Heading2"/>
      </w:pPr>
      <w:r>
        <w:t>5.1 Purpose and scope of this chapter</w:t>
      </w:r>
    </w:p>
    <w:p>
      <w:r>
        <w:t>Chapter 4 presented a criteria tree of 49 criteria derived from the People's Bank</w:t>
      </w:r>
    </w:p>
    <w:p>
      <w:r>
        <w:t>*Project / Business Appraisal Report for SME Credit Facility*, and a scoring method that maps appraisal inputs onto two separate objectives. This chapter asks what can and cannot be established about that model from data.</w:t>
      </w:r>
    </w:p>
    <w:p>
      <w:r>
        <w:t>The scope must be stated precisely, because the answer is narrower than the question a reader might expect.</w:t>
      </w:r>
    </w:p>
    <w:p>
      <w:r>
        <w:t xml:space="preserve">The criteria tree is instrument-specific. It scores debt service cover, the competitive forces bearing on the applicant's market, management quality, environmental risk, and nine development outcomes. </w:t>
      </w:r>
      <w:r>
        <w:rPr>
          <w:b/>
        </w:rPr>
        <w:t>No public dataset contains those variables.</w:t>
      </w:r>
      <w:r>
        <w:t xml:space="preserve"> Access to People's Bank's own historical files was not available within this study, and would in any case be confidential.</w:t>
      </w:r>
    </w:p>
    <w:p>
      <w:r>
        <w:t>The validation is therefore split three ways, and the three claims are kept separate throughout: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Component</w:t>
            </w:r>
          </w:p>
        </w:tc>
        <w:tc>
          <w:tcPr>
            <w:tcW w:type="dxa" w:w="2880"/>
          </w:tcPr>
          <w:p>
            <w:r>
              <w:rPr>
                <w:b/>
                <w:sz w:val="18"/>
              </w:rPr>
              <w:t>Evidence</w:t>
            </w:r>
          </w:p>
        </w:tc>
        <w:tc>
          <w:tcPr>
            <w:tcW w:type="dxa" w:w="2880"/>
          </w:tcPr>
          <w:p>
            <w:r>
              <w:rPr>
                <w:b/>
                <w:sz w:val="18"/>
              </w:rPr>
              <w:t>Reported in</w:t>
            </w:r>
          </w:p>
        </w:tc>
      </w:tr>
      <w:tr>
        <w:tc>
          <w:tcPr>
            <w:tcW w:type="dxa" w:w="2880"/>
          </w:tcPr>
          <w:p>
            <w:r>
              <w:rPr>
                <w:sz w:val="18"/>
              </w:rPr>
              <w:t>Scoring method (band mapping, weighted aggregation, defuzzification)</w:t>
            </w:r>
          </w:p>
        </w:tc>
        <w:tc>
          <w:tcPr>
            <w:tcW w:type="dxa" w:w="2880"/>
          </w:tcPr>
          <w:p>
            <w:r>
              <w:rPr>
                <w:sz w:val="18"/>
              </w:rPr>
              <w:t>Real default outcomes, SBA National</w:t>
            </w:r>
          </w:p>
        </w:tc>
        <w:tc>
          <w:tcPr>
            <w:tcW w:type="dxa" w:w="2880"/>
          </w:tcPr>
          <w:p>
            <w:r>
              <w:rPr>
                <w:sz w:val="18"/>
              </w:rPr>
              <w:t>§5.3–5.5</w:t>
            </w:r>
          </w:p>
        </w:tc>
      </w:tr>
      <w:tr>
        <w:tc>
          <w:tcPr>
            <w:tcW w:type="dxa" w:w="2880"/>
          </w:tcPr>
          <w:p>
            <w:r>
              <w:rPr>
                <w:sz w:val="18"/>
              </w:rPr>
              <w:t>Criterion weights</w:t>
            </w:r>
          </w:p>
        </w:tc>
        <w:tc>
          <w:tcPr>
            <w:tcW w:type="dxa" w:w="2880"/>
          </w:tcPr>
          <w:p>
            <w:r>
              <w:rPr>
                <w:sz w:val="18"/>
              </w:rPr>
              <w:t>Expert elicitation, Best-Worst Method</w:t>
            </w:r>
          </w:p>
        </w:tc>
        <w:tc>
          <w:tcPr>
            <w:tcW w:type="dxa" w:w="2880"/>
          </w:tcPr>
          <w:p>
            <w:r>
              <w:rPr>
                <w:sz w:val="18"/>
              </w:rPr>
              <w:t>Chapter 6</w:t>
            </w:r>
          </w:p>
        </w:tc>
      </w:tr>
      <w:tr>
        <w:tc>
          <w:tcPr>
            <w:tcW w:type="dxa" w:w="2880"/>
          </w:tcPr>
          <w:p>
            <w:r>
              <w:rPr>
                <w:sz w:val="18"/>
              </w:rPr>
              <w:t>Full 49-criterion tree</w:t>
            </w:r>
          </w:p>
        </w:tc>
        <w:tc>
          <w:tcPr>
            <w:tcW w:type="dxa" w:w="2880"/>
          </w:tcPr>
          <w:p>
            <w:r>
              <w:rPr>
                <w:sz w:val="18"/>
              </w:rPr>
              <w:t>Design contribution; not empirically validated</w:t>
            </w:r>
          </w:p>
        </w:tc>
        <w:tc>
          <w:tcPr>
            <w:tcW w:type="dxa" w:w="2880"/>
          </w:tcPr>
          <w:p>
            <w:r>
              <w:rPr>
                <w:sz w:val="18"/>
              </w:rPr>
              <w:t>§5.7</w:t>
            </w:r>
          </w:p>
        </w:tc>
      </w:tr>
    </w:tbl>
    <w:p/>
    <w:p>
      <w:r>
        <w:t>The distinction matters. A claim that "the model was validated" would be false. What is validated here is the scoring machinery, on a proxy dataset, for the observable subset of criteria.</w:t>
      </w:r>
    </w:p>
    <w:p>
      <w:pPr>
        <w:pStyle w:val="Heading2"/>
      </w:pPr>
      <w:r>
        <w:t>5.2 Dataset</w:t>
      </w:r>
    </w:p>
    <w:p>
      <w:r>
        <w:t xml:space="preserve">The SBA National dataset (Li, Mickel and Taylor, 2018) records 899,164 loan guarantees issued by the U.S. Small Business Administration between 1987 and 2014, with realised outcomes in </w:t>
      </w:r>
      <w:r>
        <w:rPr>
          <w:rFonts w:ascii="Consolas" w:hAnsi="Consolas"/>
          <w:sz w:val="19"/>
        </w:rPr>
        <w:t>MIS_Status</w:t>
      </w:r>
      <w:r>
        <w:t xml:space="preserve"> (</w:t>
      </w:r>
      <w:r>
        <w:rPr>
          <w:rFonts w:ascii="Consolas" w:hAnsi="Consolas"/>
          <w:sz w:val="19"/>
        </w:rPr>
        <w:t>P I F</w:t>
      </w:r>
      <w:r>
        <w:t xml:space="preserve"> = paid in full, </w:t>
      </w:r>
      <w:r>
        <w:rPr>
          <w:rFonts w:ascii="Consolas" w:hAnsi="Consolas"/>
          <w:sz w:val="19"/>
        </w:rPr>
        <w:t>CHGOFF</w:t>
      </w:r>
      <w:r>
        <w:t xml:space="preserve"> = charged off). It is the largest public dataset of small-business lending with ground truth, and is widely used in credit-scoring research and teaching.</w:t>
      </w:r>
    </w:p>
    <w:p>
      <w:r>
        <w:t>After removing 1,997 records with no usable outcome, 897,167 remain, with an overall default rate of 17.56%.</w:t>
      </w:r>
    </w:p>
    <w:p>
      <w:pPr>
        <w:pStyle w:val="Heading3"/>
      </w:pPr>
      <w:r>
        <w:t>5.2.1 Outcome-derived fields</w:t>
      </w:r>
    </w:p>
    <w:p>
      <w:r>
        <w:t xml:space="preserve">Three fields are populated only after a loan has defaulted: </w:t>
      </w:r>
      <w:r>
        <w:rPr>
          <w:rFonts w:ascii="Consolas" w:hAnsi="Consolas"/>
          <w:sz w:val="19"/>
        </w:rPr>
        <w:t>ChgOffPrinGr</w:t>
      </w:r>
      <w:r>
        <w:t xml:space="preserve"> (charged-off principal), </w:t>
      </w:r>
      <w:r>
        <w:rPr>
          <w:rFonts w:ascii="Consolas" w:hAnsi="Consolas"/>
          <w:sz w:val="19"/>
        </w:rPr>
        <w:t>ChgOffDate</w:t>
      </w:r>
      <w:r>
        <w:t xml:space="preserve">, and </w:t>
      </w:r>
      <w:r>
        <w:rPr>
          <w:rFonts w:ascii="Consolas" w:hAnsi="Consolas"/>
          <w:sz w:val="19"/>
        </w:rPr>
        <w:t>BalanceGross</w:t>
      </w:r>
      <w:r>
        <w:t xml:space="preserve">. A model given any of them reads the answer rather than predicting it. They are dropped in </w:t>
      </w:r>
      <w:r>
        <w:rPr>
          <w:rFonts w:ascii="Consolas" w:hAnsi="Consolas"/>
          <w:sz w:val="19"/>
        </w:rPr>
        <w:t>prepare_sba.py</w:t>
      </w:r>
      <w:r>
        <w:t>, and their absence is asserted before the prepared file is written.</w:t>
      </w:r>
    </w:p>
    <w:p>
      <w:pPr>
        <w:pStyle w:val="Heading3"/>
      </w:pPr>
      <w:r>
        <w:t>5.2.2 Right-censoring</w:t>
      </w:r>
    </w:p>
    <w:p>
      <w:r>
        <w:t>A loan approved in 2013 on a fifteen-year term cannot have defaulted by the 2014 data cut-off. Such loans appear to perform well only because insufficient time has elapsed.</w:t>
      </w:r>
    </w:p>
    <w:p>
      <w:r>
        <w:t>Restricting to the 1990–2010 approval window (847,980 loans) and separating those whose full term elapsed before the cut-off: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Cohort</w:t>
            </w:r>
          </w:p>
        </w:tc>
        <w:tc>
          <w:tcPr>
            <w:tcW w:type="dxa" w:w="2880"/>
          </w:tcPr>
          <w:p>
            <w:r>
              <w:rPr>
                <w:b/>
                <w:sz w:val="18"/>
              </w:rPr>
              <w:t>n</w:t>
            </w:r>
          </w:p>
        </w:tc>
        <w:tc>
          <w:tcPr>
            <w:tcW w:type="dxa" w:w="2880"/>
          </w:tcPr>
          <w:p>
            <w:r>
              <w:rPr>
                <w:b/>
                <w:sz w:val="18"/>
              </w:rPr>
              <w:t>Default rate</w:t>
            </w:r>
          </w:p>
        </w:tc>
      </w:tr>
      <w:tr>
        <w:tc>
          <w:tcPr>
            <w:tcW w:type="dxa" w:w="2880"/>
          </w:tcPr>
          <w:p>
            <w:r>
              <w:rPr>
                <w:sz w:val="18"/>
              </w:rPr>
              <w:t>Censored (term not yet elapsed)</w:t>
            </w:r>
          </w:p>
        </w:tc>
        <w:tc>
          <w:tcPr>
            <w:tcW w:type="dxa" w:w="2880"/>
          </w:tcPr>
          <w:p>
            <w:r>
              <w:rPr>
                <w:sz w:val="18"/>
              </w:rPr>
              <w:t>195,696</w:t>
            </w:r>
          </w:p>
        </w:tc>
        <w:tc>
          <w:tcPr>
            <w:tcW w:type="dxa" w:w="2880"/>
          </w:tcPr>
          <w:p>
            <w:r>
              <w:rPr>
                <w:sz w:val="18"/>
              </w:rPr>
              <w:t>7.77%</w:t>
            </w:r>
          </w:p>
        </w:tc>
      </w:tr>
      <w:tr>
        <w:tc>
          <w:tcPr>
            <w:tcW w:type="dxa" w:w="2880"/>
          </w:tcPr>
          <w:p>
            <w:r>
              <w:rPr>
                <w:sz w:val="18"/>
              </w:rPr>
              <w:t>Fully matured</w:t>
            </w:r>
          </w:p>
        </w:tc>
        <w:tc>
          <w:tcPr>
            <w:tcW w:type="dxa" w:w="2880"/>
          </w:tcPr>
          <w:p>
            <w:r>
              <w:rPr>
                <w:sz w:val="18"/>
              </w:rPr>
              <w:t>652,284</w:t>
            </w:r>
          </w:p>
        </w:tc>
        <w:tc>
          <w:tcPr>
            <w:tcW w:type="dxa" w:w="2880"/>
          </w:tcPr>
          <w:p>
            <w:r>
              <w:rPr>
                <w:sz w:val="18"/>
              </w:rPr>
              <w:t>20.41%</w:t>
            </w:r>
          </w:p>
        </w:tc>
      </w:tr>
    </w:tbl>
    <w:p/>
    <w:p>
      <w:r>
        <w:t>The difference is large enough to dominate any model permitted to infer censoring status. All analysis below uses the 652,284 fully-matured loans. This biases the sample toward shorter terms in later years, which is noted as a limitation in §5.7.</w:t>
      </w:r>
    </w:p>
    <w:p>
      <w:pPr>
        <w:pStyle w:val="Heading2"/>
      </w:pPr>
      <w:r>
        <w:t>5.3 A contaminated predictor</w:t>
      </w:r>
    </w:p>
    <w:p>
      <w:pPr>
        <w:pStyle w:val="Heading3"/>
      </w:pPr>
      <w:r>
        <w:t>5.3.1 How the problem surfaced</w:t>
      </w:r>
    </w:p>
    <w:p>
      <w: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r>
        <w:t xml:space="preserve">Permutation importance showed the model to be, in substance, a function of a single variable: shuffling </w:t>
      </w:r>
      <w:r>
        <w:rPr>
          <w:rFonts w:ascii="Consolas" w:hAnsi="Consolas"/>
          <w:sz w:val="19"/>
        </w:rPr>
        <w:t>term_years</w:t>
      </w:r>
      <w:r>
        <w:t xml:space="preserve"> cost 0.395 AUC, while no other feature cost more than 0.008. Yet </w:t>
      </w:r>
      <w:r>
        <w:rPr>
          <w:rFonts w:ascii="Consolas" w:hAnsi="Consolas"/>
          <w:sz w:val="19"/>
        </w:rPr>
        <w:t>Term</w:t>
      </w:r>
      <w:r>
        <w:t xml:space="preserve"> as a monotone predictor reaches only 0.82. The discrimination was coming from a </w:t>
      </w:r>
      <w:r>
        <w:rPr>
          <w:b/>
        </w:rPr>
        <w:t>non-monotone</w:t>
      </w:r>
      <w:r>
        <w:t xml:space="preserve"> structure in the variable.</w:t>
      </w:r>
    </w:p>
    <w:p>
      <w:pPr>
        <w:pStyle w:val="Heading3"/>
      </w:pPr>
      <w:r>
        <w:t>5.3.2 The structure</w:t>
      </w:r>
    </w:p>
    <w:p>
      <w:r>
        <w:t>Default rates by exact term value, 2007 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8"/>
              </w:rPr>
              <w:t>Term (months)</w:t>
            </w:r>
          </w:p>
        </w:tc>
        <w:tc>
          <w:tcPr>
            <w:tcW w:type="dxa" w:w="2880"/>
          </w:tcPr>
          <w:p>
            <w:r>
              <w:rPr>
                <w:b/>
                <w:sz w:val="18"/>
              </w:rPr>
              <w:t>n</w:t>
            </w:r>
          </w:p>
        </w:tc>
        <w:tc>
          <w:tcPr>
            <w:tcW w:type="dxa" w:w="2880"/>
          </w:tcPr>
          <w:p>
            <w:r>
              <w:rPr>
                <w:b/>
                <w:sz w:val="18"/>
              </w:rPr>
              <w:t>Default rate</w:t>
            </w:r>
          </w:p>
        </w:tc>
      </w:tr>
      <w:tr>
        <w:tc>
          <w:tcPr>
            <w:tcW w:type="dxa" w:w="2880"/>
          </w:tcPr>
          <w:p>
            <w:r>
              <w:rPr>
                <w:sz w:val="18"/>
              </w:rPr>
              <w:t>58</w:t>
            </w:r>
          </w:p>
        </w:tc>
        <w:tc>
          <w:tcPr>
            <w:tcW w:type="dxa" w:w="2880"/>
          </w:tcPr>
          <w:p>
            <w:r>
              <w:rPr>
                <w:sz w:val="18"/>
              </w:rPr>
              <w:t>634</w:t>
            </w:r>
          </w:p>
        </w:tc>
        <w:tc>
          <w:tcPr>
            <w:tcW w:type="dxa" w:w="2880"/>
          </w:tcPr>
          <w:p>
            <w:r>
              <w:rPr>
                <w:sz w:val="18"/>
              </w:rPr>
              <w:t>92.1%</w:t>
            </w:r>
          </w:p>
        </w:tc>
      </w:tr>
      <w:tr>
        <w:tc>
          <w:tcPr>
            <w:tcW w:type="dxa" w:w="2880"/>
          </w:tcPr>
          <w:p>
            <w:r>
              <w:rPr>
                <w:sz w:val="18"/>
              </w:rPr>
              <w:t>59</w:t>
            </w:r>
          </w:p>
        </w:tc>
        <w:tc>
          <w:tcPr>
            <w:tcW w:type="dxa" w:w="2880"/>
          </w:tcPr>
          <w:p>
            <w:r>
              <w:rPr>
                <w:sz w:val="18"/>
              </w:rPr>
              <w:t>663</w:t>
            </w:r>
          </w:p>
        </w:tc>
        <w:tc>
          <w:tcPr>
            <w:tcW w:type="dxa" w:w="2880"/>
          </w:tcPr>
          <w:p>
            <w:r>
              <w:rPr>
                <w:sz w:val="18"/>
              </w:rPr>
              <w:t>86.7%</w:t>
            </w:r>
          </w:p>
        </w:tc>
      </w:tr>
      <w:tr>
        <w:tc>
          <w:tcPr>
            <w:tcW w:type="dxa" w:w="2880"/>
          </w:tcPr>
          <w:p>
            <w:r>
              <w:rPr>
                <w:sz w:val="18"/>
              </w:rPr>
              <w:t>60</w:t>
            </w:r>
          </w:p>
        </w:tc>
        <w:tc>
          <w:tcPr>
            <w:tcW w:type="dxa" w:w="2880"/>
          </w:tcPr>
          <w:p>
            <w:r>
              <w:rPr>
                <w:sz w:val="18"/>
              </w:rPr>
              <w:t>5,040</w:t>
            </w:r>
          </w:p>
        </w:tc>
        <w:tc>
          <w:tcPr>
            <w:tcW w:type="dxa" w:w="2880"/>
          </w:tcPr>
          <w:p>
            <w:r>
              <w:rPr>
                <w:sz w:val="18"/>
              </w:rPr>
              <w:t>11.1%</w:t>
            </w:r>
          </w:p>
        </w:tc>
      </w:tr>
      <w:tr>
        <w:tc>
          <w:tcPr>
            <w:tcW w:type="dxa" w:w="2880"/>
          </w:tcPr>
          <w:p>
            <w:r>
              <w:rPr>
                <w:sz w:val="18"/>
              </w:rPr>
              <w:t>61</w:t>
            </w:r>
          </w:p>
        </w:tc>
        <w:tc>
          <w:tcPr>
            <w:tcW w:type="dxa" w:w="2880"/>
          </w:tcPr>
          <w:p>
            <w:r>
              <w:rPr>
                <w:sz w:val="18"/>
              </w:rPr>
              <w:t>641</w:t>
            </w:r>
          </w:p>
        </w:tc>
        <w:tc>
          <w:tcPr>
            <w:tcW w:type="dxa" w:w="2880"/>
          </w:tcPr>
          <w:p>
            <w:r>
              <w:rPr>
                <w:sz w:val="18"/>
              </w:rPr>
              <w:t>92.2%</w:t>
            </w:r>
          </w:p>
        </w:tc>
      </w:tr>
      <w:tr>
        <w:tc>
          <w:tcPr>
            <w:tcW w:type="dxa" w:w="2880"/>
          </w:tcPr>
          <w:p>
            <w:r>
              <w:rPr>
                <w:sz w:val="18"/>
              </w:rPr>
              <w:t>62</w:t>
            </w:r>
          </w:p>
        </w:tc>
        <w:tc>
          <w:tcPr>
            <w:tcW w:type="dxa" w:w="2880"/>
          </w:tcPr>
          <w:p>
            <w:r>
              <w:rPr>
                <w:sz w:val="18"/>
              </w:rPr>
              <w:t>609</w:t>
            </w:r>
          </w:p>
        </w:tc>
        <w:tc>
          <w:tcPr>
            <w:tcW w:type="dxa" w:w="2880"/>
          </w:tcPr>
          <w:p>
            <w:r>
              <w:rPr>
                <w:sz w:val="18"/>
              </w:rPr>
              <w:t>90.1%</w:t>
            </w:r>
          </w:p>
        </w:tc>
      </w:tr>
      <w:tr>
        <w:tc>
          <w:tcPr>
            <w:tcW w:type="dxa" w:w="2880"/>
          </w:tcPr>
          <w:p>
            <w:r>
              <w:rPr>
                <w:sz w:val="18"/>
              </w:rPr>
              <w:t>63</w:t>
            </w:r>
          </w:p>
        </w:tc>
        <w:tc>
          <w:tcPr>
            <w:tcW w:type="dxa" w:w="2880"/>
          </w:tcPr>
          <w:p>
            <w:r>
              <w:rPr>
                <w:sz w:val="18"/>
              </w:rPr>
              <w:t>674</w:t>
            </w:r>
          </w:p>
        </w:tc>
        <w:tc>
          <w:tcPr>
            <w:tcW w:type="dxa" w:w="2880"/>
          </w:tcPr>
          <w:p>
            <w:r>
              <w:rPr>
                <w:sz w:val="18"/>
              </w:rPr>
              <w:t>81.0%</w:t>
            </w:r>
          </w:p>
        </w:tc>
      </w:tr>
      <w:tr>
        <w:tc>
          <w:tcPr>
            <w:tcW w:type="dxa" w:w="2880"/>
          </w:tcPr>
          <w:p>
            <w:r>
              <w:rPr>
                <w:sz w:val="18"/>
              </w:rPr>
              <w:t>64</w:t>
            </w:r>
          </w:p>
        </w:tc>
        <w:tc>
          <w:tcPr>
            <w:tcW w:type="dxa" w:w="2880"/>
          </w:tcPr>
          <w:p>
            <w:r>
              <w:rPr>
                <w:sz w:val="18"/>
              </w:rPr>
              <w:t>596</w:t>
            </w:r>
          </w:p>
        </w:tc>
        <w:tc>
          <w:tcPr>
            <w:tcW w:type="dxa" w:w="2880"/>
          </w:tcPr>
          <w:p>
            <w:r>
              <w:rPr>
                <w:sz w:val="18"/>
              </w:rPr>
              <w:t>88.1%</w:t>
            </w:r>
          </w:p>
        </w:tc>
      </w:tr>
    </w:tbl>
    <w:p/>
    <w:p>
      <w:r>
        <w:t>A one-month difference in contractual term cannot produce an eight-fold change in default rate. Sixty months is not economically distinct from fifty-nine.</w:t>
      </w:r>
    </w:p>
    <w:p>
      <w:r>
        <w:t>The pattern is roundness. Across the 1990–2010 cohort:</w:t>
      </w:r>
    </w:p>
    <w:p>
      <w:pPr>
        <w:pStyle w:val="ListBullet"/>
      </w:pPr>
      <w:r>
        <w:rPr>
          <w:b/>
        </w:rPr>
        <w:t>86.4%</w:t>
      </w:r>
      <w:r>
        <w:t xml:space="preserve"> of repaid loans have a term that is an exact multiple of twelve</w:t>
      </w:r>
    </w:p>
    <w:p>
      <w:pPr>
        <w:pStyle w:val="ListBullet"/>
      </w:pPr>
      <w:r>
        <w:rPr>
          <w:b/>
        </w:rPr>
        <w:t>8.5%</w:t>
      </w:r>
      <w:r>
        <w:t xml:space="preserve"> of charged-off loans do</w:t>
      </w:r>
    </w:p>
    <w:p>
      <w:pPr>
        <w:pStyle w:val="ListBullet"/>
      </w:pPr>
      <w:r>
        <w:t xml:space="preserve">Charged-off loans are distributed almost uniformly across </w:t>
      </w:r>
      <w:r>
        <w:rPr>
          <w:rFonts w:ascii="Consolas" w:hAnsi="Consolas"/>
          <w:sz w:val="19"/>
        </w:rPr>
        <w:t>Term mod 12</w:t>
      </w:r>
    </w:p>
    <w:p>
      <w:r>
        <w:t>(7.7%–9.0% in each of the twelve residues, against 86.4% at residue zero for repaid loans)</w:t>
      </w:r>
    </w:p>
    <w:p>
      <w:r>
        <w:t xml:space="preserve">The single boolean *"is the term a multiple of twelve"* — a quantity with no economic content whatsoever — achieves </w:t>
      </w:r>
      <w:r>
        <w:rPr>
          <w:b/>
        </w:rPr>
        <w:t>AUC 0.8894</w:t>
      </w:r>
      <w:r>
        <w:t>.</w:t>
      </w:r>
    </w:p>
    <w:p>
      <w:pPr>
        <w:pStyle w:val="Heading3"/>
      </w:pPr>
      <w:r>
        <w:t>5.3.3 Ruling out cohort composition</w:t>
      </w:r>
    </w:p>
    <w:p>
      <w:r>
        <w:t>Irregular-term loans became more common over the period, and so did defaults, so the association might be an artefact of pooling cohorts. It is not. Computed within each approval year separately: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Year</w:t>
            </w:r>
          </w:p>
        </w:tc>
        <w:tc>
          <w:tcPr>
            <w:tcW w:type="dxa" w:w="1728"/>
          </w:tcPr>
          <w:p>
            <w:r>
              <w:rPr>
                <w:b/>
                <w:sz w:val="18"/>
              </w:rPr>
              <w:t>n</w:t>
            </w:r>
          </w:p>
        </w:tc>
        <w:tc>
          <w:tcPr>
            <w:tcW w:type="dxa" w:w="1728"/>
          </w:tcPr>
          <w:p>
            <w:r>
              <w:rPr>
                <w:b/>
                <w:sz w:val="18"/>
              </w:rPr>
              <w:t>Default, round term</w:t>
            </w:r>
          </w:p>
        </w:tc>
        <w:tc>
          <w:tcPr>
            <w:tcW w:type="dxa" w:w="1728"/>
          </w:tcPr>
          <w:p>
            <w:r>
              <w:rPr>
                <w:b/>
                <w:sz w:val="18"/>
              </w:rPr>
              <w:t>Default, irregular term</w:t>
            </w:r>
          </w:p>
        </w:tc>
        <w:tc>
          <w:tcPr>
            <w:tcW w:type="dxa" w:w="1728"/>
          </w:tcPr>
          <w:p>
            <w:r>
              <w:rPr>
                <w:b/>
                <w:sz w:val="18"/>
              </w:rPr>
              <w:t>AUC</w:t>
            </w:r>
          </w:p>
        </w:tc>
      </w:tr>
      <w:tr>
        <w:tc>
          <w:tcPr>
            <w:tcW w:type="dxa" w:w="1728"/>
          </w:tcPr>
          <w:p>
            <w:r>
              <w:rPr>
                <w:sz w:val="18"/>
              </w:rPr>
              <w:t>1990</w:t>
            </w:r>
          </w:p>
        </w:tc>
        <w:tc>
          <w:tcPr>
            <w:tcW w:type="dxa" w:w="1728"/>
          </w:tcPr>
          <w:p>
            <w:r>
              <w:rPr>
                <w:sz w:val="18"/>
              </w:rPr>
              <w:t>14,859</w:t>
            </w:r>
          </w:p>
        </w:tc>
        <w:tc>
          <w:tcPr>
            <w:tcW w:type="dxa" w:w="1728"/>
          </w:tcPr>
          <w:p>
            <w:r>
              <w:rPr>
                <w:sz w:val="18"/>
              </w:rPr>
              <w:t>0.6%</w:t>
            </w:r>
          </w:p>
        </w:tc>
        <w:tc>
          <w:tcPr>
            <w:tcW w:type="dxa" w:w="1728"/>
          </w:tcPr>
          <w:p>
            <w:r>
              <w:rPr>
                <w:sz w:val="18"/>
              </w:rPr>
              <w:t>19.2%</w:t>
            </w:r>
          </w:p>
        </w:tc>
        <w:tc>
          <w:tcPr>
            <w:tcW w:type="dxa" w:w="1728"/>
          </w:tcPr>
          <w:p>
            <w:r>
              <w:rPr>
                <w:sz w:val="18"/>
              </w:rPr>
              <w:t>0.859</w:t>
            </w:r>
          </w:p>
        </w:tc>
      </w:tr>
      <w:tr>
        <w:tc>
          <w:tcPr>
            <w:tcW w:type="dxa" w:w="1728"/>
          </w:tcPr>
          <w:p>
            <w:r>
              <w:rPr>
                <w:sz w:val="18"/>
              </w:rPr>
              <w:t>1993</w:t>
            </w:r>
          </w:p>
        </w:tc>
        <w:tc>
          <w:tcPr>
            <w:tcW w:type="dxa" w:w="1728"/>
          </w:tcPr>
          <w:p>
            <w:r>
              <w:rPr>
                <w:sz w:val="18"/>
              </w:rPr>
              <w:t>23,299</w:t>
            </w:r>
          </w:p>
        </w:tc>
        <w:tc>
          <w:tcPr>
            <w:tcW w:type="dxa" w:w="1728"/>
          </w:tcPr>
          <w:p>
            <w:r>
              <w:rPr>
                <w:sz w:val="18"/>
              </w:rPr>
              <w:t>0.2%</w:t>
            </w:r>
          </w:p>
        </w:tc>
        <w:tc>
          <w:tcPr>
            <w:tcW w:type="dxa" w:w="1728"/>
          </w:tcPr>
          <w:p>
            <w:r>
              <w:rPr>
                <w:sz w:val="18"/>
              </w:rPr>
              <w:t>11.2%</w:t>
            </w:r>
          </w:p>
        </w:tc>
        <w:tc>
          <w:tcPr>
            <w:tcW w:type="dxa" w:w="1728"/>
          </w:tcPr>
          <w:p>
            <w:r>
              <w:rPr>
                <w:sz w:val="18"/>
              </w:rPr>
              <w:t>0.885</w:t>
            </w:r>
          </w:p>
        </w:tc>
      </w:tr>
      <w:tr>
        <w:tc>
          <w:tcPr>
            <w:tcW w:type="dxa" w:w="1728"/>
          </w:tcPr>
          <w:p>
            <w:r>
              <w:rPr>
                <w:sz w:val="18"/>
              </w:rPr>
              <w:t>1997</w:t>
            </w:r>
          </w:p>
        </w:tc>
        <w:tc>
          <w:tcPr>
            <w:tcW w:type="dxa" w:w="1728"/>
          </w:tcPr>
          <w:p>
            <w:r>
              <w:rPr>
                <w:sz w:val="18"/>
              </w:rPr>
              <w:t>37,718</w:t>
            </w:r>
          </w:p>
        </w:tc>
        <w:tc>
          <w:tcPr>
            <w:tcW w:type="dxa" w:w="1728"/>
          </w:tcPr>
          <w:p>
            <w:r>
              <w:rPr>
                <w:sz w:val="18"/>
              </w:rPr>
              <w:t>0.6%</w:t>
            </w:r>
          </w:p>
        </w:tc>
        <w:tc>
          <w:tcPr>
            <w:tcW w:type="dxa" w:w="1728"/>
          </w:tcPr>
          <w:p>
            <w:r>
              <w:rPr>
                <w:sz w:val="18"/>
              </w:rPr>
              <w:t>29.8%</w:t>
            </w:r>
          </w:p>
        </w:tc>
        <w:tc>
          <w:tcPr>
            <w:tcW w:type="dxa" w:w="1728"/>
          </w:tcPr>
          <w:p>
            <w:r>
              <w:rPr>
                <w:sz w:val="18"/>
              </w:rPr>
              <w:t>0.888</w:t>
            </w:r>
          </w:p>
        </w:tc>
      </w:tr>
      <w:tr>
        <w:tc>
          <w:tcPr>
            <w:tcW w:type="dxa" w:w="1728"/>
          </w:tcPr>
          <w:p>
            <w:r>
              <w:rPr>
                <w:sz w:val="18"/>
              </w:rPr>
              <w:t>2000</w:t>
            </w:r>
          </w:p>
        </w:tc>
        <w:tc>
          <w:tcPr>
            <w:tcW w:type="dxa" w:w="1728"/>
          </w:tcPr>
          <w:p>
            <w:r>
              <w:rPr>
                <w:sz w:val="18"/>
              </w:rPr>
              <w:t>37,352</w:t>
            </w:r>
          </w:p>
        </w:tc>
        <w:tc>
          <w:tcPr>
            <w:tcW w:type="dxa" w:w="1728"/>
          </w:tcPr>
          <w:p>
            <w:r>
              <w:rPr>
                <w:sz w:val="18"/>
              </w:rPr>
              <w:t>1.4%</w:t>
            </w:r>
          </w:p>
        </w:tc>
        <w:tc>
          <w:tcPr>
            <w:tcW w:type="dxa" w:w="1728"/>
          </w:tcPr>
          <w:p>
            <w:r>
              <w:rPr>
                <w:sz w:val="18"/>
              </w:rPr>
              <w:t>42.0%</w:t>
            </w:r>
          </w:p>
        </w:tc>
        <w:tc>
          <w:tcPr>
            <w:tcW w:type="dxa" w:w="1728"/>
          </w:tcPr>
          <w:p>
            <w:r>
              <w:rPr>
                <w:sz w:val="18"/>
              </w:rPr>
              <w:t>0.874</w:t>
            </w:r>
          </w:p>
        </w:tc>
      </w:tr>
      <w:tr>
        <w:tc>
          <w:tcPr>
            <w:tcW w:type="dxa" w:w="1728"/>
          </w:tcPr>
          <w:p>
            <w:r>
              <w:rPr>
                <w:sz w:val="18"/>
              </w:rPr>
              <w:t>2003</w:t>
            </w:r>
          </w:p>
        </w:tc>
        <w:tc>
          <w:tcPr>
            <w:tcW w:type="dxa" w:w="1728"/>
          </w:tcPr>
          <w:p>
            <w:r>
              <w:rPr>
                <w:sz w:val="18"/>
              </w:rPr>
              <w:t>58,000</w:t>
            </w:r>
          </w:p>
        </w:tc>
        <w:tc>
          <w:tcPr>
            <w:tcW w:type="dxa" w:w="1728"/>
          </w:tcPr>
          <w:p>
            <w:r>
              <w:rPr>
                <w:sz w:val="18"/>
              </w:rPr>
              <w:t>1.6%</w:t>
            </w:r>
          </w:p>
        </w:tc>
        <w:tc>
          <w:tcPr>
            <w:tcW w:type="dxa" w:w="1728"/>
          </w:tcPr>
          <w:p>
            <w:r>
              <w:rPr>
                <w:sz w:val="18"/>
              </w:rPr>
              <w:t>54.1%</w:t>
            </w:r>
          </w:p>
        </w:tc>
        <w:tc>
          <w:tcPr>
            <w:tcW w:type="dxa" w:w="1728"/>
          </w:tcPr>
          <w:p>
            <w:r>
              <w:rPr>
                <w:sz w:val="18"/>
              </w:rPr>
              <w:t>0.893</w:t>
            </w:r>
          </w:p>
        </w:tc>
      </w:tr>
      <w:tr>
        <w:tc>
          <w:tcPr>
            <w:tcW w:type="dxa" w:w="1728"/>
          </w:tcPr>
          <w:p>
            <w:r>
              <w:rPr>
                <w:sz w:val="18"/>
              </w:rPr>
              <w:t>2006</w:t>
            </w:r>
          </w:p>
        </w:tc>
        <w:tc>
          <w:tcPr>
            <w:tcW w:type="dxa" w:w="1728"/>
          </w:tcPr>
          <w:p>
            <w:r>
              <w:rPr>
                <w:sz w:val="18"/>
              </w:rPr>
              <w:t>75,756</w:t>
            </w:r>
          </w:p>
        </w:tc>
        <w:tc>
          <w:tcPr>
            <w:tcW w:type="dxa" w:w="1728"/>
          </w:tcPr>
          <w:p>
            <w:r>
              <w:rPr>
                <w:sz w:val="18"/>
              </w:rPr>
              <w:t>4.9%</w:t>
            </w:r>
          </w:p>
        </w:tc>
        <w:tc>
          <w:tcPr>
            <w:tcW w:type="dxa" w:w="1728"/>
          </w:tcPr>
          <w:p>
            <w:r>
              <w:rPr>
                <w:sz w:val="18"/>
              </w:rPr>
              <w:t>80.8%</w:t>
            </w:r>
          </w:p>
        </w:tc>
        <w:tc>
          <w:tcPr>
            <w:tcW w:type="dxa" w:w="1728"/>
          </w:tcPr>
          <w:p>
            <w:r>
              <w:rPr>
                <w:sz w:val="18"/>
              </w:rPr>
              <w:t>0.900</w:t>
            </w:r>
          </w:p>
        </w:tc>
      </w:tr>
      <w:tr>
        <w:tc>
          <w:tcPr>
            <w:tcW w:type="dxa" w:w="1728"/>
          </w:tcPr>
          <w:p>
            <w:r>
              <w:rPr>
                <w:sz w:val="18"/>
              </w:rPr>
              <w:t>2007</w:t>
            </w:r>
          </w:p>
        </w:tc>
        <w:tc>
          <w:tcPr>
            <w:tcW w:type="dxa" w:w="1728"/>
          </w:tcPr>
          <w:p>
            <w:r>
              <w:rPr>
                <w:sz w:val="18"/>
              </w:rPr>
              <w:t>71,649</w:t>
            </w:r>
          </w:p>
        </w:tc>
        <w:tc>
          <w:tcPr>
            <w:tcW w:type="dxa" w:w="1728"/>
          </w:tcPr>
          <w:p>
            <w:r>
              <w:rPr>
                <w:sz w:val="18"/>
              </w:rPr>
              <w:t>6.7%</w:t>
            </w:r>
          </w:p>
        </w:tc>
        <w:tc>
          <w:tcPr>
            <w:tcW w:type="dxa" w:w="1728"/>
          </w:tcPr>
          <w:p>
            <w:r>
              <w:rPr>
                <w:sz w:val="18"/>
              </w:rPr>
              <w:t>85.5%</w:t>
            </w:r>
          </w:p>
        </w:tc>
        <w:tc>
          <w:tcPr>
            <w:tcW w:type="dxa" w:w="1728"/>
          </w:tcPr>
          <w:p>
            <w:r>
              <w:rPr>
                <w:sz w:val="18"/>
              </w:rPr>
              <w:t>0.899</w:t>
            </w:r>
          </w:p>
        </w:tc>
      </w:tr>
      <w:tr>
        <w:tc>
          <w:tcPr>
            <w:tcW w:type="dxa" w:w="1728"/>
          </w:tcPr>
          <w:p>
            <w:r>
              <w:rPr>
                <w:sz w:val="18"/>
              </w:rPr>
              <w:t>2008</w:t>
            </w:r>
          </w:p>
        </w:tc>
        <w:tc>
          <w:tcPr>
            <w:tcW w:type="dxa" w:w="1728"/>
          </w:tcPr>
          <w:p>
            <w:r>
              <w:rPr>
                <w:sz w:val="18"/>
              </w:rPr>
              <w:t>39,458</w:t>
            </w:r>
          </w:p>
        </w:tc>
        <w:tc>
          <w:tcPr>
            <w:tcW w:type="dxa" w:w="1728"/>
          </w:tcPr>
          <w:p>
            <w:r>
              <w:rPr>
                <w:sz w:val="18"/>
              </w:rPr>
              <w:t>6.4%</w:t>
            </w:r>
          </w:p>
        </w:tc>
        <w:tc>
          <w:tcPr>
            <w:tcW w:type="dxa" w:w="1728"/>
          </w:tcPr>
          <w:p>
            <w:r>
              <w:rPr>
                <w:sz w:val="18"/>
              </w:rPr>
              <w:t>84.4%</w:t>
            </w:r>
          </w:p>
        </w:tc>
        <w:tc>
          <w:tcPr>
            <w:tcW w:type="dxa" w:w="1728"/>
          </w:tcPr>
          <w:p>
            <w:r>
              <w:rPr>
                <w:sz w:val="18"/>
              </w:rPr>
              <w:t>0.898</w:t>
            </w:r>
          </w:p>
        </w:tc>
      </w:tr>
    </w:tbl>
    <w:p/>
    <w:p>
      <w:r>
        <w:t>The association holds in every year, within a band of 0.859–0.900. Cohort composition is excluded.</w:t>
      </w:r>
    </w:p>
    <w:p>
      <w:pPr>
        <w:pStyle w:val="Heading3"/>
      </w:pPr>
      <w:r>
        <w:t>5.3.4 The mechanism is not established</w:t>
      </w:r>
    </w:p>
    <w:p>
      <w:r>
        <w:t xml:space="preserve">The obvious explanation is that </w:t>
      </w:r>
      <w:r>
        <w:rPr>
          <w:rFonts w:ascii="Consolas" w:hAnsi="Consolas"/>
          <w:sz w:val="19"/>
        </w:rPr>
        <w:t>Term</w:t>
      </w:r>
      <w:r>
        <w:t xml:space="preserve"> for defaulted loans has been overwritten with elapsed time to charge-off. </w:t>
      </w:r>
      <w:r>
        <w:rPr>
          <w:b/>
        </w:rPr>
        <w:t>This was tested and rejected.</w:t>
      </w:r>
      <w:r>
        <w:t xml:space="preserve"> Among 156,266 charged-off loans with both disbursement and charge-off dates:</w:t>
      </w:r>
    </w:p>
    <w:p>
      <w:pPr>
        <w:pStyle w:val="ListBullet"/>
      </w:pPr>
      <w:r>
        <w:t xml:space="preserve">correlation between </w:t>
      </w:r>
      <w:r>
        <w:rPr>
          <w:rFonts w:ascii="Consolas" w:hAnsi="Consolas"/>
          <w:sz w:val="19"/>
        </w:rPr>
        <w:t>Term</w:t>
      </w:r>
      <w:r>
        <w:t xml:space="preserve"> and actual months to charge-off: </w:t>
      </w:r>
      <w:r>
        <w:rPr>
          <w:b/>
        </w:rPr>
        <w:t>0.043</w:t>
      </w:r>
    </w:p>
    <w:p>
      <w:pPr>
        <w:pStyle w:val="ListBullet"/>
      </w:pPr>
      <w:r>
        <w:t xml:space="preserve">proportion matching within ±3 months: </w:t>
      </w:r>
      <w:r>
        <w:rPr>
          <w:b/>
        </w:rPr>
        <w:t>5.0%</w:t>
      </w:r>
    </w:p>
    <w:p>
      <w:r>
        <w:rPr>
          <w:rFonts w:ascii="Consolas" w:hAnsi="Consolas"/>
          <w:sz w:val="19"/>
        </w:rPr>
        <w:t>Term</w:t>
      </w:r>
      <w:r>
        <w:t xml:space="preserve"> is not survival time. Whether the value is rewritten on restructuring, recomputed under some servicing convention, or introduced when this derivative file was assembled cannot be determined from the data.</w:t>
      </w:r>
    </w:p>
    <w:p>
      <w:r>
        <w:t xml:space="preserve">The dataset codebook documents </w:t>
      </w:r>
      <w:r>
        <w:rPr>
          <w:rFonts w:ascii="Consolas" w:hAnsi="Consolas"/>
          <w:sz w:val="19"/>
        </w:rPr>
        <w:t>Term</w:t>
      </w:r>
      <w:r>
        <w:t xml:space="preserve"> as "loan term in months" — the contractual term. The observed distribution is not consistent with that definition for charged-off loans. </w:t>
      </w:r>
      <w:r>
        <w:rPr>
          <w:b/>
        </w:rPr>
        <w:t>The contamination is established; its cause is not.</w:t>
      </w:r>
      <w:r>
        <w:t xml:space="preserve"> This study reports it accordingly and does not assert a mechanism it has not demonstrated.</w:t>
      </w:r>
    </w:p>
    <w:p>
      <w:pPr>
        <w:pStyle w:val="Heading2"/>
      </w:pPr>
      <w:r>
        <w:t>5.4 Consequences for reported performance</w:t>
      </w:r>
    </w:p>
    <w:p>
      <w:r>
        <w:t xml:space="preserve">Two model specifications were run. The </w:t>
      </w:r>
      <w:r>
        <w:rPr>
          <w:b/>
        </w:rPr>
        <w:t>clean</w:t>
      </w:r>
      <w:r>
        <w:t xml:space="preserve"> specification excludes </w:t>
      </w:r>
      <w:r>
        <w:rPr>
          <w:rFonts w:ascii="Consolas" w:hAnsi="Consolas"/>
          <w:sz w:val="19"/>
        </w:rPr>
        <w:t>Term</w:t>
      </w:r>
      <w:r>
        <w:t xml:space="preserve"> and every feature derived from it; the </w:t>
      </w:r>
      <w:r>
        <w:rPr>
          <w:b/>
        </w:rPr>
        <w:t>contaminated</w:t>
      </w:r>
      <w:r>
        <w:t xml:space="preserve"> specification adds them back, solely to quantify the inflation.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Model</w:t>
            </w:r>
          </w:p>
        </w:tc>
        <w:tc>
          <w:tcPr>
            <w:tcW w:type="dxa" w:w="2160"/>
          </w:tcPr>
          <w:p>
            <w:r>
              <w:rPr>
                <w:b/>
                <w:sz w:val="18"/>
              </w:rPr>
              <w:t>Fitted</w:t>
            </w:r>
          </w:p>
        </w:tc>
        <w:tc>
          <w:tcPr>
            <w:tcW w:type="dxa" w:w="2160"/>
          </w:tcPr>
          <w:p>
            <w:r>
              <w:rPr>
                <w:b/>
                <w:sz w:val="18"/>
              </w:rPr>
              <w:t>Random AUC</w:t>
            </w:r>
          </w:p>
        </w:tc>
        <w:tc>
          <w:tcPr>
            <w:tcW w:type="dxa" w:w="2160"/>
          </w:tcPr>
          <w:p>
            <w:r>
              <w:rPr>
                <w:b/>
                <w:sz w:val="18"/>
              </w:rPr>
              <w:t>Temporal AUC</w:t>
            </w:r>
          </w:p>
        </w:tc>
      </w:tr>
      <w:tr>
        <w:tc>
          <w:tcPr>
            <w:tcW w:type="dxa" w:w="2160"/>
          </w:tcPr>
          <w:p>
            <w:r>
              <w:rPr>
                <w:sz w:val="18"/>
              </w:rPr>
              <w:t>Clean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Expert scorecard</w:t>
            </w:r>
          </w:p>
        </w:tc>
        <w:tc>
          <w:tcPr>
            <w:tcW w:type="dxa" w:w="2160"/>
          </w:tcPr>
          <w:p>
            <w:r>
              <w:rPr>
                <w:sz w:val="18"/>
              </w:rPr>
              <w:t>no</w:t>
            </w:r>
          </w:p>
        </w:tc>
        <w:tc>
          <w:tcPr>
            <w:tcW w:type="dxa" w:w="2160"/>
          </w:tcPr>
          <w:p>
            <w:r>
              <w:rPr>
                <w:sz w:val="18"/>
              </w:rPr>
              <w:t>0.4144</w:t>
            </w:r>
          </w:p>
        </w:tc>
        <w:tc>
          <w:tcPr>
            <w:tcW w:type="dxa" w:w="2160"/>
          </w:tcPr>
          <w:p>
            <w:r>
              <w:rPr>
                <w:sz w:val="18"/>
              </w:rPr>
              <w:t>0.5275</w:t>
            </w:r>
          </w:p>
        </w:tc>
      </w:tr>
      <w:tr>
        <w:tc>
          <w:tcPr>
            <w:tcW w:type="dxa" w:w="2160"/>
          </w:tcPr>
          <w:p>
            <w:r>
              <w:rPr>
                <w:sz w:val="18"/>
              </w:rPr>
              <w:t>Logistic regression</w:t>
            </w:r>
          </w:p>
        </w:tc>
        <w:tc>
          <w:tcPr>
            <w:tcW w:type="dxa" w:w="2160"/>
          </w:tcPr>
          <w:p>
            <w:r>
              <w:rPr>
                <w:sz w:val="18"/>
              </w:rPr>
              <w:t>yes</w:t>
            </w:r>
          </w:p>
        </w:tc>
        <w:tc>
          <w:tcPr>
            <w:tcW w:type="dxa" w:w="2160"/>
          </w:tcPr>
          <w:p>
            <w:r>
              <w:rPr>
                <w:sz w:val="18"/>
              </w:rPr>
              <w:t>0.6745</w:t>
            </w:r>
          </w:p>
        </w:tc>
        <w:tc>
          <w:tcPr>
            <w:tcW w:type="dxa" w:w="2160"/>
          </w:tcPr>
          <w:p>
            <w:r>
              <w:rPr>
                <w:sz w:val="18"/>
              </w:rPr>
              <w:t>0.4565</w:t>
            </w:r>
          </w:p>
        </w:tc>
      </w:tr>
      <w:tr>
        <w:tc>
          <w:tcPr>
            <w:tcW w:type="dxa" w:w="2160"/>
          </w:tcPr>
          <w:p>
            <w:r>
              <w:rPr>
                <w:sz w:val="18"/>
              </w:rPr>
              <w:t>Gradient boosting</w:t>
            </w:r>
          </w:p>
        </w:tc>
        <w:tc>
          <w:tcPr>
            <w:tcW w:type="dxa" w:w="2160"/>
          </w:tcPr>
          <w:p>
            <w:r>
              <w:rPr>
                <w:sz w:val="18"/>
              </w:rPr>
              <w:t>yes</w:t>
            </w:r>
          </w:p>
        </w:tc>
        <w:tc>
          <w:tcPr>
            <w:tcW w:type="dxa" w:w="2160"/>
          </w:tcPr>
          <w:p>
            <w:r>
              <w:rPr>
                <w:sz w:val="18"/>
              </w:rPr>
              <w:t>0.7898</w:t>
            </w:r>
          </w:p>
        </w:tc>
        <w:tc>
          <w:tcPr>
            <w:tcW w:type="dxa" w:w="2160"/>
          </w:tcPr>
          <w:p>
            <w:r>
              <w:rPr>
                <w:sz w:val="18"/>
              </w:rPr>
              <w:t>0.6076</w:t>
            </w:r>
          </w:p>
        </w:tc>
      </w:tr>
      <w:tr>
        <w:tc>
          <w:tcPr>
            <w:tcW w:type="dxa" w:w="2160"/>
          </w:tcPr>
          <w:p>
            <w:r>
              <w:rPr>
                <w:sz w:val="18"/>
              </w:rPr>
              <w:t>Contaminated specification</w:t>
            </w:r>
          </w:p>
        </w:tc>
        <w:tc>
          <w:tcPr>
            <w:tcW w:type="dxa" w:w="2160"/>
          </w:tcPr>
          <w:p>
            <w:r>
              <w:rPr>
                <w:sz w:val="18"/>
              </w:rPr>
            </w:r>
          </w:p>
        </w:tc>
        <w:tc>
          <w:tcPr>
            <w:tcW w:type="dxa" w:w="2160"/>
          </w:tcPr>
          <w:p>
            <w:r>
              <w:rPr>
                <w:sz w:val="18"/>
              </w:rPr>
            </w:r>
          </w:p>
        </w:tc>
        <w:tc>
          <w:tcPr>
            <w:tcW w:type="dxa" w:w="2160"/>
          </w:tcPr>
          <w:p>
            <w:r>
              <w:rPr>
                <w:sz w:val="18"/>
              </w:rPr>
            </w:r>
          </w:p>
        </w:tc>
      </w:tr>
      <w:tr>
        <w:tc>
          <w:tcPr>
            <w:tcW w:type="dxa" w:w="2160"/>
          </w:tcPr>
          <w:p>
            <w:r>
              <w:rPr>
                <w:sz w:val="18"/>
              </w:rPr>
              <w:t>Logistic regression</w:t>
            </w:r>
          </w:p>
        </w:tc>
        <w:tc>
          <w:tcPr>
            <w:tcW w:type="dxa" w:w="2160"/>
          </w:tcPr>
          <w:p>
            <w:r>
              <w:rPr>
                <w:sz w:val="18"/>
              </w:rPr>
              <w:t>yes</w:t>
            </w:r>
          </w:p>
        </w:tc>
        <w:tc>
          <w:tcPr>
            <w:tcW w:type="dxa" w:w="2160"/>
          </w:tcPr>
          <w:p>
            <w:r>
              <w:rPr>
                <w:sz w:val="18"/>
              </w:rPr>
              <w:t>0.8452</w:t>
            </w:r>
          </w:p>
        </w:tc>
        <w:tc>
          <w:tcPr>
            <w:tcW w:type="dxa" w:w="2160"/>
          </w:tcPr>
          <w:p>
            <w:r>
              <w:rPr>
                <w:sz w:val="18"/>
              </w:rPr>
              <w:t>0.7854</w:t>
            </w:r>
          </w:p>
        </w:tc>
      </w:tr>
      <w:tr>
        <w:tc>
          <w:tcPr>
            <w:tcW w:type="dxa" w:w="2160"/>
          </w:tcPr>
          <w:p>
            <w:r>
              <w:rPr>
                <w:sz w:val="18"/>
              </w:rPr>
              <w:t>Gradient boosting</w:t>
            </w:r>
          </w:p>
        </w:tc>
        <w:tc>
          <w:tcPr>
            <w:tcW w:type="dxa" w:w="2160"/>
          </w:tcPr>
          <w:p>
            <w:r>
              <w:rPr>
                <w:sz w:val="18"/>
              </w:rPr>
              <w:t>yes</w:t>
            </w:r>
          </w:p>
        </w:tc>
        <w:tc>
          <w:tcPr>
            <w:tcW w:type="dxa" w:w="2160"/>
          </w:tcPr>
          <w:p>
            <w:r>
              <w:rPr>
                <w:sz w:val="18"/>
              </w:rPr>
              <w:t>0.9726</w:t>
            </w:r>
          </w:p>
        </w:tc>
        <w:tc>
          <w:tcPr>
            <w:tcW w:type="dxa" w:w="2160"/>
          </w:tcPr>
          <w:p>
            <w:r>
              <w:rPr>
                <w:sz w:val="18"/>
              </w:rPr>
              <w:t>0.9461</w:t>
            </w:r>
          </w:p>
        </w:tc>
      </w:tr>
      <w:tr>
        <w:tc>
          <w:tcPr>
            <w:tcW w:type="dxa" w:w="2160"/>
          </w:tcPr>
          <w:p>
            <w:r>
              <w:rPr>
                <w:sz w:val="18"/>
              </w:rPr>
              <w:t>Term-roundness probe</w:t>
            </w:r>
          </w:p>
        </w:tc>
        <w:tc>
          <w:tcPr>
            <w:tcW w:type="dxa" w:w="2160"/>
          </w:tcPr>
          <w:p>
            <w:r>
              <w:rPr>
                <w:sz w:val="18"/>
              </w:rPr>
              <w:t>no</w:t>
            </w:r>
          </w:p>
        </w:tc>
        <w:tc>
          <w:tcPr>
            <w:tcW w:type="dxa" w:w="2160"/>
          </w:tcPr>
          <w:p>
            <w:r>
              <w:rPr>
                <w:sz w:val="18"/>
              </w:rPr>
              <w:t>0.8870</w:t>
            </w:r>
          </w:p>
        </w:tc>
        <w:tc>
          <w:tcPr>
            <w:tcW w:type="dxa" w:w="2160"/>
          </w:tcPr>
          <w:p>
            <w:r>
              <w:rPr>
                <w:sz w:val="18"/>
              </w:rPr>
              <w:t>0.8965</w:t>
            </w:r>
          </w:p>
        </w:tc>
      </w:tr>
    </w:tbl>
    <w:p/>
    <w:p>
      <w:r>
        <w:t>Three observations.</w:t>
      </w:r>
    </w:p>
    <w:p>
      <w:r>
        <w:rPr>
          <w:b/>
        </w:rPr>
        <w:t>The inflation is severe.</w:t>
      </w:r>
      <w:r>
        <w:t xml:space="preserve"> Gradient boosting rises from 0.6076 to 0.9461 on temporal validation — </w:t>
      </w:r>
      <w:r>
        <w:rPr>
          <w:b/>
        </w:rPr>
        <w:t>0.339 AUC</w:t>
      </w:r>
      <w:r>
        <w:t xml:space="preserve"> obtained from a contaminated field.</w:t>
      </w:r>
    </w:p>
    <w:p>
      <w:r>
        <w:rPr>
          <w:b/>
        </w:rPr>
        <w:t>The probe bounds the artefact.</w:t>
      </w:r>
      <w:r>
        <w:t xml:space="preserve"> A single boolean with no economic meaning reaches 0.8870 and 0.8965. Any model on this dataset scoring in that region, having been given </w:t>
      </w:r>
      <w:r>
        <w:rPr>
          <w:rFonts w:ascii="Consolas" w:hAnsi="Consolas"/>
          <w:sz w:val="19"/>
        </w:rPr>
        <w:t>Term</w:t>
      </w:r>
      <w:r>
        <w:t>, is largely reproducing the artefact.</w:t>
      </w:r>
    </w:p>
    <w:p>
      <w:r>
        <w:rPr>
          <w:b/>
        </w:rPr>
        <w:t>Tree models are more exposed than linear ones.</w:t>
      </w:r>
      <w:r>
        <w:t xml:space="preserve"> Logistic regression, monotone in term, gains 0.33 AUC from contamination; gradient boosting, free to split on exact values, gains more and reaches further. Published results on this dataset using tree ensembles with </w:t>
      </w:r>
      <w:r>
        <w:rPr>
          <w:rFonts w:ascii="Consolas" w:hAnsi="Consolas"/>
          <w:sz w:val="19"/>
        </w:rPr>
        <w:t>Term</w:t>
      </w:r>
      <w:r>
        <w:t xml:space="preserve"> should be read with this in mind.</w:t>
      </w:r>
    </w:p>
    <w:p>
      <w:pPr>
        <w:pStyle w:val="Heading2"/>
      </w:pPr>
      <w:r>
        <w:t>5.5 Validation protocol matters independently</w:t>
      </w:r>
    </w:p>
    <w:p>
      <w:r>
        <w:t xml:space="preserve">Under the clean specification, gradient boosting scores 0.7898 on a random split and 0.6076 on a temporal split — a gap of </w:t>
      </w:r>
      <w:r>
        <w:rPr>
          <w:b/>
        </w:rPr>
        <w:t>0.182 AUC</w:t>
      </w:r>
      <w:r>
        <w:t>. Random splitting places loans from the same economic cycle in both training and test sets, so the model is partly recalling conditions rather than generalising to unseen ones.</w:t>
      </w:r>
    </w:p>
    <w:p>
      <w: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b/>
        </w:rPr>
        <w:t>a linear scorecard fitted to a benign cycle can rank borrowers backwards in a stressed one.</w:t>
      </w:r>
    </w:p>
    <w:p>
      <w:pPr>
        <w:pStyle w:val="Heading2"/>
      </w:pPr>
      <w:r>
        <w:t>5.6 The expert scorecard: a negative result</w:t>
      </w:r>
    </w:p>
    <w:p>
      <w:r>
        <w:t xml:space="preserve">The a priori scorecard, whose bands were set from credit reasoning before any outcome was inspected, achieved </w:t>
      </w:r>
      <w:r>
        <w:rPr>
          <w:b/>
        </w:rPr>
        <w:t>AUC 0.4144 (random) and 0.5275 (temporal)</w:t>
      </w:r>
      <w:r>
        <w:t xml:space="preserve"> — at or below chance. It provides no reliable discrimination on this dataset.</w:t>
      </w:r>
    </w:p>
    <w:p>
      <w:r>
        <w:t>This is reported as it stands. Three readings are available, and the evidence does not distinguish between the first two:</w:t>
      </w:r>
    </w:p>
    <w:p>
      <w:pPr>
        <w:pStyle w:val="ListNumber"/>
      </w:pPr>
      <w:r>
        <w:rPr>
          <w:b/>
        </w:rPr>
        <w:t>The proxies are inadequate.</w:t>
      </w:r>
      <w:r>
        <w:t xml:space="preserve"> The scorecard was built from SBA-observable</w:t>
      </w:r>
    </w:p>
    <w:p>
      <w: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pPr>
      <w:r>
        <w:rPr>
          <w:b/>
        </w:rPr>
        <w:t>The a priori bands are wrong.</w:t>
      </w:r>
      <w:r>
        <w:t xml:space="preserve"> Domain reasoning about which direction each</w:t>
      </w:r>
    </w:p>
    <w:p>
      <w:r>
        <w:t>proxy should point may simply be mistaken. With the scorecard's individual features carrying univariate AUC between 0.51 and 0.63, an equal-weighted aggregate of several mis-signed weak proxies can land below chance.</w:t>
      </w:r>
    </w:p>
    <w:p>
      <w:pPr>
        <w:pStyle w:val="ListNumber"/>
      </w:pPr>
      <w:r>
        <w:t xml:space="preserve">The method itself does not work — </w:t>
      </w:r>
      <w:r>
        <w:rPr>
          <w:b/>
        </w:rPr>
        <w:t>not supported</w:t>
      </w:r>
      <w:r>
        <w:t>, since the same machinery</w:t>
      </w:r>
    </w:p>
    <w:p>
      <w:r>
        <w:t>discriminates when given informative inputs, and its arithmetic is verified against an independent implementation.</w:t>
      </w:r>
    </w:p>
    <w:p>
      <w:r>
        <w:t>The methodological conclusion is the useful one, and it is stronger than the individual result:</w:t>
      </w:r>
    </w:p>
    <w:p>
      <w:pPr>
        <w:ind w:left="504"/>
      </w:pPr>
      <w:r>
        <w:rPr>
          <w:i/>
          <w:sz w:val="20"/>
        </w:rPr>
        <w:t>**An instrument-specific appraisal model cannot be validated against a dataset</w:t>
      </w:r>
    </w:p>
    <w:p>
      <w:pPr>
        <w:ind w:left="504"/>
      </w:pPr>
      <w:r>
        <w:rPr>
          <w:i/>
          <w:sz w:val="20"/>
        </w:rPr>
        <w:t>that does not contain its variables.** Substituting available proxies for the</w:t>
      </w:r>
    </w:p>
    <w:p>
      <w:pPr>
        <w:ind w:left="504"/>
      </w:pPr>
      <w:r>
        <w:rPr>
          <w:i/>
          <w:sz w:val="20"/>
        </w:rPr>
        <w:t>intended criteria does not test the model; it tests the proxies.</w:t>
      </w:r>
    </w:p>
    <w:p>
      <w:r>
        <w:t>This is why the criterion weights are established by expert elicitation (Chapter 6) rather than fitted to borrowed outcome data, and why that choice is a methodological requirement rather than a fallback.</w:t>
      </w:r>
    </w:p>
    <w:p>
      <w:pPr>
        <w:pStyle w:val="Heading2"/>
      </w:pPr>
      <w:r>
        <w:t>5.7 Limitations</w:t>
      </w:r>
    </w:p>
    <w:p>
      <w:r>
        <w:rPr>
          <w:b/>
        </w:rPr>
        <w:t>Jurisdiction.</w:t>
      </w:r>
      <w:r>
        <w:t xml:space="preserve"> SBA data reflects U.S. government-guaranteed small-business lending. Sri Lankan SME credit differs in legal environment, collateral practice, and macroeconomic volatility. Nothing here transfers directly.</w:t>
      </w:r>
    </w:p>
    <w:p>
      <w:r>
        <w:rPr>
          <w:b/>
        </w:rPr>
        <w:t>The fuzzy layer is not exercised.</w:t>
      </w:r>
      <w:r>
        <w:t xml:space="preserve"> Every SBA-observable criterion is quantitative, so each input enters as a degenerate triangular fuzzy number </w:t>
      </w:r>
      <w:r>
        <w:rPr>
          <w:rFonts w:ascii="Consolas" w:hAnsi="Consolas"/>
          <w:sz w:val="19"/>
        </w:rPr>
        <w:t>[x,x,x]</w:t>
      </w:r>
      <w:r>
        <w:t xml:space="preserve">. Centroid defuzzification returns </w:t>
      </w:r>
      <w:r>
        <w:rPr>
          <w:rFonts w:ascii="Consolas" w:hAnsi="Consolas"/>
          <w:sz w:val="19"/>
        </w:rPr>
        <w:t>x</w:t>
      </w:r>
      <w:r>
        <w:t xml:space="preserve">, and the fuzzy weighted average reduces exactly to an ordinary weighted mean. </w:t>
      </w:r>
      <w:r>
        <w:rPr>
          <w:b/>
        </w:rPr>
        <w:t>On this dataset the fuzzy machinery does no work.</w:t>
      </w:r>
      <w:r>
        <w:t xml:space="preserve"> It is exercised only by qualitative criteria, which SBA data does not contain. What §5.3–5.6 validates is band mapping and weighted aggregation, not fuzzy inference.</w:t>
      </w:r>
    </w:p>
    <w:p>
      <w:r>
        <w:rPr>
          <w:b/>
        </w:rPr>
        <w:t>Maturity filtering biases composition.</w:t>
      </w:r>
      <w:r>
        <w:t xml:space="preserve"> Restricting to fully-matured loans removes censoring but over-represents short-term facilities in later cohorts.</w:t>
      </w:r>
    </w:p>
    <w:p>
      <w:r>
        <w:rPr>
          <w:b/>
        </w:rPr>
        <w:t>Weights were placeholders.</w:t>
      </w:r>
      <w:r>
        <w:t xml:space="preserve"> All results here use equal weights within each level. They therefore test structure, not the elicited model.</w:t>
      </w:r>
    </w:p>
    <w:p>
      <w:r>
        <w:rPr>
          <w:b/>
        </w:rPr>
        <w:t>The development objective is barely observable.</w:t>
      </w:r>
      <w:r>
        <w:t xml:space="preserve"> Only </w:t>
      </w:r>
      <w:r>
        <w:rPr>
          <w:rFonts w:ascii="Consolas" w:hAnsi="Consolas"/>
          <w:sz w:val="19"/>
        </w:rPr>
        <w:t>CreateJob</w:t>
      </w:r>
      <w:r>
        <w:t xml:space="preserve"> and </w:t>
      </w:r>
      <w:r>
        <w:rPr>
          <w:rFonts w:ascii="Consolas" w:hAnsi="Consolas"/>
          <w:sz w:val="19"/>
        </w:rPr>
        <w:t>RetainedJob</w:t>
      </w:r>
      <w: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b/>
        </w:rPr>
        <w:t>not</w:t>
      </w:r>
      <w:r>
        <w:t xml:space="preserve"> empirically validated in this chapter.</w:t>
      </w:r>
    </w:p>
    <w:p>
      <w:r>
        <w:rPr>
          <w:b/>
        </w:rPr>
        <w:t>Novelty of the contamination finding is not fully established.</w:t>
      </w:r>
      <w: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pPr>
      <w:r>
        <w:t>5.8 Summary</w:t>
      </w:r>
    </w:p>
    <w:p>
      <w:pPr>
        <w:pStyle w:val="ListNumber"/>
      </w:pPr>
      <w:r>
        <w:rPr>
          <w:rFonts w:ascii="Consolas" w:hAnsi="Consolas"/>
          <w:sz w:val="19"/>
        </w:rPr>
        <w:t>Term</w:t>
      </w:r>
      <w:r>
        <w:t xml:space="preserve"> in the SBA National dataset carries outcome information. Roundness</w:t>
      </w:r>
    </w:p>
    <w:p>
      <w:r>
        <w:t>alone predicts default at AUC 0.889 overall and 0.859–0.900 within every approval year, despite having no economic meaning.</w:t>
      </w:r>
    </w:p>
    <w:p>
      <w:pPr>
        <w:pStyle w:val="ListNumber"/>
      </w:pPr>
      <w:r>
        <w:t>Excluding it drops gradient-boosting temporal AUC from 0.9461 to 0.6076.</w:t>
      </w:r>
    </w:p>
    <w:p>
      <w:pPr>
        <w:pStyle w:val="ListNumber"/>
      </w:pPr>
      <w:r>
        <w:t>Right-censoring is a separate and independent hazard: censored loans default</w:t>
      </w:r>
    </w:p>
    <w:p>
      <w:r>
        <w:t>at 7.77% against 20.41% for matured loans.</w:t>
      </w:r>
    </w:p>
    <w:p>
      <w:pPr>
        <w:pStyle w:val="ListNumber"/>
      </w:pPr>
      <w:r>
        <w:t>Random splitting overstates performance by 0.182 AUC relative to temporal</w:t>
      </w:r>
    </w:p>
    <w:p>
      <w:r>
        <w:t>validation; a linear scorecard fitted to a benign cycle ranks *backwards* under stress.</w:t>
      </w:r>
    </w:p>
    <w:p>
      <w:pPr>
        <w:pStyle w:val="ListNumber"/>
      </w:pPr>
      <w:r>
        <w:t>The a priori expert scorecard shows no discrimination on SBA-observable</w:t>
      </w:r>
    </w:p>
    <w:p>
      <w:r>
        <w:t>proxies (AUC 0.41–0.53), supporting the conclusion that instrument-specific appraisal models require elicitation rather than proxy-dataset fitting.</w:t>
      </w:r>
    </w:p>
    <w:p>
      <w:r>
        <w:t>Findings 1 and 5 are the contributions of this chapter. Finding 1 is a caution to users of a widely-adopted benchmark; finding 5 justifies the methodological design of the study.</w:t>
      </w:r>
    </w:p>
    <w:p/>
    <w:p>
      <w:pPr>
        <w:pStyle w:val="Heading3"/>
      </w:pPr>
      <w:r>
        <w:t>References cited in this chapter</w:t>
      </w:r>
    </w:p>
    <w:p>
      <w:r>
        <w:t>Li, M., Mickel, A. and Taylor, S. (2018) '"Should This Loan be Approved or Denied?": A Large Dataset with Class Assignment Guidelines', *Journal of Statistics Education*, 26(1), pp. 55–66. doi:10.1080/10691898.2018.1434342.</w:t>
      </w:r>
    </w:p>
    <w:p>
      <w:r>
        <w:br w:type="page"/>
      </w:r>
    </w:p>
    <w:p>
      <w:pPr>
        <w:pStyle w:val="Heading1"/>
      </w:pPr>
      <w:r>
        <w:t>Chapter 6 — Elicitation Results, Discussion and Conclusion</w:t>
      </w:r>
    </w:p>
    <w:p>
      <w:pPr>
        <w:ind w:left="504"/>
      </w:pPr>
      <w:r>
        <w:rPr>
          <w:i/>
          <w:sz w:val="20"/>
        </w:rPr>
        <w:t>STATUS: §6.1 AND §6.2 AWAIT DATA.</w:t>
      </w:r>
    </w:p>
    <w:p>
      <w:pPr>
        <w:ind w:left="504"/>
      </w:pPr>
      <w:r>
        <w:rPr>
          <w:i/>
          <w:sz w:val="20"/>
        </w:rPr>
        <w:t>The elicitation instrument, solver and analysis pipeline are complete and</w:t>
      </w:r>
    </w:p>
    <w:p>
      <w:pPr>
        <w:ind w:left="504"/>
      </w:pPr>
      <w:r>
        <w:rPr>
          <w:i/>
          <w:sz w:val="20"/>
        </w:rPr>
        <w:t>verified. No practitioner responses have yet been collected, so the criteria</w:t>
      </w:r>
    </w:p>
    <w:p>
      <w:pPr>
        <w:ind w:left="504"/>
      </w:pPr>
      <w:r>
        <w:rPr>
          <w:i/>
          <w:sz w:val="20"/>
        </w:rPr>
        <w:t>model still carries weightStatus: PLACEHOLDER.</w:t>
      </w:r>
    </w:p>
    <w:p>
      <w:pPr>
        <w:ind w:left="504"/>
      </w:pPr>
      <w:r>
        <w:rPr>
          <w:i/>
          <w:sz w:val="20"/>
        </w:rPr>
        <w:t>The section headings, table structures and analysis procedure below are fixed</w:t>
      </w:r>
    </w:p>
    <w:p>
      <w:pPr>
        <w:ind w:left="504"/>
      </w:pPr>
      <w:r>
        <w:rPr>
          <w:i/>
          <w:sz w:val="20"/>
        </w:rPr>
        <w:t>in advance — deliberately, so that the reporting format is committed to before</w:t>
      </w:r>
    </w:p>
    <w:p>
      <w:pPr>
        <w:ind w:left="504"/>
      </w:pPr>
      <w:r>
        <w:rPr>
          <w:i/>
          <w:sz w:val="20"/>
        </w:rPr>
        <w:t>the data exists and cannot be shaped to flatter whatever arrives. **No number</w:t>
      </w:r>
    </w:p>
    <w:p>
      <w:pPr>
        <w:ind w:left="504"/>
      </w:pPr>
      <w:r>
        <w:rPr>
          <w:i/>
          <w:sz w:val="20"/>
        </w:rPr>
        <w:t>may be entered into these tables by hand.** They are produced by</w:t>
      </w:r>
    </w:p>
    <w:p>
      <w:pPr>
        <w:ind w:left="504"/>
      </w:pPr>
      <w:r>
        <w:rPr>
          <w:i/>
          <w:sz w:val="20"/>
        </w:rPr>
        <w:t>research/src/derive_weights.py, which refuses to write weights when there are</w:t>
      </w:r>
    </w:p>
    <w:p>
      <w:pPr>
        <w:ind w:left="504"/>
      </w:pPr>
      <w:r>
        <w:rPr>
          <w:i/>
          <w:sz w:val="20"/>
        </w:rPr>
        <w:t>no usable responses.</w:t>
      </w:r>
    </w:p>
    <w:p>
      <w:pPr>
        <w:ind w:left="504"/>
      </w:pPr>
      <w:r>
        <w:rPr>
          <w:i/>
          <w:sz w:val="20"/>
        </w:rPr>
        <w:t>If no responses are obtained before submission, §6.1–6.2 must state that</w:t>
      </w:r>
    </w:p>
    <w:p>
      <w:pPr>
        <w:ind w:left="504"/>
      </w:pPr>
      <w:r>
        <w:rPr>
          <w:i/>
          <w:sz w:val="20"/>
        </w:rPr>
        <w:t>plainly, RQ2 must be reported as unanswered, and every scored result in the</w:t>
      </w:r>
    </w:p>
    <w:p>
      <w:pPr>
        <w:ind w:left="504"/>
      </w:pPr>
      <w:r>
        <w:rPr>
          <w:i/>
          <w:sz w:val="20"/>
        </w:rPr>
        <w:t>thesis must remain labelled as computed under placeholder weights. Reporting</w:t>
      </w:r>
    </w:p>
    <w:p>
      <w:pPr>
        <w:ind w:left="504"/>
      </w:pPr>
      <w:r>
        <w:rPr>
          <w:i/>
          <w:sz w:val="20"/>
        </w:rPr>
        <w:t>equal weights as though they were elicited would be a fabrication.</w:t>
      </w:r>
    </w:p>
    <w:p>
      <w:pPr>
        <w:pStyle w:val="Heading2"/>
      </w:pPr>
      <w:r>
        <w:t>6.1 Elicitation results (RQ2)</w:t>
      </w:r>
    </w:p>
    <w:p>
      <w:pPr>
        <w:pStyle w:val="Heading3"/>
      </w:pPr>
      <w:r>
        <w:t>6.1.1 Respondents</w:t>
      </w:r>
    </w:p>
    <w:p>
      <w:r>
        <w:t>*To be completed.* Report: number of respondents, years of experience (range and median), institution types and roles. Report the number approached and the number who completed, not only the completions.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18"/>
              </w:rPr>
              <w:t>Practitioners approached</w:t>
            </w:r>
          </w:p>
        </w:tc>
        <w:tc>
          <w:tcPr>
            <w:tcW w:type="dxa" w:w="4320"/>
          </w:tcPr>
          <w:p>
            <w:r>
              <w:rPr>
                <w:b/>
                <w:sz w:val="18"/>
              </w:rPr>
              <w:t>pending</w:t>
            </w:r>
          </w:p>
        </w:tc>
      </w:tr>
      <w:tr>
        <w:tc>
          <w:tcPr>
            <w:tcW w:type="dxa" w:w="4320"/>
          </w:tcPr>
          <w:p>
            <w:r>
              <w:rPr>
                <w:sz w:val="18"/>
              </w:rPr>
              <w:t>Completed all eight sections</w:t>
            </w:r>
          </w:p>
        </w:tc>
        <w:tc>
          <w:tcPr>
            <w:tcW w:type="dxa" w:w="4320"/>
          </w:tcPr>
          <w:p>
            <w:r>
              <w:rPr>
                <w:sz w:val="18"/>
              </w:rPr>
              <w:t>pending</w:t>
            </w:r>
          </w:p>
        </w:tc>
      </w:tr>
      <w:tr>
        <w:tc>
          <w:tcPr>
            <w:tcW w:type="dxa" w:w="4320"/>
          </w:tcPr>
          <w:p>
            <w:r>
              <w:rPr>
                <w:sz w:val="18"/>
              </w:rPr>
              <w:t>Partial completions</w:t>
            </w:r>
          </w:p>
        </w:tc>
        <w:tc>
          <w:tcPr>
            <w:tcW w:type="dxa" w:w="4320"/>
          </w:tcPr>
          <w:p>
            <w:r>
              <w:rPr>
                <w:sz w:val="18"/>
              </w:rPr>
              <w:t>pending</w:t>
            </w:r>
          </w:p>
        </w:tc>
      </w:tr>
      <w:tr>
        <w:tc>
          <w:tcPr>
            <w:tcW w:type="dxa" w:w="4320"/>
          </w:tcPr>
          <w:p>
            <w:r>
              <w:rPr>
                <w:sz w:val="18"/>
              </w:rPr>
              <w:t>Median years of experience</w:t>
            </w:r>
          </w:p>
        </w:tc>
        <w:tc>
          <w:tcPr>
            <w:tcW w:type="dxa" w:w="4320"/>
          </w:tcPr>
          <w:p>
            <w:r>
              <w:rPr>
                <w:sz w:val="18"/>
              </w:rPr>
              <w:t>pending</w:t>
            </w:r>
          </w:p>
        </w:tc>
      </w:tr>
    </w:tbl>
    <w:p/>
    <w:p>
      <w:pPr>
        <w:pStyle w:val="Heading3"/>
      </w:pPr>
      <w:r>
        <w:t>6.1.2 Consistency</w:t>
      </w:r>
    </w:p>
    <w:p>
      <w:r>
        <w:t>Each response is solved as a linear programme; the optimal deviation ξ\* divided by the consistency index for the stated best-to-worst value gives the consistency ratio. Responses with CR &gt; 0.25 are excluded from aggregation, and the number excluded is reported here regardless of how it reflects on the study.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Section</w:t>
            </w:r>
          </w:p>
        </w:tc>
        <w:tc>
          <w:tcPr>
            <w:tcW w:type="dxa" w:w="2160"/>
          </w:tcPr>
          <w:p>
            <w:r>
              <w:rPr>
                <w:b/>
                <w:sz w:val="18"/>
              </w:rPr>
              <w:t>Respondents</w:t>
            </w:r>
          </w:p>
        </w:tc>
        <w:tc>
          <w:tcPr>
            <w:tcW w:type="dxa" w:w="2160"/>
          </w:tcPr>
          <w:p>
            <w:r>
              <w:rPr>
                <w:b/>
                <w:sz w:val="18"/>
              </w:rPr>
              <w:t>Mean CR</w:t>
            </w:r>
          </w:p>
        </w:tc>
        <w:tc>
          <w:tcPr>
            <w:tcW w:type="dxa" w:w="2160"/>
          </w:tcPr>
          <w:p>
            <w:r>
              <w:rPr>
                <w:b/>
                <w:sz w:val="18"/>
              </w:rPr>
              <w:t>Excluded</w:t>
            </w:r>
          </w:p>
        </w:tc>
      </w:tr>
      <w:tr>
        <w:tc>
          <w:tcPr>
            <w:tcW w:type="dxa" w:w="2160"/>
          </w:tcPr>
          <w:p>
            <w:r>
              <w:rPr>
                <w:sz w:val="18"/>
              </w:rPr>
              <w:t>Credit-risk dimensions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Borrower &amp; Management Capacity</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Credit History &amp; Banking Conduct</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Historic Financial Performance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Project Viability &amp; Projections</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Market &amp; Competitive Position</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Risk, Security &amp; Compliance</w:t>
            </w:r>
          </w:p>
        </w:tc>
        <w:tc>
          <w:tcPr>
            <w:tcW w:type="dxa" w:w="2160"/>
          </w:tcPr>
          <w:p>
            <w:r>
              <w:rPr>
                <w:sz w:val="18"/>
              </w:rPr>
              <w:t>pending</w:t>
            </w:r>
          </w:p>
        </w:tc>
        <w:tc>
          <w:tcPr>
            <w:tcW w:type="dxa" w:w="2160"/>
          </w:tcPr>
          <w:p>
            <w:r>
              <w:rPr>
                <w:sz w:val="18"/>
              </w:rPr>
            </w:r>
          </w:p>
        </w:tc>
        <w:tc>
          <w:tcPr>
            <w:tcW w:type="dxa" w:w="2160"/>
          </w:tcPr>
          <w:p>
            <w:r>
              <w:rPr>
                <w:sz w:val="18"/>
              </w:rPr>
            </w:r>
          </w:p>
        </w:tc>
      </w:tr>
      <w:tr>
        <w:tc>
          <w:tcPr>
            <w:tcW w:type="dxa" w:w="2160"/>
          </w:tcPr>
          <w:p>
            <w:r>
              <w:rPr>
                <w:sz w:val="18"/>
              </w:rPr>
              <w:t>Economic &amp; Social Contribution</w:t>
            </w:r>
          </w:p>
        </w:tc>
        <w:tc>
          <w:tcPr>
            <w:tcW w:type="dxa" w:w="2160"/>
          </w:tcPr>
          <w:p>
            <w:r>
              <w:rPr>
                <w:sz w:val="18"/>
              </w:rPr>
              <w:t>pending</w:t>
            </w:r>
          </w:p>
        </w:tc>
        <w:tc>
          <w:tcPr>
            <w:tcW w:type="dxa" w:w="2160"/>
          </w:tcPr>
          <w:p>
            <w:r>
              <w:rPr>
                <w:sz w:val="18"/>
              </w:rPr>
            </w:r>
          </w:p>
        </w:tc>
        <w:tc>
          <w:tcPr>
            <w:tcW w:type="dxa" w:w="2160"/>
          </w:tcPr>
          <w:p>
            <w:r>
              <w:rPr>
                <w:sz w:val="18"/>
              </w:rPr>
            </w:r>
          </w:p>
        </w:tc>
      </w:tr>
    </w:tbl>
    <w:p/>
    <w:p>
      <w:r>
        <w:t xml:space="preserve">Generated by </w:t>
      </w:r>
      <w:r>
        <w:rPr>
          <w:rFonts w:ascii="Consolas" w:hAnsi="Consolas"/>
          <w:sz w:val="19"/>
        </w:rPr>
        <w:t>derive_weights.py</w:t>
      </w:r>
      <w:r>
        <w:t xml:space="preserve">; raw values in </w:t>
      </w:r>
      <w:r>
        <w:rPr>
          <w:rFonts w:ascii="Consolas" w:hAnsi="Consolas"/>
          <w:sz w:val="19"/>
        </w:rPr>
        <w:t>research/outputs/tables/elicitation_consistency.csv</w:t>
      </w:r>
      <w:r>
        <w:t>.</w:t>
      </w:r>
    </w:p>
    <w:p>
      <w:pPr>
        <w:pStyle w:val="Heading3"/>
      </w:pPr>
      <w:r>
        <w:t>6.1.3 Derived weights</w:t>
      </w:r>
    </w:p>
    <w:p>
      <w:r>
        <w:t>*To be completed* — aggregated by geometric mean over usable responses.</w:t>
      </w:r>
    </w:p>
    <w:p>
      <w:r>
        <w:t>Two things to examine and report whichever way they fall:</w:t>
      </w:r>
    </w:p>
    <w:p>
      <w:pPr>
        <w:pStyle w:val="ListBullet"/>
      </w:pPr>
      <w:r>
        <w:rPr>
          <w:b/>
        </w:rPr>
        <w:t>Where practitioners agree.</w:t>
      </w:r>
      <w:r>
        <w:t xml:space="preserve"> Convergence across respondents is evidence that</w:t>
      </w:r>
    </w:p>
    <w:p>
      <w:r>
        <w:t>the criterion carries a shared professional meaning.</w:t>
      </w:r>
    </w:p>
    <w:p>
      <w:pPr>
        <w:pStyle w:val="ListBullet"/>
      </w:pPr>
      <w:r>
        <w:rPr>
          <w:b/>
        </w:rPr>
        <w:t>Where they disagree.</w:t>
      </w:r>
      <w:r>
        <w:t xml:space="preserve"> Wide dispersion is not a defect in the data. It is</w:t>
      </w:r>
    </w:p>
    <w:p>
      <w:r>
        <w:t>evidence for the inconsistency this research is premised on, and it should be reported as a finding rather than smoothed away by the geometric mean.</w:t>
      </w:r>
    </w:p>
    <w:p>
      <w:pPr>
        <w:pStyle w:val="Heading3"/>
      </w:pPr>
      <w:r>
        <w:t>6.1.4 Comparison with Roy and Shaw (2021)</w:t>
      </w:r>
    </w:p>
    <w:p>
      <w:r>
        <w:t>Roy and Shaw report credit history, cash liquidity and repayment period as the dominant criteria in SME lending, using the same weighting method in a different national context. Comparing the elicited weights here against theirs is a worthwhile external check: agreement suggests the criteria carry stable professional meaning across contexts, while divergence would be a substantive finding about Sri Lankan practice. *To be completed once weights exist.*</w:t>
      </w:r>
    </w:p>
    <w:p>
      <w:pPr>
        <w:pStyle w:val="Heading2"/>
      </w:pPr>
      <w:r>
        <w:t>6.2 Effect of elicited weights (RQ4)</w:t>
      </w:r>
    </w:p>
    <w:p>
      <w:r>
        <w:t>*To be completed.* Rescore the case set under placeholder and elicited weights and report how far the two diverge — on scores, on risk bands, and on the gap between the credit-risk and development-impact objectives.</w:t>
      </w:r>
    </w:p>
    <w:p>
      <w:r>
        <w:t xml:space="preserve">This is the direct evidence for RQ4. If elicited weights move the development objective independently of the credit objective, that supports the design decision not to aggregate them. If the two move together, the argument for separation weakens and </w:t>
      </w:r>
      <w:r>
        <w:rPr>
          <w:b/>
        </w:rPr>
        <w:t>the thesis should say so.</w:t>
      </w:r>
    </w:p>
    <w:p>
      <w:pPr>
        <w:pStyle w:val="Heading2"/>
      </w:pPr>
      <w:r>
        <w:t>6.3 Discussion</w:t>
      </w:r>
    </w:p>
    <w:p>
      <w:pPr>
        <w:pStyle w:val="Heading3"/>
      </w:pPr>
      <w:r>
        <w:t>6.3.1 What the contamination finding means</w:t>
      </w:r>
    </w:p>
    <w:p>
      <w:r>
        <w:t>The finding in §5.3 has consequences beyond this study.</w:t>
      </w:r>
    </w:p>
    <w:p>
      <w:r>
        <w:t xml:space="preserve">The SBA National dataset is widely used in credit-scoring research and teaching. A model given </w:t>
      </w:r>
      <w:r>
        <w:rPr>
          <w:rFonts w:ascii="Consolas" w:hAnsi="Consolas"/>
          <w:sz w:val="19"/>
        </w:rPr>
        <w:t>Term</w:t>
      </w:r>
      <w:r>
        <w:t xml:space="preserve"> and free to split on its exact value inherits an artefact worth up to 0.34 AUC. The roundness probe — a single boolean with no economic content — reaches 0.887. Any published result on this dataset in that region, obtained from a tree ensemble with </w:t>
      </w:r>
      <w:r>
        <w:rPr>
          <w:rFonts w:ascii="Consolas" w:hAnsi="Consolas"/>
          <w:sz w:val="19"/>
        </w:rPr>
        <w:t>Term</w:t>
      </w:r>
      <w:r>
        <w:t xml:space="preserve"> included, is likely to be measuring the artefact rather than credit risk.</w:t>
      </w:r>
    </w:p>
    <w:p>
      <w:r>
        <w:t xml:space="preserve">The general lesson is about </w:t>
      </w:r>
      <w:r>
        <w:rPr>
          <w:b/>
        </w:rPr>
        <w:t>how anomalies are treated</w:t>
      </w:r>
      <w:r>
        <w:t>. The finding emerged only because an AUC of 0.97 was treated as a symptom rather than a success. Had it been reported as a result — which it easily could have been, since it exceeded every published benchmark — this thesis would contain a headline finding that was entirely an artefact. The methodological rule in §3.6.3 is the transferable part.</w:t>
      </w:r>
    </w:p>
    <w:p>
      <w:pPr>
        <w:pStyle w:val="Heading3"/>
      </w:pPr>
      <w:r>
        <w:t>6.3.2 What the negative result means</w:t>
      </w:r>
    </w:p>
    <w:p>
      <w:r>
        <w:t>The expert scorecard failed to discriminate on SBA-observable proxies (AUC 0.41–0.53). Two explanations remain live and the evidence does not separate them: the proxies are inadequate, or the a priori bands are wrong.</w:t>
      </w:r>
    </w:p>
    <w:p>
      <w:r>
        <w:t>Either way the methodological conclusion holds, and it is the useful one:</w:t>
      </w:r>
    </w:p>
    <w:p>
      <w:r>
        <w:rPr>
          <w:b/>
        </w:rPr>
        <w:t>substituting available proxies for the intended criteria tests the proxies, not the model.</w:t>
      </w:r>
      <w:r>
        <w:t xml:space="preserve"> This is why elicitation is a methodological requirement here rather than a fallback for missing data.</w:t>
      </w:r>
    </w:p>
    <w:p>
      <w:r>
        <w:t>There is a broader point for practice. Institutions without clean historical default data cannot fit a scorecard, and this study shows they cannot borrow someone else's dataset to validate one either. Expert elicitation is not a second-best option in that situation; it is the only sound one.</w:t>
      </w:r>
    </w:p>
    <w:p>
      <w:pPr>
        <w:pStyle w:val="Heading3"/>
      </w:pPr>
      <w:r>
        <w:t>6.3.3 On temporal validation</w:t>
      </w:r>
    </w:p>
    <w:p>
      <w:r>
        <w:t xml:space="preserve">Under the clean specification, logistic regression scored 0.4565 on temporal validation — </w:t>
      </w:r>
      <w:r>
        <w:rPr>
          <w:b/>
        </w:rPr>
        <w:t>below chance</w:t>
      </w:r>
      <w:r>
        <w:t>. Trained on 1990–2003 (9.1% default) and tested on 2004–2010 (35.9% default), the model did not merely lose accuracy; its ranking inverted.</w:t>
      </w:r>
    </w:p>
    <w:p>
      <w:r>
        <w:t>For practice, this is the most immediately actionable result in the thesis. A linear scorecard fitted during benign conditions can rank borrowers *backwards* under stress. Given Sri Lanka's recent macroeconomic volatility, a scorecard calibrated on pre-crisis SME lending should not be assumed to hold, and temporal rather than random validation should be the default.</w:t>
      </w:r>
    </w:p>
    <w:p>
      <w:pPr>
        <w:pStyle w:val="Heading3"/>
      </w:pPr>
      <w:r>
        <w:t>6.3.4 On the system</w:t>
      </w:r>
    </w:p>
    <w:p>
      <w:r>
        <w:t>The system demonstrates that a narrative appraisal instrument can be formalised without discarding the judgement it encodes — 28 criteria computed from figures, 21 captured as structured linguistic judgements, every one traceable to a clause.</w:t>
      </w:r>
    </w:p>
    <w:p>
      <w:r>
        <w:t>Two design decisions proved more consequential than expected.</w:t>
      </w:r>
    </w:p>
    <w:p>
      <w:r>
        <w:t xml:space="preserve">The </w:t>
      </w:r>
      <w:r>
        <w:rPr>
          <w:b/>
        </w:rPr>
        <w:t>completeness gate</w:t>
      </w:r>
      <w:r>
        <w:t xml:space="preserve"> (§4.5) arose from a real defect found in testing: a 14%-complete file produced a confident recommendation. The gate is a refusal to answer rather than a score adjustment, because a discounted score would have preserved the false impression that the system had an opinion.</w:t>
      </w:r>
    </w:p>
    <w:p>
      <w:r>
        <w:rPr>
          <w:b/>
        </w:rPr>
        <w:t>Storing the full result document and model version</w:t>
      </w:r>
      <w:r>
        <w:t xml:space="preserve"> with each appraisal means recommendations remain reproducible after the model changes. Since the placeholder weights are due to be replaced, an appraisal signed under one model must still be explainable under it later.</w:t>
      </w:r>
    </w:p>
    <w:p>
      <w:pPr>
        <w:pStyle w:val="Heading2"/>
      </w:pPr>
      <w:r>
        <w:t>6.4 Limitations</w:t>
      </w:r>
    </w:p>
    <w:p>
      <w:r>
        <w:rPr>
          <w:b/>
        </w:rPr>
        <w:t>Empirical validation is on a proxy dataset from another jurisdiction.</w:t>
      </w:r>
      <w:r>
        <w:t xml:space="preserve"> SBA data reflects U.S. government-guaranteed lending. Nothing transfers directly to Sri Lankan SME credit.</w:t>
      </w:r>
    </w:p>
    <w:p>
      <w:r>
        <w:rPr>
          <w:b/>
        </w:rPr>
        <w:t>The criteria tree is not empirically validated.</w:t>
      </w:r>
      <w:r>
        <w:t xml:space="preserve"> No dataset contains its variables. Chapter 5 validates scoring machinery, not criteria.</w:t>
      </w:r>
    </w:p>
    <w:p>
      <w:r>
        <w:rPr>
          <w:b/>
        </w:rPr>
        <w:t>The fuzzy layer is not exercised by the validation.</w:t>
      </w:r>
      <w:r>
        <w:t xml:space="preserve"> All SBA-observable criteria are quantitative and enter as degenerate triangular fuzzy numbers, under which the fuzzy weighted average reduces exactly to a weighted arithmetic mean. On that dataset the fuzzy machinery does no work.</w:t>
      </w:r>
    </w:p>
    <w:p>
      <w:r>
        <w:rPr>
          <w:b/>
        </w:rPr>
        <w:t>The development objective is barely observable.</w:t>
      </w:r>
      <w:r>
        <w:t xml:space="preserve"> Only job creation and retention proxy it; five of the nine items in clause 5 have no counterpart in the data. It is a design contribution, not an empirically validated one.</w:t>
      </w:r>
    </w:p>
    <w:p>
      <w:r>
        <w:rPr>
          <w:b/>
        </w:rPr>
        <w:t>Elicitation is small-n and purposive.</w:t>
      </w:r>
      <w:r>
        <w:t xml:space="preserve"> Weights represent the respondents' judgement, not Sri Lankan credit practice.</w:t>
      </w:r>
    </w:p>
    <w:p>
      <w:r>
        <w:rPr>
          <w:b/>
        </w:rPr>
        <w:t>No inter-rater reliability study was conducted.</w:t>
      </w:r>
      <w:r>
        <w:t xml:space="preserve"> This is the most significant omission. The research is premised on manual appraisal being inconsistent, and that premise is argued rather than measured.</w:t>
      </w:r>
    </w:p>
    <w:p>
      <w:r>
        <w:rPr>
          <w:b/>
        </w:rPr>
        <w:t>No field evaluation.</w:t>
      </w:r>
      <w:r>
        <w:t xml:space="preserve"> No officer has used the system on live applications; there is no usability or acceptance evidence.</w:t>
      </w:r>
    </w:p>
    <w:p>
      <w:r>
        <w:rPr>
          <w:b/>
        </w:rPr>
        <w:t>Novelty of the contamination finding is not established as priority.</w:t>
      </w:r>
      <w:r>
        <w:t xml:space="preserve"> A literature search found no prior report, but the search was not exhaustive.</w:t>
      </w:r>
    </w:p>
    <w:p>
      <w:pPr>
        <w:pStyle w:val="Heading2"/>
      </w:pPr>
      <w:r>
        <w:t>6.5 Future work</w:t>
      </w:r>
    </w:p>
    <w:p>
      <w:r>
        <w:rPr>
          <w:b/>
        </w:rPr>
        <w:t>Measure the inconsistency.</w:t>
      </w:r>
      <w:r>
        <w:t xml:space="preserve"> Have N officers appraise the same M files independently and compute inter-rater reliability, then repeat with the system. This directly tests the premise of the research and would be the strongest possible addition. It requires only practitioner time and constructed cases.</w:t>
      </w:r>
    </w:p>
    <w:p>
      <w:r>
        <w:rPr>
          <w:b/>
        </w:rPr>
        <w:t>Establish the contamination mechanism.</w:t>
      </w:r>
      <w:r>
        <w:t xml:space="preserve"> Determining why </w:t>
      </w:r>
      <w:r>
        <w:rPr>
          <w:rFonts w:ascii="Consolas" w:hAnsi="Consolas"/>
          <w:sz w:val="19"/>
        </w:rPr>
        <w:t>Term</w:t>
      </w:r>
      <w:r>
        <w:t xml:space="preserve"> behaves as it does — through SBA data documentation or the agency itself — would convert a caution into a full account, and is publishable independently.</w:t>
      </w:r>
    </w:p>
    <w:p>
      <w:r>
        <w:rPr>
          <w:b/>
        </w:rPr>
        <w:t>Validate on institutional data.</w:t>
      </w:r>
      <w:r>
        <w:t xml:space="preserve"> With permission and anonymisation, even a few hundred historical files with outcomes would allow the criteria tree itself to be tested rather than a proxy.</w:t>
      </w:r>
    </w:p>
    <w:p>
      <w:r>
        <w:rPr>
          <w:b/>
        </w:rPr>
        <w:t>Field evaluation.</w:t>
      </w:r>
      <w:r>
        <w:t xml:space="preserve"> Deploy alongside the existing process and compare turnaround time, consistency and officer acceptance.</w:t>
      </w:r>
    </w:p>
    <w:p>
      <w:pPr>
        <w:pStyle w:val="Heading2"/>
      </w:pPr>
      <w:r>
        <w:t>6.6 Conclusion</w:t>
      </w:r>
    </w:p>
    <w:p>
      <w:r>
        <w:t>This study set out to formalise a Sri Lankan state bank's narrative SME appraisal instrument into an explainable, dual-objective decision-support system.</w:t>
      </w:r>
    </w:p>
    <w:p>
      <w:r>
        <w:t>The artefact was built. A 49-criterion model was derived clause by clause from the People's Bank appraisal form, implemented in a working system that scores credit risk and development impact separately, decomposes every score into per-criterion contributions, withholds a recommendation when too little has been assessed, and exports its output in the bank's own report format.</w:t>
      </w:r>
    </w:p>
    <w:p>
      <w:r>
        <w:t xml:space="preserve">The empirical work produced results the study did not set out to find. The most substantial contribution is not the model but a caution about the data others use to evaluate such models: the </w:t>
      </w:r>
      <w:r>
        <w:rPr>
          <w:rFonts w:ascii="Consolas" w:hAnsi="Consolas"/>
          <w:sz w:val="19"/>
        </w:rPr>
        <w:t>Term</w:t>
      </w:r>
      <w:r>
        <w:t xml:space="preserve"> field in the widely used SBA National dataset carries outcome information, inflating gradient-boosting performance by up to 0.34 AUC. Alongside it sits a negative result — an expert scorecard that failed to discriminate on proxy variables — from which follows the methodological point that instrument-specific appraisal models cannot be validated on datasets lacking their variables.</w:t>
      </w:r>
    </w:p>
    <w:p>
      <w:r>
        <w:t>RQ1 is answered: the formalisation method is demonstrated and the artefact exists. RQ3 is answered narrowly and mostly in the negative, with the limits stated. RQ2 and RQ4 depend on elicitation data and are reported according to what was obtained.</w:t>
      </w:r>
    </w:p>
    <w:p>
      <w:r>
        <w:t xml:space="preserve">The claim this thesis does </w:t>
      </w:r>
      <w:r>
        <w:rPr>
          <w:b/>
        </w:rPr>
        <w:t>not</w:t>
      </w:r>
      <w:r>
        <w:t xml:space="preserve"> make is that a better credit scoring model has been built. The evidence does not support that, and Chapter 2 establishes that the methods used are not themselves new. What it offers instead is a transferable method for formalising institutional appraisal instruments, a working system that implements it, and two findings about evaluation that should change how others approach the same problem.</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