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40"/>
        </w:rPr>
        <w:t>A Fuzzy Multi-Criteria Decision Model for SME Credit Appraisal in Development Banking</w:t>
      </w:r>
    </w:p>
    <w:p>
      <w:pPr>
        <w:jc w:val="center"/>
      </w:pPr>
      <w:r>
        <w:rPr>
          <w:i/>
          <w:sz w:val="26"/>
        </w:rPr>
        <w:t>Formalising Narrative Appraisal under Dual Credit-Risk and Development-Impact Objectives: Evidence from Sri Lanka</w:t>
      </w:r>
    </w:p>
    <w:p/>
    <w:p/>
    <w:p/>
    <w:p/>
    <w:p/>
    <w:p/>
    <w:p>
      <w:pPr>
        <w:jc w:val="center"/>
      </w:pPr>
      <w:r>
        <w:rPr>
          <w:b/>
          <w:sz w:val="26"/>
        </w:rPr>
        <w:t>AAV Athukorala</w:t>
      </w:r>
    </w:p>
    <w:p>
      <w:pPr>
        <w:jc w:val="center"/>
      </w:pPr>
      <w:r>
        <w:rPr>
          <w:b w:val="0"/>
          <w:sz w:val="22"/>
        </w:rPr>
        <w:t>Student ID: 34764</w:t>
      </w:r>
    </w:p>
    <w:p>
      <w:pPr>
        <w:jc w:val="center"/>
      </w:pPr>
      <w:r>
        <w:rPr>
          <w:b w:val="0"/>
          <w:sz w:val="22"/>
        </w:rPr>
      </w:r>
    </w:p>
    <w:p>
      <w:pPr>
        <w:jc w:val="center"/>
      </w:pPr>
      <w:r>
        <w:rPr>
          <w:b w:val="0"/>
          <w:sz w:val="24"/>
        </w:rPr>
        <w:t>MSc in Information Technology</w:t>
      </w:r>
    </w:p>
    <w:p>
      <w:pPr>
        <w:jc w:val="center"/>
      </w:pPr>
      <w:r>
        <w:rPr>
          <w:b w:val="0"/>
          <w:sz w:val="24"/>
        </w:rPr>
        <w:t>NSBM Green University</w:t>
      </w:r>
    </w:p>
    <w:p>
      <w:pPr>
        <w:jc w:val="center"/>
      </w:pPr>
      <w:r>
        <w:rPr>
          <w:b w:val="0"/>
          <w:sz w:val="22"/>
        </w:rPr>
      </w:r>
    </w:p>
    <w:p>
      <w:pPr>
        <w:jc w:val="center"/>
      </w:pPr>
      <w:r>
        <w:rPr>
          <w:b w:val="0"/>
          <w:sz w:val="22"/>
        </w:rPr>
        <w:t>Supervisor: Dr. Pabudi Abeyrathne</w:t>
      </w:r>
    </w:p>
    <w:p>
      <w:r>
        <w:br w:type="page"/>
      </w:r>
    </w:p>
    <w:p>
      <w:pPr>
        <w:pStyle w:val="Heading1"/>
      </w:pPr>
      <w:r>
        <w:rPr>
          <w:color w:val="1A1A1A"/>
        </w:rPr>
        <w:t>Note on Results and Reproducibility</w:t>
      </w:r>
    </w:p>
    <w:p>
      <w:pPr>
        <w:spacing w:after="200"/>
      </w:pPr>
      <w:r>
        <w:t>Every quantitative result reported in this thesis is produced by code in the accompanying repository and can be regenerated from the raw data. No value has been entered by hand.</w:t>
      </w:r>
    </w:p>
    <w:p>
      <w:pPr>
        <w:spacing w:after="200"/>
      </w:pPr>
      <w:r>
        <w:t>Where an experiment could not be run, the claim is withdrawn and the gap recorded as a limitation rather than filled with an estimate. Negative results are reported as they occurred: these include a claimed contribution withdrawn after the literature review (§2.3.3), an expert scorecard that failed to discriminate (§5.6), and a hypothesis about the mechanism of a data anomaly that was tested and rejected (§5.3.4).</w:t>
      </w:r>
    </w:p>
    <w:p>
      <w:pPr>
        <w:spacing w:after="200"/>
      </w:pPr>
      <w:r>
        <w:t>Sections of Chapter 6 that depend on elicitation data are marked as pending where that data was not obtained. Scores computed under placeholder criterion weights are labelled as such throughout and are not reported as findings.</w:t>
      </w:r>
    </w:p>
    <w:p>
      <w:r>
        <w:br w:type="page"/>
      </w:r>
    </w:p>
    <w:p>
      <w:pPr>
        <w:pStyle w:val="Heading1"/>
      </w:pPr>
      <w:r>
        <w:t>Chapter 1 — Introduction</w:t>
      </w:r>
    </w:p>
    <w:p>
      <w:pPr>
        <w:pStyle w:val="Heading2"/>
      </w:pPr>
      <w:r>
        <w:t>1.1 Background</w:t>
      </w:r>
    </w:p>
    <w:p>
      <w:r>
        <w:t>Small and medium enterprises account for the large majority of businesses in Sri Lanka and a substantial share of employment. Their access to formal credit is persistently constrained. Documented supply-side barriers include the absence of formal accounting records, insufficient tangible collateral, non-submission of financial statements, and limited management capacity — with policy responses proposed around SME credit rating, credit guarantee schemes, and SME-friendly banking practice.</w:t>
      </w:r>
    </w:p>
    <w:p>
      <w:r>
        <w:t>Most of that literature examines whether credit is *available*. This study examines something narrower and less studied: how a bank *decides*, once an application is in front of an officer.</w:t>
      </w:r>
    </w:p>
    <w:p>
      <w:pPr>
        <w:pStyle w:val="Heading2"/>
      </w:pPr>
      <w:r>
        <w:t>1.2 The appraisal problem</w:t>
      </w:r>
    </w:p>
    <w:p>
      <w:r>
        <w:t>People's Bank appraises SME credit using a *Project / Business Appraisal Report for SME Credit Facility* — a seven-section form with five annexures, in operational use. It is a thorough instrument. It requires thirteen financial ratios, three-to-five-year projections with debt service and interest service cover, a Porter's five-forces analysis of the applicant's market, technological and environmental risk assessments, and a nine-item table of economic contribution covering employment, women's participation, import substitution and foreign exchange earnings.</w:t>
      </w:r>
    </w:p>
    <w:p>
      <w:r>
        <w:t xml:space="preserve">It is also, in large part, </w:t>
      </w:r>
      <w:r>
        <w:rPr>
          <w:b/>
        </w:rPr>
        <w:t>narrative</w:t>
      </w:r>
      <w:r>
        <w:t>. Clause 2.18 asks for written comments on profitability, liquidity, activity and gearing. Clause 3.2 asks for a description of management style. Clause 7 then asks the officer to certify that the project is "financially viable and technically feasible."</w:t>
      </w:r>
    </w:p>
    <w:p>
      <w:r>
        <w:t>Between the evidence and the certification there is no stated procedure. The form specifies exhaustively *what* to consider and says nothing about *how to weigh it*.</w:t>
      </w:r>
    </w:p>
    <w:p>
      <w:r>
        <w:t>Three consequences follow:</w:t>
      </w:r>
    </w:p>
    <w:p>
      <w:r>
        <w:rPr>
          <w:b/>
        </w:rPr>
        <w:t>It is slow.</w:t>
      </w:r>
      <w:r>
        <w:t xml:space="preserve"> Thirteen ratios, cover ratios, break-even and working capital computations are performed by hand for every application.</w:t>
      </w:r>
    </w:p>
    <w:p>
      <w:r>
        <w:rPr>
          <w:b/>
        </w:rPr>
        <w:t>It is inconsistent.</w:t>
      </w:r>
      <w:r>
        <w:t xml:space="preserve"> Two officers with the same file may reach different conclusions, because the method for combining the evidence lives in each officer's head rather than in the instrument. This is not speculation: Cortés, Duchin and Sosyura (2016) show that officers' credit approvals move with their mood — instrumented by local sunshine — and that the effect is </w:t>
      </w:r>
      <w:r>
        <w:rPr>
          <w:b/>
        </w:rPr>
        <w:t>larger where decisions carry more discretion and reviews are less automated</w:t>
      </w:r>
      <w:r>
        <w:t>, which is exactly the regime this form operates in.</w:t>
      </w:r>
    </w:p>
    <w:p>
      <w:r>
        <w:rPr>
          <w:b/>
        </w:rPr>
        <w:t>It is difficult to audit.</w:t>
      </w:r>
      <w:r>
        <w:t xml:space="preserve"> A recommendation records a conclusion but not the reasoning that produced it. When a facility later performs badly, there is no record of which factors were weighed and how heavily.</w:t>
      </w:r>
    </w:p>
    <w:p>
      <w:r>
        <w:t>None of this reflects poorly on the officers. It reflects an instrument that codifies what to look at without codifying how to judge it.</w:t>
      </w:r>
    </w:p>
    <w:p>
      <w:pPr>
        <w:pStyle w:val="Heading2"/>
      </w:pPr>
      <w:r>
        <w:t>1.3 Research questions</w:t>
      </w:r>
    </w:p>
    <w:p>
      <w:pPr>
        <w:pStyle w:val="ListBullet"/>
      </w:pPr>
      <w:r>
        <w:rPr>
          <w:b/>
        </w:rPr>
        <w:t>RQ1</w:t>
      </w:r>
      <w:r>
        <w:t xml:space="preserve"> — How can the narrative, multi-section appraisal instrument used by a</w:t>
      </w:r>
    </w:p>
    <w:p>
      <w:r>
        <w:t>Sri Lankan state bank be formalised into a computable multi-criteria model without discarding the judgement it encodes?</w:t>
      </w:r>
    </w:p>
    <w:p>
      <w:pPr>
        <w:pStyle w:val="ListBullet"/>
      </w:pPr>
      <w:r>
        <w:rPr>
          <w:b/>
        </w:rPr>
        <w:t>RQ2</w:t>
      </w:r>
      <w:r>
        <w:t xml:space="preserve"> — What relative weights do experienced credit practitioners assign to</w:t>
      </w:r>
    </w:p>
    <w:p>
      <w:r>
        <w:t>the resulting criteria, and how consistent are those judgements?</w:t>
      </w:r>
    </w:p>
    <w:p>
      <w:pPr>
        <w:pStyle w:val="ListBullet"/>
      </w:pPr>
      <w:r>
        <w:rPr>
          <w:b/>
        </w:rPr>
        <w:t>RQ3</w:t>
      </w:r>
      <w:r>
        <w:t xml:space="preserve"> — How does the resulting model perform against realised loan outcomes on</w:t>
      </w:r>
    </w:p>
    <w:p>
      <w:r>
        <w:t>observable criteria, relative to standard credit-scoring benchmarks?</w:t>
      </w:r>
    </w:p>
    <w:p>
      <w:pPr>
        <w:pStyle w:val="ListBullet"/>
      </w:pPr>
      <w:r>
        <w:rPr>
          <w:b/>
        </w:rPr>
        <w:t>RQ4</w:t>
      </w:r>
      <w:r>
        <w:t xml:space="preserve"> — How does treating development impact as a separate objective change</w:t>
      </w:r>
    </w:p>
    <w:p>
      <w:r>
        <w:t>the assessment of applications, compared with credit risk alone?</w:t>
      </w:r>
    </w:p>
    <w:p>
      <w:r>
        <w:t>These differ from the questions in the original research proposal. The literature review (§2.3.3) established that the contribution originally claimed — applying fuzzy multi-criteria methods to SME credit scoring — is already published. The questions were revised accordingly rather than restated in a form the literature no longer supports.</w:t>
      </w:r>
    </w:p>
    <w:p>
      <w:pPr>
        <w:pStyle w:val="Heading2"/>
      </w:pPr>
      <w:r>
        <w:t>1.4 Objectives</w:t>
      </w:r>
    </w:p>
    <w:p>
      <w:pPr>
        <w:pStyle w:val="ListNumber"/>
      </w:pPr>
      <w:r>
        <w:t>Derive a computable criteria model from the People's Bank appraisal form, with</w:t>
      </w:r>
    </w:p>
    <w:p>
      <w:r>
        <w:t>every criterion traceable to a numbered clause.</w:t>
      </w:r>
    </w:p>
    <w:p>
      <w:pPr>
        <w:pStyle w:val="ListNumber"/>
      </w:pPr>
      <w:r>
        <w:t>Implement a scoring method handling both measured quantities and linguistic</w:t>
      </w:r>
    </w:p>
    <w:p>
      <w:r>
        <w:t>judgements, reporting per-criterion contributions.</w:t>
      </w:r>
    </w:p>
    <w:p>
      <w:pPr>
        <w:pStyle w:val="ListNumber"/>
      </w:pPr>
      <w:r>
        <w:t>Build a working decision-support system that produces its output in the</w:t>
      </w:r>
    </w:p>
    <w:p>
      <w:r>
        <w:t>institution's own report format.</w:t>
      </w:r>
    </w:p>
    <w:p>
      <w:pPr>
        <w:pStyle w:val="ListNumber"/>
      </w:pPr>
      <w:r>
        <w:t>Elicit criterion weights from practitioners using a method whose response</w:t>
      </w:r>
    </w:p>
    <w:p>
      <w:r>
        <w:t>burden is realistic and whose consistency is measurable.</w:t>
      </w:r>
    </w:p>
    <w:p>
      <w:pPr>
        <w:pStyle w:val="ListNumber"/>
      </w:pPr>
      <w:r>
        <w:t>Evaluate what can be established about the model empirically — and state</w:t>
      </w:r>
    </w:p>
    <w:p>
      <w:r>
        <w:t>plainly what cannot.</w:t>
      </w:r>
    </w:p>
    <w:p>
      <w:pPr>
        <w:pStyle w:val="Heading2"/>
      </w:pPr>
      <w:r>
        <w:t>1.5 A note on the second objective</w:t>
      </w:r>
    </w:p>
    <w:p>
      <w:r>
        <w:t>The bank's form scores nine developmental outcomes in clause 5 and disaggregates employment by gender in clause 3.4.1. These are not credit risk. A project can create employment, substitute imports and earn foreign exchange while remaining a weak credit; the reverse also holds.</w:t>
      </w:r>
    </w:p>
    <w:p>
      <w:r>
        <w:t>Conventional credit scoring optimises one thing: the probability of repayment. Applying that framing to this instrument would mean deleting clause 5 — discarding the developmental half of a state bank's mandate because it does not fit the model.</w:t>
      </w:r>
    </w:p>
    <w:p>
      <w:r>
        <w:t xml:space="preserve">This study therefore scores two objectives and </w:t>
      </w:r>
      <w:r>
        <w:rPr>
          <w:b/>
        </w:rPr>
        <w:t>reports them separately, never combining them into a single figure</w:t>
      </w:r>
      <w:r>
        <w:t>. Prior work has scored social impact alongside credit risk (§2.4.1); what is done differently here is the refusal to aggregate. That refusal is supported by evidence: appraisal at a multilateral development bank shows development and credit concerns to be empirically independent (§2.4.2), so a combined score would discard real information rather than summarise it.</w:t>
      </w:r>
    </w:p>
    <w:p>
      <w:pPr>
        <w:pStyle w:val="Heading2"/>
      </w:pPr>
      <w:r>
        <w:t>1.6 Scope and delimitations</w:t>
      </w:r>
    </w:p>
    <w:p>
      <w:r>
        <w:rPr>
          <w:b/>
        </w:rPr>
        <w:t>In scope.</w:t>
      </w:r>
      <w:r>
        <w:t xml:space="preserve"> One institution's appraisal instrument; a working system; weight elicitation from practitioners; empirical validation of the scoring machinery against public data with realised outcomes.</w:t>
      </w:r>
    </w:p>
    <w:p>
      <w:r>
        <w:rPr>
          <w:b/>
        </w:rPr>
        <w:t>Out of scope.</w:t>
      </w:r>
      <w:r>
        <w:t xml:space="preserve"> Automated credit decisioning — the system supports the officer and does not replace them. Validation against People's Bank's own historical outcomes, which were not accessible and are confidential. Field deployment. Any claim that the model generalises beyond the instrument it was derived from.</w:t>
      </w:r>
    </w:p>
    <w:p>
      <w:r>
        <w:rPr>
          <w:b/>
        </w:rPr>
        <w:t>The central limitation, stated at the outset.</w:t>
      </w:r>
      <w:r>
        <w:t xml:space="preserve"> No public dataset contains the criteria this model scores. Empirical validation therefore uses a proxy dataset and tests the scoring machinery, not the criteria tree. Chapter 5 reports what follows from that honestly, including a negative result.</w:t>
      </w:r>
    </w:p>
    <w:p>
      <w:pPr>
        <w:pStyle w:val="Heading2"/>
      </w:pPr>
      <w:r>
        <w:t>1.7 Contributions</w:t>
      </w:r>
    </w:p>
    <w:p>
      <w:pPr>
        <w:pStyle w:val="ListNumber"/>
      </w:pPr>
      <w:r>
        <w:rPr>
          <w:b/>
        </w:rPr>
        <w:t>Contamination in a widely used benchmark dataset.</w:t>
      </w:r>
      <w:r>
        <w:t xml:space="preserve"> In the SBA National</w:t>
      </w:r>
    </w:p>
    <w:p>
      <w:r>
        <w:t xml:space="preserve">dataset, whether the </w:t>
      </w:r>
      <w:r>
        <w:rPr>
          <w:rFonts w:ascii="Consolas" w:hAnsi="Consolas"/>
          <w:sz w:val="19"/>
        </w:rPr>
        <w:t>Term</w:t>
      </w:r>
      <w:r>
        <w:t xml:space="preserve"> field is an exact multiple of twelve predicts default at AUC 0.889 — within every approval year, despite carrying no economic meaning. Excluding the field drops gradient-boosting temporal AUC from 0.946 to 0.608. The contamination is demonstrated; its mechanism is reported as unresolved rather than asserted.</w:t>
      </w:r>
    </w:p>
    <w:p>
      <w:pPr>
        <w:pStyle w:val="ListNumber"/>
      </w:pPr>
      <w:r>
        <w:rPr>
          <w:b/>
        </w:rPr>
        <w:t>A methodological consequence</w:t>
      </w:r>
      <w:r>
        <w:t>: an instrument-specific appraisal model</w:t>
      </w:r>
    </w:p>
    <w:p>
      <w:r>
        <w:t>cannot be validated on a dataset lacking its variables. Substituting available proxies tests the proxies, not the model — evidenced by a scorecard that failed to discriminate (§5.6).</w:t>
      </w:r>
    </w:p>
    <w:p>
      <w:pPr>
        <w:pStyle w:val="ListNumber"/>
      </w:pPr>
      <w:r>
        <w:rPr>
          <w:b/>
        </w:rPr>
        <w:t>A clause-traceable formalisation method</w:t>
      </w:r>
      <w:r>
        <w:t xml:space="preserve"> taking a named state bank's</w:t>
      </w:r>
    </w:p>
    <w:p>
      <w:r>
        <w:t>production form to a 49-criterion computable model, transferable to comparable institutions.</w:t>
      </w:r>
    </w:p>
    <w:p>
      <w:pPr>
        <w:pStyle w:val="ListNumber"/>
      </w:pPr>
      <w:r>
        <w:rPr>
          <w:b/>
        </w:rPr>
        <w:t>A working system</w:t>
      </w:r>
      <w:r>
        <w:t xml:space="preserve"> producing dual-objective, explainable assessments and</w:t>
      </w:r>
    </w:p>
    <w:p>
      <w:r>
        <w:t>exporting them in the bank's own report format.</w:t>
      </w:r>
    </w:p>
    <w:p>
      <w:pPr>
        <w:pStyle w:val="ListNumber"/>
      </w:pPr>
      <w:r>
        <w:rPr>
          <w:b/>
        </w:rPr>
        <w:t>A design finding</w:t>
      </w:r>
      <w:r>
        <w:t>: weight renormalisation over unassessed criteria allows a</w:t>
      </w:r>
    </w:p>
    <w:p>
      <w:r>
        <w:t>sparse appraisal to produce a confident score, requiring an explicit completeness gate (§4.5).</w:t>
      </w:r>
    </w:p>
    <w:p>
      <w:r>
        <w:t>Contributions 1 and 2 are the substantial ones. Contributions 3 to 5 are real but incremental, and are described as such throughout.</w:t>
      </w:r>
    </w:p>
    <w:p>
      <w:pPr>
        <w:pStyle w:val="Heading2"/>
      </w:pPr>
      <w:r>
        <w:t>1.8 Structure</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Chapter</w:t>
            </w:r>
          </w:p>
        </w:tc>
        <w:tc>
          <w:tcPr>
            <w:tcW w:type="dxa" w:w="4320"/>
          </w:tcPr>
          <w:p>
            <w:r>
              <w:rPr>
                <w:b/>
                <w:sz w:val="18"/>
              </w:rPr>
              <w:t>Content</w:t>
            </w:r>
          </w:p>
        </w:tc>
      </w:tr>
      <w:tr>
        <w:tc>
          <w:tcPr>
            <w:tcW w:type="dxa" w:w="4320"/>
          </w:tcPr>
          <w:p>
            <w:r>
              <w:rPr>
                <w:sz w:val="18"/>
              </w:rPr>
              <w:t>2</w:t>
            </w:r>
          </w:p>
        </w:tc>
        <w:tc>
          <w:tcPr>
            <w:tcW w:type="dxa" w:w="4320"/>
          </w:tcPr>
          <w:p>
            <w:r>
              <w:rPr>
                <w:sz w:val="18"/>
              </w:rPr>
              <w:t>Literature: MCDM in credit, non-financial objectives, explainability, and what remains open</w:t>
            </w:r>
          </w:p>
        </w:tc>
      </w:tr>
      <w:tr>
        <w:tc>
          <w:tcPr>
            <w:tcW w:type="dxa" w:w="4320"/>
          </w:tcPr>
          <w:p>
            <w:r>
              <w:rPr>
                <w:sz w:val="18"/>
              </w:rPr>
              <w:t>3</w:t>
            </w:r>
          </w:p>
        </w:tc>
        <w:tc>
          <w:tcPr>
            <w:tcW w:type="dxa" w:w="4320"/>
          </w:tcPr>
          <w:p>
            <w:r>
              <w:rPr>
                <w:sz w:val="18"/>
              </w:rPr>
              <w:t>Methodology: design science, formalisation, BWM elicitation, validation protocol, ethics</w:t>
            </w:r>
          </w:p>
        </w:tc>
      </w:tr>
      <w:tr>
        <w:tc>
          <w:tcPr>
            <w:tcW w:type="dxa" w:w="4320"/>
          </w:tcPr>
          <w:p>
            <w:r>
              <w:rPr>
                <w:sz w:val="18"/>
              </w:rPr>
              <w:t>4</w:t>
            </w:r>
          </w:p>
        </w:tc>
        <w:tc>
          <w:tcPr>
            <w:tcW w:type="dxa" w:w="4320"/>
          </w:tcPr>
          <w:p>
            <w:r>
              <w:rPr>
                <w:sz w:val="18"/>
              </w:rPr>
              <w:t>Design and implementation of the criteria model and system</w:t>
            </w:r>
          </w:p>
        </w:tc>
      </w:tr>
      <w:tr>
        <w:tc>
          <w:tcPr>
            <w:tcW w:type="dxa" w:w="4320"/>
          </w:tcPr>
          <w:p>
            <w:r>
              <w:rPr>
                <w:sz w:val="18"/>
              </w:rPr>
              <w:t>5</w:t>
            </w:r>
          </w:p>
        </w:tc>
        <w:tc>
          <w:tcPr>
            <w:tcW w:type="dxa" w:w="4320"/>
          </w:tcPr>
          <w:p>
            <w:r>
              <w:rPr>
                <w:sz w:val="18"/>
              </w:rPr>
              <w:t>Empirical validation, the contamination finding, and a negative result</w:t>
            </w:r>
          </w:p>
        </w:tc>
      </w:tr>
      <w:tr>
        <w:tc>
          <w:tcPr>
            <w:tcW w:type="dxa" w:w="4320"/>
          </w:tcPr>
          <w:p>
            <w:r>
              <w:rPr>
                <w:sz w:val="18"/>
              </w:rPr>
              <w:t>6</w:t>
            </w:r>
          </w:p>
        </w:tc>
        <w:tc>
          <w:tcPr>
            <w:tcW w:type="dxa" w:w="4320"/>
          </w:tcPr>
          <w:p>
            <w:r>
              <w:rPr>
                <w:sz w:val="18"/>
              </w:rPr>
              <w:t>Elicitation results, discussion, limitations, conclusion</w:t>
            </w:r>
          </w:p>
        </w:tc>
      </w:tr>
    </w:tbl>
    <w:p/>
    <w:p>
      <w:r>
        <w:t>A note on presentation. This thesis reports several things that did not work: a claimed contribution withdrawn after the literature review, a scorecard that failed to discriminate, and a mechanism hypothesis tested and rejected. These are reported because a study that presents only its successes gives the reader no way to judge the reliability of any of them.</w:t>
      </w:r>
    </w:p>
    <w:p>
      <w:r>
        <w:br w:type="page"/>
      </w:r>
    </w:p>
    <w:p>
      <w:pPr>
        <w:pStyle w:val="Heading1"/>
      </w:pPr>
      <w:r>
        <w:t>Chapter 2 — Literature Review</w:t>
      </w:r>
    </w:p>
    <w:p>
      <w:pPr>
        <w:ind w:left="504"/>
      </w:pPr>
      <w:r>
        <w:rPr>
          <w:i/>
          <w:sz w:val="20"/>
        </w:rPr>
        <w:t>Verification note for the author. Every source cited here was located</w:t>
      </w:r>
    </w:p>
    <w:p>
      <w:pPr>
        <w:ind w:left="504"/>
      </w:pPr>
      <w:r>
        <w:rPr>
          <w:i/>
          <w:sz w:val="20"/>
        </w:rPr>
        <w:t>through a literature search and its bibliographic details checked. Before</w:t>
      </w:r>
    </w:p>
    <w:p>
      <w:pPr>
        <w:ind w:left="504"/>
      </w:pPr>
      <w:r>
        <w:rPr>
          <w:i/>
          <w:sz w:val="20"/>
        </w:rPr>
        <w:t>submission, obtain and read each paper directly — do not cite from a summary.</w:t>
      </w:r>
    </w:p>
    <w:p>
      <w:pPr>
        <w:ind w:left="504"/>
      </w:pPr>
      <w:r>
        <w:rPr>
          <w:i/>
          <w:sz w:val="20"/>
        </w:rPr>
        <w:t>Where this chapter says a claim is "not found in the searched literature", that</w:t>
      </w:r>
    </w:p>
    <w:p>
      <w:pPr>
        <w:ind w:left="504"/>
      </w:pPr>
      <w:r>
        <w:rPr>
          <w:i/>
          <w:sz w:val="20"/>
        </w:rPr>
        <w:t>is a statement about a non-exhaustive search, not a claim of priority.</w:t>
      </w:r>
    </w:p>
    <w:p>
      <w:pPr>
        <w:pStyle w:val="Heading2"/>
      </w:pPr>
      <w:r>
        <w:t>2.1 Scope</w:t>
      </w:r>
    </w:p>
    <w:p>
      <w:r>
        <w:t>This review covers four bodies of work bearing on the research questions: credit scoring for SMEs; multi-criteria decision methods applied to credit; non-financial objectives in lending; and explainability requirements. It closes by stating what the present study adds — which, after examining the literature, is narrower than initially supposed.</w:t>
      </w:r>
    </w:p>
    <w:p>
      <w:pPr>
        <w:pStyle w:val="Heading2"/>
      </w:pPr>
      <w:r>
        <w:t>2.2 SME credit assessment</w:t>
      </w:r>
    </w:p>
    <w:p>
      <w:r>
        <w:t>Credit scoring has a long statistical lineage, from discriminant analysis through logistic regression to modern machine learning. For SMEs the problem is harder than for consumer credit: financial statements are often unaudited or absent, trading histories are short, and collateral is thin.</w:t>
      </w:r>
    </w:p>
    <w:p>
      <w:r>
        <w:t>In Sri Lanka specifically, access to finance is repeatedly identified as a principal constraint on SME growth. The supply-side barriers documented include absent formal records, lack of tangible collateral, non-submission of financial statements, and limited management capacity — with policy responses proposed around SME credit rating, credit guarantee schemes and SME-friendly banking practice (Institute of Policy Studies, Sri Lanka). This establishes the practical motivation for the present study but does not address the appraisal *process* itself, which is where this research is situated.</w:t>
      </w:r>
    </w:p>
    <w:p>
      <w:pPr>
        <w:pStyle w:val="Heading3"/>
      </w:pPr>
      <w:r>
        <w:t>2.2.1 Variability in human credit judgement</w:t>
      </w:r>
    </w:p>
    <w:p>
      <w:r>
        <w:t>This study is premised on manual appraisal being inconsistent. That premise should not rest on assertion, and it does not have to.</w:t>
      </w:r>
    </w:p>
    <w:p>
      <w:r>
        <w:t>Cortés, Duchin and Sosyura (2016) provide causal evidence. Using daily fluctuations in local sunshine as an instrument for sentiment, they show that the mood of lower-level financial officers affects day-to-day credit decisions: positive sentiment raises approval rates, negative sentiment lowers them by a larger magnitude, and the variation affects subsequent financial performance and produces real effects. Officers are, measurably, influenced by something with no bearing whatever on the borrower.</w:t>
      </w:r>
    </w:p>
    <w:p>
      <w:r>
        <w:t xml:space="preserve">Two features of their result matter directly here. The effects are </w:t>
      </w:r>
      <w:r>
        <w:rPr>
          <w:b/>
        </w:rPr>
        <w:t>stronger when decisions require more discretion and when reviews are less automated</w:t>
      </w:r>
      <w:r>
        <w:t xml:space="preserve"> — which describes the People's Bank instrument precisely, since clause 7 asks for a viability judgement with no stated procedure for reaching it. And the mechanism is not incompetence but ordinary human variability, which is why the response pursued in this study is to structure the judgement rather than to remove the officer.</w:t>
      </w:r>
    </w:p>
    <w:p>
      <w:r>
        <w:t>Related work reaches similar conclusions from other directions: studies of discretion in loan rate setting, and of loan officers' subjective judgement in microfinance, where risk classification rests on recollected professional experience rather than an explicit model.</w:t>
      </w:r>
    </w:p>
    <w:p>
      <w:r>
        <w:t>The premise is therefore supported by the literature even though this study does not itself measure inter-rater reliability. That omission remains the most significant gap in the present work (§6.4), and Cortés et al. indicate what a well-designed measurement would look for.</w:t>
      </w:r>
    </w:p>
    <w:p>
      <w:pPr>
        <w:pStyle w:val="Heading2"/>
      </w:pPr>
      <w:r>
        <w:t>2.3 Multi-criteria decision methods in credit evaluation</w:t>
      </w:r>
    </w:p>
    <w:p>
      <w:pPr>
        <w:pStyle w:val="Heading3"/>
      </w:pPr>
      <w:r>
        <w:t>2.3.1 Fuzzy MCDM for credit scoring</w:t>
      </w:r>
    </w:p>
    <w:p>
      <w:r>
        <w:t>Where credit judgement is linguistic and imprecise, fuzzy set theory offers a representation that discards less information than forcing a crisp number. Fuzzy AHP has been applied to generate criteria weights in credit scoring decision-support systems, with fuzzy linguistic variables used explicitly to capture the vagueness arising from human subjectivity. More recent work combines fuzzy AHP with neural approaches for SME credit risk assessment, identifying financial status and development planning as dominant risk themes.</w:t>
      </w:r>
    </w:p>
    <w:p>
      <w:pPr>
        <w:pStyle w:val="Heading3"/>
      </w:pPr>
      <w:r>
        <w:t>2.3.2 Best-Worst Method</w:t>
      </w:r>
    </w:p>
    <w:p>
      <w:r>
        <w:t>The Best-Worst Method (Rezaei, 2015) determines criteria weights from two comparison vectors: the best criterion against all others, and all others against the worst. It requires 2n−3 comparisons rather than AHP's n(n−1)/2, and the anchoring of every comparison to a fixed reference tends to produce more consistent responses. Rezaei (2016) subsequently gave a linear formulation with a unique solution, which is the form used in this study.</w:t>
      </w:r>
    </w:p>
    <w:p>
      <w:pPr>
        <w:pStyle w:val="Heading3"/>
      </w:pPr>
      <w:r>
        <w:t>2.3.3 Prior work closest to this study</w:t>
      </w:r>
    </w:p>
    <w:p>
      <w:r>
        <w:rPr>
          <w:b/>
        </w:rPr>
        <w:t>Roy and Shaw (2021) is the nearest precedent and must be acknowledged plainly.</w:t>
      </w:r>
      <w:r>
        <w:t xml:space="preserve"> They construct a multicriteria credit scoring model for SMEs using exactly the hybrid this study's methodology chapter proposes: BWM to determine criteria weights, combined with a ranking method (TOPSIS) to score applicants. They report credit history, cash liquidity and repayment period as the dominant criteria.</w:t>
      </w:r>
    </w:p>
    <w:p>
      <w:r>
        <w:t xml:space="preserve">The implication is direct: </w:t>
      </w:r>
      <w:r>
        <w:rPr>
          <w:b/>
        </w:rPr>
        <w:t>applying BWM to SME credit scoring is not novel.</w:t>
      </w:r>
      <w:r>
        <w:t xml:space="preserve"> An earlier draft of this research treated the fuzzy-MCDM combination as its methodological contribution. The literature does not support that claim, and it is withdrawn. Related work extends the same family further — fuzzy BWM with fuzzy TOPSIS for sustainable credit scoring, and fuzzy-BWM with TOPSIS-Sort-C for credit rating — confirming that the method space is well populated.</w:t>
      </w:r>
    </w:p>
    <w:p>
      <w:r>
        <w:t xml:space="preserve">What remains open is not the method but its </w:t>
      </w:r>
      <w:r>
        <w:rPr>
          <w:b/>
        </w:rPr>
        <w:t>object</w:t>
      </w:r>
      <w:r>
        <w:t>: no located study formalises a *specific, named, operational appraisal instrument* of a state bank, with every criterion traceable to a numbered clause of that institution's own document.</w:t>
      </w:r>
    </w:p>
    <w:p>
      <w:pPr>
        <w:pStyle w:val="Heading2"/>
      </w:pPr>
      <w:r>
        <w:t>2.4 Non-financial objectives in lending</w:t>
      </w:r>
    </w:p>
    <w:p>
      <w:pPr>
        <w:pStyle w:val="Heading3"/>
      </w:pPr>
      <w:r>
        <w:t>2.4.1 Social criteria in credit scoring</w:t>
      </w:r>
    </w:p>
    <w:p>
      <w:r>
        <w:t>Gutiérrez-Nieto, Serrano-Cinca and Camón-Cala (2016) build a credit score system for socially responsible lending that evaluates social alongside financial aspects, quantifying a loan's impact on outcomes such as employment, education, environment and health, and using MCDM to combine them. Their system yields not only a score but an account of an application's strengths and weaknesses.</w:t>
      </w:r>
    </w:p>
    <w:p>
      <w:r>
        <w:t xml:space="preserve">This is close to the present study's second objective, and again narrows the novelty claim: </w:t>
      </w:r>
      <w:r>
        <w:rPr>
          <w:b/>
        </w:rPr>
        <w:t>scoring social impact alongside credit risk has been done.</w:t>
      </w:r>
      <w:r>
        <w:t xml:space="preserve"> The difference here is one of institutional grounding — the development criteria in this study are not selected by the researcher from a development framework, but taken from clause 5 of an instrument a state bank already uses in production.</w:t>
      </w:r>
    </w:p>
    <w:p>
      <w:pPr>
        <w:pStyle w:val="Heading3"/>
      </w:pPr>
      <w:r>
        <w:t>2.4.2 Development returns and credit risk in development banking</w:t>
      </w:r>
    </w:p>
    <w:p>
      <w:r>
        <w:t>Arvanitis, Stampini and Vencatachellum (2015) examine ex-ante appraisal at the African Development Bank and report a result of direct consequence for this study:</w:t>
      </w:r>
    </w:p>
    <w:p>
      <w:r>
        <w:rPr>
          <w:b/>
        </w:rPr>
        <w:t>development and risk concerns considered during project appraisal are empirically independent of one another</w:t>
      </w:r>
      <w:r>
        <w:t>, and no assumption should be made about one from the other.</w:t>
      </w:r>
    </w:p>
    <w:p>
      <w:r>
        <w:t>This is the strongest available justification for the design decision taken in Chapter 4. If the two objectives were strongly correlated, a single combined score would lose little. Because they are independent, aggregation destroys real information: a facility strong on credit and weak on development is a materially different proposition from one moderate on both, and a combined score renders them indistinguishable. The present study's refusal to merge the two objectives is therefore not merely a presentational preference but is supported by prior empirical evidence.</w:t>
      </w:r>
    </w:p>
    <w:p>
      <w:pPr>
        <w:pStyle w:val="Heading2"/>
      </w:pPr>
      <w:r>
        <w:t>2.5 Explainability and its regulatory basis</w:t>
      </w:r>
    </w:p>
    <w:p>
      <w:r>
        <w:t>Explainability in credit is a legal requirement, not a design preference. Under the U.S. Equal Credit Opportunity Act and Regulation B, creditors must state the specific principal reasons for adverse action; regulatory guidance has held that a creditor cannot excuse non-compliance on the grounds that its technology is too complex to interpret, nor satisfy the requirement by citing broad categories. Credit scoring is designated high-risk under the EU AI Act.</w:t>
      </w:r>
    </w:p>
    <w:p>
      <w:r>
        <w:t>Two consequences follow for this study. First, a scoring model intended for adoption inside a bank must decompose its output into per-criterion contributions — which is why the engine reports contributions summing exactly to the parent score. Second, an interpretable model that loses some discrimination relative to an opaque one may still be the only deployable option, which reframes the comparison in Chapter 5: the question is not merely which model scores highest.</w:t>
      </w:r>
    </w:p>
    <w:p>
      <w:pPr>
        <w:pStyle w:val="Heading2"/>
      </w:pPr>
      <w:r>
        <w:t>2.6 The SBA National dataset</w:t>
      </w:r>
    </w:p>
    <w:p>
      <w:r>
        <w:t>Li, Mickel and Taylor (2018) introduced the SBA National dataset — 899,164 loan guarantees, 1987–2014, with realised outcomes — as a teaching resource for statistics as investigative decision-making. It has since become a widely used benchmark in small-business credit research.</w:t>
      </w:r>
    </w:p>
    <w:p>
      <w:r>
        <w:t xml:space="preserve">The searched literature discusses feature importance in this dataset, and notes </w:t>
      </w:r>
      <w:r>
        <w:rPr>
          <w:rFonts w:ascii="Consolas" w:hAnsi="Consolas"/>
          <w:sz w:val="19"/>
        </w:rPr>
        <w:t>Term</w:t>
      </w:r>
      <w:r>
        <w:t>, disbursement and approval amounts as significant predictors of default. General treatments of leakage in credit modelling identify interest rate, issue date and outstanding principal as fields to remove.</w:t>
      </w:r>
    </w:p>
    <w:p>
      <w:r>
        <w:t xml:space="preserve">Leakage of this kind is a recognised and widespread problem in ML-based science rather than an isolated curiosity. Kapoor and Narayanan (2023) surveyed literature across seventeen fields and found leakage affecting </w:t>
      </w:r>
      <w:r>
        <w:rPr>
          <w:b/>
        </w:rPr>
        <w:t>294 papers</w:t>
      </w:r>
      <w:r>
        <w:t>, in some cases producing wildly overoptimistic conclusions, and set out a taxonomy of eight leakage types. Their central observation — that leakage is the single largest cause of irreproducibility in ML-based science — is the frame within which Chapter 5's finding should be read: not as a defect peculiar to one dataset, but as an instance of a documented, recurring failure.</w:t>
      </w:r>
    </w:p>
    <w:p>
      <w:r>
        <w:rPr>
          <w:b/>
        </w:rPr>
        <w:t>No located source reports that the `Term` field itself carries outcome information.</w:t>
      </w:r>
      <w:r>
        <w:t xml:space="preserve"> Chapter 5 presents evidence that it does. This is stated as a finding the author has not found documented elsewhere, which is weaker than a claim of priority and is the appropriate claim given a non-exhaustive search.</w:t>
      </w:r>
    </w:p>
    <w:p>
      <w:pPr>
        <w:pStyle w:val="Heading2"/>
      </w:pPr>
      <w:r>
        <w:t>2.7 Research gap</w:t>
      </w:r>
    </w:p>
    <w:p>
      <w:r>
        <w:t xml:space="preserve">Consolidating the above, the following are </w:t>
      </w:r>
      <w:r>
        <w:rPr>
          <w:b/>
        </w:rPr>
        <w:t>not</w:t>
      </w:r>
      <w:r>
        <w:t xml:space="preserve"> contributions of this study, contrary to the initial proposal:</w:t>
      </w:r>
    </w:p>
    <w:p>
      <w:pPr>
        <w:pStyle w:val="ListBullet"/>
      </w:pPr>
      <w:r>
        <w:t>applying BWM or fuzzy MCDM to SME credit scoring (Roy and Shaw, 2021);</w:t>
      </w:r>
    </w:p>
    <w:p>
      <w:pPr>
        <w:pStyle w:val="ListBullet"/>
      </w:pPr>
      <w:r>
        <w:t>scoring social or developmental impact alongside credit risk</w:t>
      </w:r>
    </w:p>
    <w:p>
      <w:r>
        <w:t>(Gutiérrez-Nieto et al., 2016);</w:t>
      </w:r>
    </w:p>
    <w:p>
      <w:pPr>
        <w:pStyle w:val="ListBullet"/>
      </w:pPr>
      <w:r>
        <w:t>observing that development banks appraise against two objectives</w:t>
      </w:r>
    </w:p>
    <w:p>
      <w:r>
        <w:t>(Arvanitis et al., 2015).</w:t>
      </w:r>
    </w:p>
    <w:p>
      <w:r>
        <w:t>What the literature leaves open, and what this study addresses:</w:t>
      </w:r>
    </w:p>
    <w:p>
      <w:pPr>
        <w:pStyle w:val="ListNumber"/>
      </w:pPr>
      <w:r>
        <w:rPr>
          <w:b/>
        </w:rPr>
        <w:t>Formalising a specific operational instrument.</w:t>
      </w:r>
      <w:r>
        <w:t xml:space="preserve"> Existing models select</w:t>
      </w:r>
    </w:p>
    <w:p>
      <w:r>
        <w:t>criteria from theory or from the researcher's judgement. None located takes a named state bank's production appraisal form and derives a computable model from it clause by clause, with full traceability maintained as a design constraint.</w:t>
      </w:r>
    </w:p>
    <w:p>
      <w:pPr>
        <w:pStyle w:val="ListNumber"/>
      </w:pPr>
      <w:r>
        <w:rPr>
          <w:b/>
        </w:rPr>
        <w:t>Keeping dual objectives unaggregated.</w:t>
      </w:r>
      <w:r>
        <w:t xml:space="preserve"> Prior dual-objective systems combine</w:t>
      </w:r>
    </w:p>
    <w:p>
      <w:r>
        <w:t>social and financial scores. Given Arvanitis et al.'s independence result, this study reports them separately by design and never produces a combined figure.</w:t>
      </w:r>
    </w:p>
    <w:p>
      <w:pPr>
        <w:pStyle w:val="ListNumber"/>
      </w:pPr>
      <w:r>
        <w:rPr>
          <w:b/>
        </w:rPr>
        <w:t>The Sri Lankan state-bank context</w:t>
      </w:r>
      <w:r>
        <w:t>, which is documented as finance-constrained</w:t>
      </w:r>
    </w:p>
    <w:p>
      <w:r>
        <w:t>but not studied at the level of appraisal process.</w:t>
      </w:r>
    </w:p>
    <w:p>
      <w:pPr>
        <w:pStyle w:val="ListNumber"/>
      </w:pPr>
      <w:r>
        <w:rPr>
          <w:b/>
        </w:rPr>
        <w:t>Contamination in a widely used benchmark dataset</w:t>
      </w:r>
      <w:r>
        <w:t xml:space="preserve"> (Chapter 5), and the</w:t>
      </w:r>
    </w:p>
    <w:p>
      <w:r>
        <w:t>consequent methodological point that instrument-specific models cannot be validated on datasets lacking their variables.</w:t>
      </w:r>
    </w:p>
    <w:p>
      <w:r>
        <w:t>Contribution 4 is the most substantial and the most transferable. Contributions 1 to 3 are real but incremental, and are stated as such.</w:t>
      </w:r>
    </w:p>
    <w:p/>
    <w:p>
      <w:pPr>
        <w:pStyle w:val="Heading2"/>
      </w:pPr>
      <w:r>
        <w:t>References</w:t>
      </w:r>
    </w:p>
    <w:p>
      <w:r>
        <w:t>Cortés, K.R., Duchin, R. and Sosyura, D. (2016) 'Clouded judgment: The role of sentiment in credit origination', *Journal of Financial Economics*, 121(2), pp. 392–413.</w:t>
      </w:r>
    </w:p>
    <w:p>
      <w:r>
        <w:t>Kapoor, S. and Narayanan, A. (2023) 'Leakage and the reproducibility crisis in machine-learning-based science', *Patterns*, 4(9), 100804. doi:10.1016/j.patter.2023.100804.</w:t>
      </w:r>
    </w:p>
    <w:p>
      <w:r>
        <w:t>Arvanitis, Y., Stampini, M. and Vencatachellum, D. (2015) 'Balancing development returns and credit risks: project appraisal in a multilateral development bank',</w:t>
      </w:r>
    </w:p>
    <w:p>
      <w:r>
        <w:t>*Impact Assessment and Project Appraisal*, 33(3), pp. 195–206. doi:10.1080/14615517.2015.1041837.</w:t>
      </w:r>
    </w:p>
    <w:p>
      <w:r>
        <w:t>Gutiérrez-Nieto, B., Serrano-Cinca, C. and Camón-Cala, J. (2016) 'A Credit Score System for Socially Responsible Lending', *Journal of Business Ethics*, 133(4), pp. 691–701. doi:10.1007/s10551-014-2448-5.</w:t>
      </w:r>
    </w:p>
    <w:p>
      <w:r>
        <w:t>Li, M., Mickel, A. and Taylor, S. (2018) '"Should This Loan be Approved or Denied?": A Large Dataset with Class Assignment Guidelines', *Journal of Statistics Education*, 26(1), pp. 55–66. doi:10.1080/10691898.2018.1434342.</w:t>
      </w:r>
    </w:p>
    <w:p>
      <w:r>
        <w:t>Rezaei, J. (2015) 'Best-worst multi-criteria decision-making method', *Omega*, 53, pp. 49–57. doi:10.1016/j.omega.2014.11.009.</w:t>
      </w:r>
    </w:p>
    <w:p>
      <w:r>
        <w:t>Rezaei, J. (2016) 'Best-worst multi-criteria decision-making method: Some properties and a linear model', *Omega*, 64, pp. 126–130.</w:t>
      </w:r>
    </w:p>
    <w:p>
      <w:r>
        <w:t>Roy, P.K. and Shaw, K. (2021) 'A multicriteria credit scoring model for SMEs using hybrid BWM and TOPSIS', *Financial Innovation*, 7(1). doi:10.1186/s40854-021-00295-5.</w:t>
      </w:r>
    </w:p>
    <w:p>
      <w:r>
        <w:rPr>
          <w:b/>
        </w:rPr>
        <w:t>To be completed before submission</w:t>
      </w:r>
      <w:r>
        <w:t xml:space="preserve"> — the following were located but require retrieval and full bibliographic capture:</w:t>
      </w:r>
    </w:p>
    <w:p>
      <w:pPr>
        <w:pStyle w:val="ListBullet"/>
      </w:pPr>
      <w:r>
        <w:t>Fuzzy decision support system for credit scoring, *Neural Computing and</w:t>
      </w:r>
    </w:p>
    <w:p>
      <w:r>
        <w:t>Applications* (Springer), doi:10.1007/s00521-016-2592-1</w:t>
      </w:r>
    </w:p>
    <w:p>
      <w:pPr>
        <w:pStyle w:val="ListBullet"/>
      </w:pPr>
      <w:r>
        <w:t>Integrated fuzzy credit rating model using fuzzy-BWM and fuzzy-TOPSIS-Sort-C,</w:t>
      </w:r>
    </w:p>
    <w:p>
      <w:r>
        <w:t>*Complex &amp; Intelligent Systems*, doi:10.1007/s40747-022-00823-5</w:t>
      </w:r>
    </w:p>
    <w:p>
      <w:pPr>
        <w:pStyle w:val="ListBullet"/>
      </w:pPr>
      <w:r>
        <w:t>Multi-criteria sustainable credit score system using fuzzy BWM and fuzzy TOPSIS,</w:t>
      </w:r>
    </w:p>
    <w:p>
      <w:r>
        <w:t>*Environment, Development and Sustainability*, doi:10.1007/s10668-021-01662-z</w:t>
      </w:r>
    </w:p>
    <w:p>
      <w:pPr>
        <w:pStyle w:val="ListBullet"/>
      </w:pPr>
      <w:r>
        <w:t>Knowledge-informed neural network integrating fuzzy AHP and PCA for SME credit</w:t>
      </w:r>
    </w:p>
    <w:p>
      <w:r>
        <w:t>risk assessment, *Scientific Reports* (2025), doi:10.1038/s41598-025-21441-4</w:t>
      </w:r>
    </w:p>
    <w:p>
      <w:pPr>
        <w:pStyle w:val="ListBullet"/>
      </w:pPr>
      <w:r>
        <w:t>Institute of Policy Studies Sri Lanka, *Banking on SME Growth: Concepts,</w:t>
      </w:r>
    </w:p>
    <w:p>
      <w:r>
        <w:t>Challenges and Policy Options to Improve Access to Finance in Sri Lanka*</w:t>
      </w:r>
    </w:p>
    <w:p>
      <w:pPr>
        <w:pStyle w:val="ListBullet"/>
      </w:pPr>
      <w:r>
        <w:t>Central Bank of Sri Lanka, *Annual Report* — for national SME credit statistics</w:t>
      </w:r>
    </w:p>
    <w:p>
      <w:pPr>
        <w:pStyle w:val="ListBullet"/>
      </w:pPr>
      <w:r>
        <w:t>World Bank Enterprise Surveys — Sri Lanka firm-level access-to-finance data</w:t>
      </w:r>
    </w:p>
    <w:p>
      <w:r>
        <w:br w:type="page"/>
      </w:r>
    </w:p>
    <w:p>
      <w:pPr>
        <w:pStyle w:val="Heading1"/>
      </w:pPr>
      <w:r>
        <w:t>Chapter 3 — Methodology</w:t>
      </w:r>
    </w:p>
    <w:p>
      <w:pPr>
        <w:pStyle w:val="Heading2"/>
      </w:pPr>
      <w:r>
        <w:t>3.1 Research design</w:t>
      </w:r>
    </w:p>
    <w:p>
      <w:r>
        <w:t xml:space="preserve">This study follows </w:t>
      </w:r>
      <w:r>
        <w:rPr>
          <w:b/>
        </w:rPr>
        <w:t>Design Science Research</w:t>
      </w:r>
      <w:r>
        <w:t>: knowledge is produced by building an artefact and evaluating it. The artefact is a dual-objective decision-support system for SME credit appraisal, together with the criteria model beneath it.</w:t>
      </w:r>
    </w:p>
    <w:p>
      <w:r>
        <w:t>Three activities make up the design: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Activity</w:t>
            </w:r>
          </w:p>
        </w:tc>
        <w:tc>
          <w:tcPr>
            <w:tcW w:type="dxa" w:w="2160"/>
          </w:tcPr>
          <w:p>
            <w:r>
              <w:rPr>
                <w:b/>
                <w:sz w:val="18"/>
              </w:rPr>
              <w:t>Addresses</w:t>
            </w:r>
          </w:p>
        </w:tc>
        <w:tc>
          <w:tcPr>
            <w:tcW w:type="dxa" w:w="2160"/>
          </w:tcPr>
          <w:p>
            <w:r>
              <w:rPr>
                <w:b/>
                <w:sz w:val="18"/>
              </w:rPr>
              <w:t>Method</w:t>
            </w:r>
          </w:p>
        </w:tc>
        <w:tc>
          <w:tcPr>
            <w:tcW w:type="dxa" w:w="2160"/>
          </w:tcPr>
          <w:p>
            <w:r>
              <w:rPr>
                <w:b/>
                <w:sz w:val="18"/>
              </w:rPr>
              <w:t>Output</w:t>
            </w:r>
          </w:p>
        </w:tc>
      </w:tr>
      <w:tr>
        <w:tc>
          <w:tcPr>
            <w:tcW w:type="dxa" w:w="2160"/>
          </w:tcPr>
          <w:p>
            <w:r>
              <w:rPr>
                <w:sz w:val="18"/>
              </w:rPr>
              <w:t>Formalisation</w:t>
            </w:r>
          </w:p>
        </w:tc>
        <w:tc>
          <w:tcPr>
            <w:tcW w:type="dxa" w:w="2160"/>
          </w:tcPr>
          <w:p>
            <w:r>
              <w:rPr>
                <w:sz w:val="18"/>
              </w:rPr>
              <w:t>RQ1</w:t>
            </w:r>
          </w:p>
        </w:tc>
        <w:tc>
          <w:tcPr>
            <w:tcW w:type="dxa" w:w="2160"/>
          </w:tcPr>
          <w:p>
            <w:r>
              <w:rPr>
                <w:sz w:val="18"/>
              </w:rPr>
              <w:t>Clause-by-clause derivation from the bank's form</w:t>
            </w:r>
          </w:p>
        </w:tc>
        <w:tc>
          <w:tcPr>
            <w:tcW w:type="dxa" w:w="2160"/>
          </w:tcPr>
          <w:p>
            <w:r>
              <w:rPr>
                <w:sz w:val="18"/>
              </w:rPr>
              <w:t>49-criterion model</w:t>
            </w:r>
          </w:p>
        </w:tc>
      </w:tr>
      <w:tr>
        <w:tc>
          <w:tcPr>
            <w:tcW w:type="dxa" w:w="2160"/>
          </w:tcPr>
          <w:p>
            <w:r>
              <w:rPr>
                <w:sz w:val="18"/>
              </w:rPr>
              <w:t>Weight elicitation</w:t>
            </w:r>
          </w:p>
        </w:tc>
        <w:tc>
          <w:tcPr>
            <w:tcW w:type="dxa" w:w="2160"/>
          </w:tcPr>
          <w:p>
            <w:r>
              <w:rPr>
                <w:sz w:val="18"/>
              </w:rPr>
              <w:t>RQ2</w:t>
            </w:r>
          </w:p>
        </w:tc>
        <w:tc>
          <w:tcPr>
            <w:tcW w:type="dxa" w:w="2160"/>
          </w:tcPr>
          <w:p>
            <w:r>
              <w:rPr>
                <w:sz w:val="18"/>
              </w:rPr>
              <w:t>Best-Worst Method with practitioners</w:t>
            </w:r>
          </w:p>
        </w:tc>
        <w:tc>
          <w:tcPr>
            <w:tcW w:type="dxa" w:w="2160"/>
          </w:tcPr>
          <w:p>
            <w:r>
              <w:rPr>
                <w:sz w:val="18"/>
              </w:rPr>
              <w:t>Weights + consistency ratios</w:t>
            </w:r>
          </w:p>
        </w:tc>
      </w:tr>
      <w:tr>
        <w:tc>
          <w:tcPr>
            <w:tcW w:type="dxa" w:w="2160"/>
          </w:tcPr>
          <w:p>
            <w:r>
              <w:rPr>
                <w:sz w:val="18"/>
              </w:rPr>
              <w:t>Empirical validation</w:t>
            </w:r>
          </w:p>
        </w:tc>
        <w:tc>
          <w:tcPr>
            <w:tcW w:type="dxa" w:w="2160"/>
          </w:tcPr>
          <w:p>
            <w:r>
              <w:rPr>
                <w:sz w:val="18"/>
              </w:rPr>
              <w:t>RQ3</w:t>
            </w:r>
          </w:p>
        </w:tc>
        <w:tc>
          <w:tcPr>
            <w:tcW w:type="dxa" w:w="2160"/>
          </w:tcPr>
          <w:p>
            <w:r>
              <w:rPr>
                <w:sz w:val="18"/>
              </w:rPr>
              <w:t>Benchmarking against realised outcomes</w:t>
            </w:r>
          </w:p>
        </w:tc>
        <w:tc>
          <w:tcPr>
            <w:tcW w:type="dxa" w:w="2160"/>
          </w:tcPr>
          <w:p>
            <w:r>
              <w:rPr>
                <w:sz w:val="18"/>
              </w:rPr>
              <w:t>Chapter 5</w:t>
            </w:r>
          </w:p>
        </w:tc>
      </w:tr>
      <w:tr>
        <w:tc>
          <w:tcPr>
            <w:tcW w:type="dxa" w:w="2160"/>
          </w:tcPr>
          <w:p>
            <w:r>
              <w:rPr>
                <w:sz w:val="18"/>
              </w:rPr>
              <w:t>Objective comparison</w:t>
            </w:r>
          </w:p>
        </w:tc>
        <w:tc>
          <w:tcPr>
            <w:tcW w:type="dxa" w:w="2160"/>
          </w:tcPr>
          <w:p>
            <w:r>
              <w:rPr>
                <w:sz w:val="18"/>
              </w:rPr>
              <w:t>RQ4</w:t>
            </w:r>
          </w:p>
        </w:tc>
        <w:tc>
          <w:tcPr>
            <w:tcW w:type="dxa" w:w="2160"/>
          </w:tcPr>
          <w:p>
            <w:r>
              <w:rPr>
                <w:sz w:val="18"/>
              </w:rPr>
              <w:t>Dual-objective scoring of the same applications</w:t>
            </w:r>
          </w:p>
        </w:tc>
        <w:tc>
          <w:tcPr>
            <w:tcW w:type="dxa" w:w="2160"/>
          </w:tcPr>
          <w:p>
            <w:r>
              <w:rPr>
                <w:sz w:val="18"/>
              </w:rPr>
              <w:t>Chapters 4–6</w:t>
            </w:r>
          </w:p>
        </w:tc>
      </w:tr>
    </w:tbl>
    <w:p/>
    <w:p>
      <w:pPr>
        <w:pStyle w:val="Heading2"/>
      </w:pPr>
      <w:r>
        <w:t>3.2 Research questions</w:t>
      </w:r>
    </w:p>
    <w:p>
      <w:r>
        <w:t>The questions were revised from the original proposal after the literature review established that the initially claimed contribution was already published (§2.3.3). The revised set:</w:t>
      </w:r>
    </w:p>
    <w:p>
      <w:pPr>
        <w:pStyle w:val="ListBullet"/>
      </w:pPr>
      <w:r>
        <w:rPr>
          <w:b/>
        </w:rPr>
        <w:t>RQ1</w:t>
      </w:r>
      <w:r>
        <w:t xml:space="preserve"> — How can the narrative, multi-section appraisal instrument used by a</w:t>
      </w:r>
    </w:p>
    <w:p>
      <w:r>
        <w:t>Sri Lankan state bank be formalised into a computable multi-criteria model without discarding the judgement it encodes?</w:t>
      </w:r>
    </w:p>
    <w:p>
      <w:pPr>
        <w:pStyle w:val="ListBullet"/>
      </w:pPr>
      <w:r>
        <w:rPr>
          <w:b/>
        </w:rPr>
        <w:t>RQ2</w:t>
      </w:r>
      <w:r>
        <w:t xml:space="preserve"> — What relative weights do experienced credit practitioners assign to</w:t>
      </w:r>
    </w:p>
    <w:p>
      <w:r>
        <w:t>the resulting criteria, and how consistent are those judgements?</w:t>
      </w:r>
    </w:p>
    <w:p>
      <w:pPr>
        <w:pStyle w:val="ListBullet"/>
      </w:pPr>
      <w:r>
        <w:rPr>
          <w:b/>
        </w:rPr>
        <w:t>RQ3</w:t>
      </w:r>
      <w:r>
        <w:t xml:space="preserve"> — How does the resulting model perform against realised loan outcomes on</w:t>
      </w:r>
    </w:p>
    <w:p>
      <w:r>
        <w:t>observable criteria, relative to standard credit-scoring benchmarks?</w:t>
      </w:r>
    </w:p>
    <w:p>
      <w:pPr>
        <w:pStyle w:val="ListBullet"/>
      </w:pPr>
      <w:r>
        <w:rPr>
          <w:b/>
        </w:rPr>
        <w:t>RQ4</w:t>
      </w:r>
      <w:r>
        <w:t xml:space="preserve"> — How does treating development impact as a separate objective change</w:t>
      </w:r>
    </w:p>
    <w:p>
      <w:r>
        <w:t>the assessment of applications, compared with credit risk alone?</w:t>
      </w:r>
    </w:p>
    <w:p>
      <w:pPr>
        <w:pStyle w:val="Heading2"/>
      </w:pPr>
      <w:r>
        <w:t>3.3 Formalisation method (RQ1)</w:t>
      </w:r>
    </w:p>
    <w:p>
      <w:r>
        <w:t>The source instrument is the People's Bank *Project / Business Appraisal Report for SME Credit Facility* (Annexure I–V), an operational form in current use.</w:t>
      </w:r>
    </w:p>
    <w:p>
      <w:r>
        <w:t>Each clause was classified as directly computable, structured judgement, unstructured judgement, or administrative, and criteria were derived accordingly (§4.2.2). One constraint governed the process:</w:t>
      </w:r>
    </w:p>
    <w:p>
      <w:pPr>
        <w:ind w:left="504"/>
      </w:pPr>
      <w:r>
        <w:rPr>
          <w:i/>
          <w:sz w:val="20"/>
        </w:rPr>
        <w:t>No criterion may exist without a source clause.</w:t>
      </w:r>
    </w:p>
    <w:p>
      <w:r>
        <w:t>Every criterion in the model records the clause it derives from. This is not documentation added afterwards; it is a constraint that shaped which criteria were admitted. Its purpose is twofold — it makes any score auditable back to the institutional document that authorises it, and it prevents the model from acquiring criteria the institution never adopted.</w:t>
      </w:r>
    </w:p>
    <w:p>
      <w:r>
        <w:t>The resulting model is held as a single machine-readable file consumed by both the application and the analysis pipeline, so that no divergence between "the model in the paper" and "the model in the system" is possible.</w:t>
      </w:r>
    </w:p>
    <w:p>
      <w:pPr>
        <w:pStyle w:val="Heading2"/>
      </w:pPr>
      <w:r>
        <w:t>3.4 Scoring method</w:t>
      </w:r>
    </w:p>
    <w:p>
      <w:r>
        <w:t>Quantitative criteria map to 0–100 through piecewise-linear band anchors. Qualitative criteria are captured on a five-point linguistic scale represented as triangular fuzzy numbers, aggregated by fuzzy weighted average and defuzzified by centroid. Full specification in §4.4.</w:t>
      </w:r>
    </w:p>
    <w:p>
      <w:r>
        <w:t>Three rules govern edge cases, each chosen deliberately:</w:t>
      </w:r>
    </w:p>
    <w:p>
      <w:pPr>
        <w:pStyle w:val="ListNumber"/>
      </w:pPr>
      <w:r>
        <w:rPr>
          <w:b/>
        </w:rPr>
        <w:t>Unassessed criteria are excluded and weights renormalised</w:t>
      </w:r>
      <w:r>
        <w:t>, never treated as</w:t>
      </w:r>
    </w:p>
    <w:p>
      <w:r>
        <w:t>zero — an incomplete appraisal is not a bad one.</w:t>
      </w:r>
    </w:p>
    <w:p>
      <w:pPr>
        <w:pStyle w:val="ListNumber"/>
      </w:pPr>
      <w:r>
        <w:rPr>
          <w:b/>
        </w:rPr>
        <w:t>Below a completeness threshold, no recommendation is issued</w:t>
      </w:r>
      <w:r>
        <w:t xml:space="preserve"> — rule 1 alone</w:t>
      </w:r>
    </w:p>
    <w:p>
      <w:r>
        <w:t>allows a sparse file to produce a confident score (§4.5).</w:t>
      </w:r>
    </w:p>
    <w:p>
      <w:pPr>
        <w:pStyle w:val="ListNumber"/>
      </w:pPr>
      <w:r>
        <w:rPr>
          <w:b/>
        </w:rPr>
        <w:t>Critical criteria are evaluated on raw values</w:t>
      </w:r>
      <w:r>
        <w:t xml:space="preserve"> and surfaced separately, so a</w:t>
      </w:r>
    </w:p>
    <w:p>
      <w:r>
        <w:t>DSCR below 1.0 cannot be averaged away.</w:t>
      </w:r>
    </w:p>
    <w:p>
      <w:pPr>
        <w:pStyle w:val="Heading2"/>
      </w:pPr>
      <w:r>
        <w:t>3.5 Weight elicitation (RQ2)</w:t>
      </w:r>
    </w:p>
    <w:p>
      <w:pPr>
        <w:pStyle w:val="Heading3"/>
      </w:pPr>
      <w:r>
        <w:t>3.5.1 Method selection</w:t>
      </w:r>
    </w:p>
    <w:p>
      <w:r>
        <w:t xml:space="preserve">Classical pairwise AHP over this criteria tree requires </w:t>
      </w:r>
      <w:r>
        <w:rPr>
          <w:b/>
        </w:rPr>
        <w:t>168 comparisons</w:t>
      </w:r>
      <w:r>
        <w:t xml:space="preserve"> per respondent. At even ten seconds each that is close to an hour of sustained attention, and response quality degrades well before the end. Inconsistency introduced by fatigue would make the resulting weights unusable regardless of how carefully the instrument was designed.</w:t>
      </w:r>
    </w:p>
    <w:p>
      <w:r>
        <w:t xml:space="preserve">The Best-Worst Method (Rezaei, 2015) requires 2n−3 comparisons per level, reducing the instrument to </w:t>
      </w:r>
      <w:r>
        <w:rPr>
          <w:b/>
        </w:rPr>
        <w:t>86 comparisons</w:t>
      </w:r>
      <w:r>
        <w:t xml:space="preserve"> — roughly fifteen minutes. Because every comparison is anchored to a fixed reference rather than a rotating partner, BWM also tends to yield more consistent responses. The linear formulation (Rezaei, 2016) is used, giving a unique solution.</w:t>
      </w:r>
    </w:p>
    <w:p>
      <w:r>
        <w:t>The choice is a response to a real constraint on practitioner time, not a convenience.</w:t>
      </w:r>
    </w:p>
    <w:p>
      <w:pPr>
        <w:pStyle w:val="Heading3"/>
      </w:pPr>
      <w:r>
        <w:t>3.5.2 Instrument</w:t>
      </w:r>
    </w:p>
    <w:p>
      <w:r>
        <w:t>Elicitation is conducted through a web instrument forming part of the system, in eight sections: one comparing the six credit-risk dimensions, and one for the criteria within each of the seven dimensions.</w:t>
      </w:r>
    </w:p>
    <w:p>
      <w:r>
        <w:t>For each section the respondent identifies the most important item, identifies the least important, then rates the best against each other item and each item against the worst, on the 1–9 scale.</w:t>
      </w:r>
    </w:p>
    <w:p>
      <w:pPr>
        <w:pStyle w:val="Heading3"/>
      </w:pPr>
      <w:r>
        <w:t>3.5.3 Analysis</w:t>
      </w:r>
    </w:p>
    <w:p>
      <w:r>
        <w:t>Each response is solved as a linear programme minimising the maximum deviation between stated ratios and derived weights, subject to weights summing to one. The optimal deviation ξ\* divided by the consistency index for the stated best-to-worst value gives a consistency ratio comparable across respondents and level sizes.</w:t>
      </w:r>
    </w:p>
    <w:p>
      <w:r>
        <w:t xml:space="preserve">Responses with </w:t>
      </w:r>
      <w:r>
        <w:rPr>
          <w:b/>
        </w:rPr>
        <w:t>CR &gt; 0.25</w:t>
      </w:r>
      <w:r>
        <w:t xml:space="preserve"> are excluded rather than averaged in. The number excluded is reported: silently discarding respondents would make the study unreproducible.</w:t>
      </w:r>
    </w:p>
    <w:p>
      <w:r>
        <w:t xml:space="preserve">Surviving responses are aggregated by </w:t>
      </w:r>
      <w:r>
        <w:rPr>
          <w:b/>
        </w:rPr>
        <w:t>geometric mean</w:t>
      </w:r>
      <w:r>
        <w:t>, the standard aggregation for ratio-scale priority vectors, which preserves the ratio relationships that an arithmetic mean distorts.</w:t>
      </w:r>
    </w:p>
    <w:p>
      <w:pPr>
        <w:pStyle w:val="Heading3"/>
      </w:pPr>
      <w:r>
        <w:t>3.5.4 Sampling and its limits</w:t>
      </w:r>
    </w:p>
    <w:p>
      <w:r>
        <w:t xml:space="preserve">Respondents are credit and appraisal practitioners recruited through professional contact. This is </w:t>
      </w:r>
      <w:r>
        <w:rPr>
          <w:b/>
        </w:rPr>
        <w:t>purposive, non-probability sampling</w:t>
      </w:r>
      <w:r>
        <w:t xml:space="preserve"> with a small n, and the resulting weights represent the judgement of those respondents, not of Sri Lankan credit practice generally. Chapter 6 reports the achieved sample and treats this as a primary limitation.</w:t>
      </w:r>
    </w:p>
    <w:p>
      <w:pPr>
        <w:pStyle w:val="Heading2"/>
      </w:pPr>
      <w:r>
        <w:t>3.6 Empirical validation (RQ3)</w:t>
      </w:r>
    </w:p>
    <w:p>
      <w:pPr>
        <w:pStyle w:val="Heading3"/>
      </w:pPr>
      <w:r>
        <w:t>3.6.1 The proxy problem, stated in advance</w:t>
      </w:r>
    </w:p>
    <w:p>
      <w:r>
        <w:t>No public dataset contains the criteria this model scores. Access to the bank's own historical files was not available and would in any case be confidential.</w:t>
      </w:r>
    </w:p>
    <w:p>
      <w:r>
        <w:t xml:space="preserve">Validation therefore uses the SBA National dataset as a </w:t>
      </w:r>
      <w:r>
        <w:rPr>
          <w:b/>
        </w:rPr>
        <w:t>proxy</w:t>
      </w:r>
      <w:r>
        <w:t>, and the resulting claim is correspondingly narrow: it tests the scoring *machinery* on observable financial and structural variables, not the criteria tree. This limitation is stated in advance rather than discovered afterwards, because it determines what Chapter 5 is entitled to conclude.</w:t>
      </w:r>
    </w:p>
    <w:p>
      <w:pPr>
        <w:pStyle w:val="Heading3"/>
      </w:pPr>
      <w:r>
        <w:t>3.6.2 Protocol</w:t>
      </w:r>
    </w:p>
    <w:p>
      <w:pPr>
        <w:pStyle w:val="ListBullet"/>
      </w:pPr>
      <w:r>
        <w:t>Outcome-derived fields are dropped and their absence asserted.</w:t>
      </w:r>
    </w:p>
    <w:p>
      <w:pPr>
        <w:pStyle w:val="ListBullet"/>
      </w:pPr>
      <w:r>
        <w:t>Right-censored loans are excluded; only fully-matured facilities are analysed.</w:t>
      </w:r>
    </w:p>
    <w:p>
      <w:pPr>
        <w:pStyle w:val="ListBullet"/>
      </w:pPr>
      <w:r>
        <w:t xml:space="preserve">Two validation protocols are run: random split, and </w:t>
      </w:r>
      <w:r>
        <w:rPr>
          <w:b/>
        </w:rPr>
        <w:t>temporal split</w:t>
      </w:r>
      <w:r>
        <w:t xml:space="preserve"> (train on</w:t>
      </w:r>
    </w:p>
    <w:p>
      <w:r>
        <w:t>earlier cohorts, test on later). Both are reported, because random splitting places the same economic cycle on both sides and overstates performance.</w:t>
      </w:r>
    </w:p>
    <w:p>
      <w:pPr>
        <w:pStyle w:val="ListBullet"/>
      </w:pPr>
      <w:r>
        <w:t>The unfitted expert scorecard is compared against logistic regression and</w:t>
      </w:r>
    </w:p>
    <w:p>
      <w:r>
        <w:t>gradient boosting, both trained on hundreds of thousands of labelled outcomes.</w:t>
      </w:r>
    </w:p>
    <w:p>
      <w:pPr>
        <w:pStyle w:val="ListBullet"/>
      </w:pPr>
      <w:r>
        <w:t>Metrics: AUC, Kolmogorov-Smirnov separation, average precision, Brier score,</w:t>
      </w:r>
    </w:p>
    <w:p>
      <w:r>
        <w:t>F1 at the Youden-optimal threshold.</w:t>
      </w:r>
    </w:p>
    <w:p>
      <w:r>
        <w:t>The comparison is deliberately asymmetric. The scorecard never sees a default label; its bands were fixed from a priori reasoning before outcomes were inspected. The question is not whether it wins — it will not — but how much discrimination an unfitted, explainable, expert-structured model retains. That ratio is what matters for institutions without clean historical default data, which is the common situation in Sri Lankan SME lending.</w:t>
      </w:r>
    </w:p>
    <w:p>
      <w:pPr>
        <w:pStyle w:val="Heading3"/>
      </w:pPr>
      <w:r>
        <w:t>3.6.3 Treatment of anomalous results</w:t>
      </w:r>
    </w:p>
    <w:p>
      <w:r>
        <w:t>An unexpectedly strong result is treated as a suspected defect until explained. This rule was applied during the study and is what produced the finding in §5.3: an AUC of 0.97 was investigated rather than reported, and proved to arise from contamination in a predictor. The rule is stated here because it is part of the method, not a lucky accident.</w:t>
      </w:r>
    </w:p>
    <w:p>
      <w:pPr>
        <w:pStyle w:val="Heading2"/>
      </w:pPr>
      <w:r>
        <w:t>3.7 Ethical considerations</w:t>
      </w:r>
    </w:p>
    <w:p>
      <w:r>
        <w:rPr>
          <w:b/>
        </w:rPr>
        <w:t>Human participants.</w:t>
      </w:r>
      <w:r>
        <w:t xml:space="preserve"> The elicitation instrument collects a self-chosen participant code, years of experience, institution type and role. It collects </w:t>
      </w:r>
      <w:r>
        <w:rPr>
          <w:b/>
        </w:rPr>
        <w:t>no name and no customer information</w:t>
      </w:r>
      <w:r>
        <w:t>. The landing page states that participation is voluntary, may be stopped at any time, and that responses are used solely for academic research and reported only in aggregate.</w:t>
      </w:r>
    </w:p>
    <w:p>
      <w:r>
        <w:rPr>
          <w:b/>
        </w:rPr>
        <w:t>Confidentiality of bank material.</w:t>
      </w:r>
      <w:r>
        <w:t xml:space="preserve"> The source appraisal form is a blank template. No customer file, no borrower data and no internal credit policy document was accessed. The system was demonstrated using constructed cases, not real applications.</w:t>
      </w:r>
    </w:p>
    <w:p>
      <w:r>
        <w:rPr>
          <w:b/>
        </w:rPr>
        <w:t>Institutional approval.</w:t>
      </w:r>
      <w:r>
        <w:t xml:space="preserve"> Formal ethics clearance and any institutional permission required for practitioner participation must be obtained and recorded before elicitation data is used in the submitted work. Where this study was conducted under time constraints that limited the scale of participant recruitment, that constraint is reported in the limitations rather than concealed by the sample size.</w:t>
      </w:r>
    </w:p>
    <w:p>
      <w:r>
        <w:rPr>
          <w:b/>
        </w:rPr>
        <w:t>Research integrity.</w:t>
      </w:r>
      <w:r>
        <w:t xml:space="preserve"> Every quantitative result reported in this thesis is produced by code in the accompanying repository and is regenerable from the raw data. No value is entered by hand. Where an experiment could not be run, the claim is withdrawn and the gap recorded as a limitation rather than filled with an estimate. Negative results — including a scorecard that failed to discriminate (§5.6) — are reported as they occurred.</w:t>
      </w:r>
    </w:p>
    <w:p>
      <w:pPr>
        <w:pStyle w:val="Heading2"/>
      </w:pPr>
      <w:r>
        <w:t>3.8 Limitations of the design</w:t>
      </w:r>
    </w:p>
    <w:p>
      <w:pPr>
        <w:pStyle w:val="ListBullet"/>
      </w:pPr>
      <w:r>
        <w:t xml:space="preserve">The empirical validation uses a </w:t>
      </w:r>
      <w:r>
        <w:rPr>
          <w:b/>
        </w:rPr>
        <w:t>proxy dataset from a different jurisdiction</w:t>
      </w:r>
      <w:r>
        <w:t>;</w:t>
      </w:r>
    </w:p>
    <w:p>
      <w:r>
        <w:t>the qualitative criteria are not tested against outcomes at all.</w:t>
      </w:r>
    </w:p>
    <w:p>
      <w:pPr>
        <w:pStyle w:val="ListBullet"/>
      </w:pPr>
      <w:r>
        <w:t xml:space="preserve">The </w:t>
      </w:r>
      <w:r>
        <w:rPr>
          <w:b/>
        </w:rPr>
        <w:t>fuzzy layer is not exercised</w:t>
      </w:r>
      <w:r>
        <w:t xml:space="preserve"> by the validation, since all</w:t>
      </w:r>
    </w:p>
    <w:p>
      <w:r>
        <w:t>SBA-observable criteria are quantitative and enter as degenerate fuzzy numbers.</w:t>
      </w:r>
    </w:p>
    <w:p>
      <w:pPr>
        <w:pStyle w:val="ListBullet"/>
      </w:pPr>
      <w:r>
        <w:rPr>
          <w:b/>
        </w:rPr>
        <w:t>Elicitation is small-n and purposive</w:t>
      </w:r>
      <w:r>
        <w:t>, so weights are not generalisable.</w:t>
      </w:r>
    </w:p>
    <w:p>
      <w:pPr>
        <w:pStyle w:val="ListBullet"/>
      </w:pPr>
      <w:r>
        <w:t xml:space="preserve">There is </w:t>
      </w:r>
      <w:r>
        <w:rPr>
          <w:b/>
        </w:rPr>
        <w:t>no inter-rater reliability study</w:t>
      </w:r>
      <w:r>
        <w:t>. Establishing how much two officers</w:t>
      </w:r>
    </w:p>
    <w:p>
      <w:r>
        <w:t>disagree on the same file — and whether the system narrows that gap — would directly evidence the consistency claim motivating this research. It was not feasible within the time available and is the single most valuable extension.</w:t>
      </w:r>
    </w:p>
    <w:p>
      <w:pPr>
        <w:pStyle w:val="ListBullet"/>
      </w:pPr>
      <w:r>
        <w:t xml:space="preserve">The system is evaluated for </w:t>
      </w:r>
      <w:r>
        <w:rPr>
          <w:b/>
        </w:rPr>
        <w:t>structural correctness, not field usability</w:t>
      </w:r>
      <w:r>
        <w:t>. No</w:t>
      </w:r>
    </w:p>
    <w:p>
      <w:r>
        <w:t>officer has used it on live applications.</w:t>
      </w:r>
    </w:p>
    <w:p>
      <w:r>
        <w:br w:type="page"/>
      </w:r>
    </w:p>
    <w:p>
      <w:pPr>
        <w:pStyle w:val="Heading1"/>
      </w:pPr>
      <w:r>
        <w:t>Chapter 4 — Design and Implementation</w:t>
      </w:r>
    </w:p>
    <w:p>
      <w:pPr>
        <w:pStyle w:val="Heading2"/>
      </w:pPr>
      <w:r>
        <w:t>4.1 The artefact</w:t>
      </w:r>
    </w:p>
    <w:p>
      <w:r>
        <w:t>Following the design science paradigm, this study's primary artefact is a decision-support system for SME credit appraisal, together with the criteria model that underpins it. This chapter describes how a narrative appraisal instrument was formalised into a computable model, the design decisions taken along the way, and how each was verified.</w:t>
      </w:r>
    </w:p>
    <w:p>
      <w:r>
        <w:t xml:space="preserve">The system is deliberately </w:t>
      </w:r>
      <w:r>
        <w:rPr>
          <w:b/>
        </w:rPr>
        <w:t>decision support, not automation</w:t>
      </w:r>
      <w:r>
        <w:t>. It does not approve loans and does not replace the appraisal officer. It computes what can be computed, structures what must be judged, and makes the resulting recommendation traceable. The officer still decides. This positioning is not modesty: automated credit decisioning faces regulatory constraints in most jurisdictions, and an instrument whose value lies in encoding institutional expertise would forfeit that value by discarding the expert.</w:t>
      </w:r>
    </w:p>
    <w:p>
      <w:pPr>
        <w:pStyle w:val="Heading2"/>
      </w:pPr>
      <w:r>
        <w:t>4.2 Formalising a narrative instrument</w:t>
      </w:r>
    </w:p>
    <w:p>
      <w:pPr>
        <w:pStyle w:val="Heading3"/>
      </w:pPr>
      <w:r>
        <w:t>4.2.1 The source</w:t>
      </w:r>
    </w:p>
    <w:p>
      <w:r>
        <w:t xml:space="preserve">The People's Bank *Project / Business Appraisal Report for SME Credit Facility* (Annexure I–V) is an operational form running to seven numbered sections plus five annexures. It is largely </w:t>
      </w:r>
      <w:r>
        <w:rPr>
          <w:b/>
        </w:rPr>
        <w:t>narrative</w:t>
      </w:r>
      <w:r>
        <w:t>. Clause 2.18 asks the officer to write comments on profitability, liquidity, activity and gearing. Clause 3.10.3 asks for a written assessment of five competitive forces. Clauses 3.11 and 3.12 ask for prose on technological and environmental risk. Clause 7 then asks the officer to certify that the project is "financially viable and technically feasible" — with no stated procedure for combining any of the preceding material into that judgement.</w:t>
      </w:r>
    </w:p>
    <w:p>
      <w:r>
        <w:t>This is the gap the artefact addresses. The form specifies *what* to consider exhaustively and *how to weigh it* not at all.</w:t>
      </w:r>
    </w:p>
    <w:p>
      <w:pPr>
        <w:pStyle w:val="Heading3"/>
      </w:pPr>
      <w:r>
        <w:t>4.2.2 Method</w:t>
      </w:r>
    </w:p>
    <w:p>
      <w:r>
        <w:t>Each clause of the form was examined and classified:</w:t>
      </w:r>
    </w:p>
    <w:p>
      <w:pPr>
        <w:pStyle w:val="ListBullet"/>
      </w:pPr>
      <w:r>
        <w:rPr>
          <w:b/>
        </w:rPr>
        <w:t>Directly computable</w:t>
      </w:r>
      <w:r>
        <w:t xml:space="preserve"> — the thirteen ratios of clause 2.17, the DSCR/ISCR/ROI</w:t>
      </w:r>
    </w:p>
    <w:p>
      <w:r>
        <w:t>series of clause 4, the cost-of-project structure of clause 3.7, the working capital computation of Annexure II. These become quantitative criteria with explicit thresholds.</w:t>
      </w:r>
    </w:p>
    <w:p>
      <w:pPr>
        <w:pStyle w:val="ListBullet"/>
      </w:pPr>
      <w:r>
        <w:rPr>
          <w:b/>
        </w:rPr>
        <w:t>Judgement, but structured</w:t>
      </w:r>
      <w:r>
        <w:t xml:space="preserve"> — clause 3.10.3 is already Porter's five forces;</w:t>
      </w:r>
    </w:p>
    <w:p>
      <w:r>
        <w:t>clause 5 is already a nine-item before/after table. These decompose naturally into criteria scored on a linguistic scale.</w:t>
      </w:r>
    </w:p>
    <w:p>
      <w:pPr>
        <w:pStyle w:val="ListBullet"/>
      </w:pPr>
      <w:r>
        <w:rPr>
          <w:b/>
        </w:rPr>
        <w:t>Judgement, unstructured</w:t>
      </w:r>
      <w:r>
        <w:t xml:space="preserve"> — management style (3.2), technological risk (3.11).</w:t>
      </w:r>
    </w:p>
    <w:p>
      <w:r>
        <w:t>These become single qualitative criteria.</w:t>
      </w:r>
    </w:p>
    <w:p>
      <w:pPr>
        <w:pStyle w:val="ListBullet"/>
      </w:pPr>
      <w:r>
        <w:rPr>
          <w:b/>
        </w:rPr>
        <w:t>Administrative</w:t>
      </w:r>
      <w:r>
        <w:t xml:space="preserve"> — addresses, registration numbers, signature blocks. These</w:t>
      </w:r>
    </w:p>
    <w:p>
      <w:r>
        <w:t>are captured by the system but carry no score.</w:t>
      </w:r>
    </w:p>
    <w:p>
      <w:r>
        <w:t xml:space="preserve">The rule applied throughout: </w:t>
      </w:r>
      <w:r>
        <w:rPr>
          <w:b/>
        </w:rPr>
        <w:t>no criterion exists without a source clause.</w:t>
      </w:r>
      <w:r>
        <w:t xml:space="preserve"> Every entry in the resulting model carries a </w:t>
      </w:r>
      <w:r>
        <w:rPr>
          <w:rFonts w:ascii="Consolas" w:hAnsi="Consolas"/>
          <w:sz w:val="19"/>
        </w:rPr>
        <w:t>ref</w:t>
      </w:r>
      <w:r>
        <w:t xml:space="preserve"> field naming the clause it derives from. This constraint is what makes the model auditable — any score can be traced to the institutional document that authorises it — and it prevents the common failure of a scoring model quietly acquiring criteria its users never agreed to.</w:t>
      </w:r>
    </w:p>
    <w:p>
      <w:pPr>
        <w:pStyle w:val="Heading3"/>
      </w:pPr>
      <w:r>
        <w:t>4.2.3 Result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Objective</w:t>
            </w:r>
          </w:p>
        </w:tc>
        <w:tc>
          <w:tcPr>
            <w:tcW w:type="dxa" w:w="2160"/>
          </w:tcPr>
          <w:p>
            <w:r>
              <w:rPr>
                <w:b/>
                <w:sz w:val="18"/>
              </w:rPr>
              <w:t>Dimension</w:t>
            </w:r>
          </w:p>
        </w:tc>
        <w:tc>
          <w:tcPr>
            <w:tcW w:type="dxa" w:w="2160"/>
          </w:tcPr>
          <w:p>
            <w:r>
              <w:rPr>
                <w:b/>
                <w:sz w:val="18"/>
              </w:rPr>
              <w:t>Criteria</w:t>
            </w:r>
          </w:p>
        </w:tc>
        <w:tc>
          <w:tcPr>
            <w:tcW w:type="dxa" w:w="2160"/>
          </w:tcPr>
          <w:p>
            <w:r>
              <w:rPr>
                <w:b/>
                <w:sz w:val="18"/>
              </w:rPr>
              <w:t>Form clauses</w:t>
            </w:r>
          </w:p>
        </w:tc>
      </w:tr>
      <w:tr>
        <w:tc>
          <w:tcPr>
            <w:tcW w:type="dxa" w:w="2160"/>
          </w:tcPr>
          <w:p>
            <w:r>
              <w:rPr>
                <w:sz w:val="18"/>
              </w:rPr>
              <w:t>Credit Risk</w:t>
            </w:r>
          </w:p>
        </w:tc>
        <w:tc>
          <w:tcPr>
            <w:tcW w:type="dxa" w:w="2160"/>
          </w:tcPr>
          <w:p>
            <w:r>
              <w:rPr>
                <w:sz w:val="18"/>
              </w:rPr>
              <w:t>Borrower &amp; Management Capacity</w:t>
            </w:r>
          </w:p>
        </w:tc>
        <w:tc>
          <w:tcPr>
            <w:tcW w:type="dxa" w:w="2160"/>
          </w:tcPr>
          <w:p>
            <w:r>
              <w:rPr>
                <w:sz w:val="18"/>
              </w:rPr>
              <w:t>6</w:t>
            </w:r>
          </w:p>
        </w:tc>
        <w:tc>
          <w:tcPr>
            <w:tcW w:type="dxa" w:w="2160"/>
          </w:tcPr>
          <w:p>
            <w:r>
              <w:rPr>
                <w:sz w:val="18"/>
              </w:rPr>
              <w:t>2.8, 2.10, 3.2, 3.4</w:t>
            </w:r>
          </w:p>
        </w:tc>
      </w:tr>
      <w:tr>
        <w:tc>
          <w:tcPr>
            <w:tcW w:type="dxa" w:w="2160"/>
          </w:tcPr>
          <w:p>
            <w:r>
              <w:rPr>
                <w:sz w:val="18"/>
              </w:rPr>
            </w:r>
          </w:p>
        </w:tc>
        <w:tc>
          <w:tcPr>
            <w:tcW w:type="dxa" w:w="2160"/>
          </w:tcPr>
          <w:p>
            <w:r>
              <w:rPr>
                <w:sz w:val="18"/>
              </w:rPr>
              <w:t>Credit History &amp; Banking Conduct</w:t>
            </w:r>
          </w:p>
        </w:tc>
        <w:tc>
          <w:tcPr>
            <w:tcW w:type="dxa" w:w="2160"/>
          </w:tcPr>
          <w:p>
            <w:r>
              <w:rPr>
                <w:sz w:val="18"/>
              </w:rPr>
              <w:t>5</w:t>
            </w:r>
          </w:p>
        </w:tc>
        <w:tc>
          <w:tcPr>
            <w:tcW w:type="dxa" w:w="2160"/>
          </w:tcPr>
          <w:p>
            <w:r>
              <w:rPr>
                <w:sz w:val="18"/>
              </w:rPr>
              <w:t>2.11, 2.14</w:t>
            </w:r>
          </w:p>
        </w:tc>
      </w:tr>
      <w:tr>
        <w:tc>
          <w:tcPr>
            <w:tcW w:type="dxa" w:w="2160"/>
          </w:tcPr>
          <w:p>
            <w:r>
              <w:rPr>
                <w:sz w:val="18"/>
              </w:rPr>
            </w:r>
          </w:p>
        </w:tc>
        <w:tc>
          <w:tcPr>
            <w:tcW w:type="dxa" w:w="2160"/>
          </w:tcPr>
          <w:p>
            <w:r>
              <w:rPr>
                <w:sz w:val="18"/>
              </w:rPr>
              <w:t>Historic Financial Performance</w:t>
            </w:r>
          </w:p>
        </w:tc>
        <w:tc>
          <w:tcPr>
            <w:tcW w:type="dxa" w:w="2160"/>
          </w:tcPr>
          <w:p>
            <w:r>
              <w:rPr>
                <w:sz w:val="18"/>
              </w:rPr>
              <w:t>9</w:t>
            </w:r>
          </w:p>
        </w:tc>
        <w:tc>
          <w:tcPr>
            <w:tcW w:type="dxa" w:w="2160"/>
          </w:tcPr>
          <w:p>
            <w:r>
              <w:rPr>
                <w:sz w:val="18"/>
              </w:rPr>
              <w:t>2.13, 2.15–2.18</w:t>
            </w:r>
          </w:p>
        </w:tc>
      </w:tr>
      <w:tr>
        <w:tc>
          <w:tcPr>
            <w:tcW w:type="dxa" w:w="2160"/>
          </w:tcPr>
          <w:p>
            <w:r>
              <w:rPr>
                <w:sz w:val="18"/>
              </w:rPr>
            </w:r>
          </w:p>
        </w:tc>
        <w:tc>
          <w:tcPr>
            <w:tcW w:type="dxa" w:w="2160"/>
          </w:tcPr>
          <w:p>
            <w:r>
              <w:rPr>
                <w:sz w:val="18"/>
              </w:rPr>
              <w:t>Project Viability &amp; Projections</w:t>
            </w:r>
          </w:p>
        </w:tc>
        <w:tc>
          <w:tcPr>
            <w:tcW w:type="dxa" w:w="2160"/>
          </w:tcPr>
          <w:p>
            <w:r>
              <w:rPr>
                <w:sz w:val="18"/>
              </w:rPr>
              <w:t>8</w:t>
            </w:r>
          </w:p>
        </w:tc>
        <w:tc>
          <w:tcPr>
            <w:tcW w:type="dxa" w:w="2160"/>
          </w:tcPr>
          <w:p>
            <w:r>
              <w:rPr>
                <w:sz w:val="18"/>
              </w:rPr>
              <w:t>3.1.3, 3.7, 4</w:t>
            </w:r>
          </w:p>
        </w:tc>
      </w:tr>
      <w:tr>
        <w:tc>
          <w:tcPr>
            <w:tcW w:type="dxa" w:w="2160"/>
          </w:tcPr>
          <w:p>
            <w:r>
              <w:rPr>
                <w:sz w:val="18"/>
              </w:rPr>
            </w:r>
          </w:p>
        </w:tc>
        <w:tc>
          <w:tcPr>
            <w:tcW w:type="dxa" w:w="2160"/>
          </w:tcPr>
          <w:p>
            <w:r>
              <w:rPr>
                <w:sz w:val="18"/>
              </w:rPr>
              <w:t>Market &amp; Competitive Position</w:t>
            </w:r>
          </w:p>
        </w:tc>
        <w:tc>
          <w:tcPr>
            <w:tcW w:type="dxa" w:w="2160"/>
          </w:tcPr>
          <w:p>
            <w:r>
              <w:rPr>
                <w:sz w:val="18"/>
              </w:rPr>
              <w:t>7</w:t>
            </w:r>
          </w:p>
        </w:tc>
        <w:tc>
          <w:tcPr>
            <w:tcW w:type="dxa" w:w="2160"/>
          </w:tcPr>
          <w:p>
            <w:r>
              <w:rPr>
                <w:sz w:val="18"/>
              </w:rPr>
              <w:t>3.10</w:t>
            </w:r>
          </w:p>
        </w:tc>
      </w:tr>
      <w:tr>
        <w:tc>
          <w:tcPr>
            <w:tcW w:type="dxa" w:w="2160"/>
          </w:tcPr>
          <w:p>
            <w:r>
              <w:rPr>
                <w:sz w:val="18"/>
              </w:rPr>
            </w:r>
          </w:p>
        </w:tc>
        <w:tc>
          <w:tcPr>
            <w:tcW w:type="dxa" w:w="2160"/>
          </w:tcPr>
          <w:p>
            <w:r>
              <w:rPr>
                <w:sz w:val="18"/>
              </w:rPr>
              <w:t>Risk, Security &amp; Compliance</w:t>
            </w:r>
          </w:p>
        </w:tc>
        <w:tc>
          <w:tcPr>
            <w:tcW w:type="dxa" w:w="2160"/>
          </w:tcPr>
          <w:p>
            <w:r>
              <w:rPr>
                <w:sz w:val="18"/>
              </w:rPr>
              <w:t>6</w:t>
            </w:r>
          </w:p>
        </w:tc>
        <w:tc>
          <w:tcPr>
            <w:tcW w:type="dxa" w:w="2160"/>
          </w:tcPr>
          <w:p>
            <w:r>
              <w:rPr>
                <w:sz w:val="18"/>
              </w:rPr>
              <w:t>3.3, 3.5, 3.6, 3.11, 3.12, 6.5</w:t>
            </w:r>
          </w:p>
        </w:tc>
      </w:tr>
      <w:tr>
        <w:tc>
          <w:tcPr>
            <w:tcW w:type="dxa" w:w="2160"/>
          </w:tcPr>
          <w:p>
            <w:r>
              <w:rPr>
                <w:sz w:val="18"/>
              </w:rPr>
              <w:t>Development Impact</w:t>
            </w:r>
          </w:p>
        </w:tc>
        <w:tc>
          <w:tcPr>
            <w:tcW w:type="dxa" w:w="2160"/>
          </w:tcPr>
          <w:p>
            <w:r>
              <w:rPr>
                <w:sz w:val="18"/>
              </w:rPr>
              <w:t>Economic &amp; Social Contribution</w:t>
            </w:r>
          </w:p>
        </w:tc>
        <w:tc>
          <w:tcPr>
            <w:tcW w:type="dxa" w:w="2160"/>
          </w:tcPr>
          <w:p>
            <w:r>
              <w:rPr>
                <w:sz w:val="18"/>
              </w:rPr>
              <w:t>8</w:t>
            </w:r>
          </w:p>
        </w:tc>
        <w:tc>
          <w:tcPr>
            <w:tcW w:type="dxa" w:w="2160"/>
          </w:tcPr>
          <w:p>
            <w:r>
              <w:rPr>
                <w:sz w:val="18"/>
              </w:rPr>
              <w:t>5, 3.4.1</w:t>
            </w:r>
          </w:p>
        </w:tc>
      </w:tr>
      <w:tr>
        <w:tc>
          <w:tcPr>
            <w:tcW w:type="dxa" w:w="2160"/>
          </w:tcPr>
          <w:p>
            <w:r>
              <w:rPr>
                <w:sz w:val="18"/>
              </w:rPr>
              <w:t>Total</w:t>
            </w:r>
          </w:p>
        </w:tc>
        <w:tc>
          <w:tcPr>
            <w:tcW w:type="dxa" w:w="2160"/>
          </w:tcPr>
          <w:p>
            <w:r>
              <w:rPr>
                <w:sz w:val="18"/>
              </w:rPr>
              <w:t>7 dimensions</w:t>
            </w:r>
          </w:p>
        </w:tc>
        <w:tc>
          <w:tcPr>
            <w:tcW w:type="dxa" w:w="2160"/>
          </w:tcPr>
          <w:p>
            <w:r>
              <w:rPr>
                <w:sz w:val="18"/>
              </w:rPr>
              <w:t>49</w:t>
            </w:r>
          </w:p>
        </w:tc>
        <w:tc>
          <w:tcPr>
            <w:tcW w:type="dxa" w:w="2160"/>
          </w:tcPr>
          <w:p>
            <w:r>
              <w:rPr>
                <w:sz w:val="18"/>
              </w:rPr>
            </w:r>
          </w:p>
        </w:tc>
      </w:tr>
    </w:tbl>
    <w:p/>
    <w:p>
      <w:r>
        <w:t xml:space="preserve">Twenty-eight criteria are quantitative and twenty-one qualitative. The model is held in </w:t>
      </w:r>
      <w:r>
        <w:rPr>
          <w:rFonts w:ascii="Consolas" w:hAnsi="Consolas"/>
          <w:sz w:val="19"/>
        </w:rPr>
        <w:t>shared/model/criteria-tree.json</w:t>
      </w:r>
      <w:r>
        <w:t xml:space="preserve"> as the single source of truth, consumed by both the web application and the analysis pipeline.</w:t>
      </w:r>
    </w:p>
    <w:p>
      <w:pPr>
        <w:pStyle w:val="Heading2"/>
      </w:pPr>
      <w:r>
        <w:t>4.3 The dual-objective structure</w:t>
      </w:r>
    </w:p>
    <w:p>
      <w:pPr>
        <w:pStyle w:val="Heading3"/>
      </w:pPr>
      <w:r>
        <w:t>4.3.1 Rationale</w:t>
      </w:r>
    </w:p>
    <w:p>
      <w:r>
        <w:t>Clause 5 of the form, *Economic Consideration*, scores nine before/after outcomes: manpower, women's participation, local raw material usage, productive capacity, production, export sales, import substitution, value added, and foreign exchange earnings. Clause 3.4.1 separately disaggregates employment by gender.</w:t>
      </w:r>
    </w:p>
    <w:p>
      <w:r>
        <w:t>These are not credit risk. A project can employ many people, substitute imports and earn foreign exchange while still being a poor credit; the reverse also holds. People's Bank is a state bank with a development mandate, and its appraisal form reflects that it is being asked to serve two objectives at once.</w:t>
      </w:r>
    </w:p>
    <w:p>
      <w:r>
        <w:t xml:space="preserve">Mainstream credit scoring optimises a single objective: the probability of repayment. Applying that framing here would mean </w:t>
      </w:r>
      <w:r>
        <w:rPr>
          <w:b/>
        </w:rPr>
        <w:t>discarding clause 5 entirely</w:t>
      </w:r>
      <w:r>
        <w:t xml:space="preserve"> — deleting the developmental half of the institution's own mandate because it does not fit the model.</w:t>
      </w:r>
    </w:p>
    <w:p>
      <w:pPr>
        <w:pStyle w:val="Heading3"/>
      </w:pPr>
      <w:r>
        <w:t>4.3.2 Design decision</w:t>
      </w:r>
    </w:p>
    <w:p>
      <w:r>
        <w:t xml:space="preserve">The model therefore carries two objectives and </w:t>
      </w:r>
      <w:r>
        <w:rPr>
          <w:b/>
        </w:rPr>
        <w:t>reports them separately. They are never combined into a single number.</w:t>
      </w:r>
    </w:p>
    <w:p>
      <w:r>
        <w:t xml:space="preserve">This is enforced in the engine rather than left to convention: </w:t>
      </w:r>
      <w:r>
        <w:rPr>
          <w:rFonts w:ascii="Consolas" w:hAnsi="Consolas"/>
          <w:sz w:val="19"/>
        </w:rPr>
        <w:t>AppraisalResult</w:t>
      </w:r>
      <w:r>
        <w:t xml:space="preserve"> holds an array of objective results, and no code path produces an overall score. The interface presents them side by side; the exported report presents them as distinct sections with an explicit note that the trade-off is a matter for the approving authority.</w:t>
      </w:r>
    </w:p>
    <w:p>
      <w:r>
        <w:t>The reason is that a weighted combination would destroy the information the structure exists to expose. A facility scoring 80 on credit and 40 on development and one scoring 60 on both are materially different propositions, and a combined score of 60 would render them identical. Making the divergence visible is the contribution; resolving it is a policy question that belongs to the bank, not to the model.</w:t>
      </w:r>
    </w:p>
    <w:p>
      <w:r>
        <w:t xml:space="preserve">Verification of this behaviour appears in the test case of §4.9: the same application scored </w:t>
      </w:r>
      <w:r>
        <w:rPr>
          <w:b/>
        </w:rPr>
        <w:t>80.2 on credit risk (band A) and 74.6 on development impact (band B)</w:t>
      </w:r>
      <w:r>
        <w:t>.</w:t>
      </w:r>
    </w:p>
    <w:p>
      <w:pPr>
        <w:pStyle w:val="Heading2"/>
      </w:pPr>
      <w:r>
        <w:t>4.4 Scoring method</w:t>
      </w:r>
    </w:p>
    <w:p>
      <w:pPr>
        <w:pStyle w:val="Heading3"/>
      </w:pPr>
      <w:r>
        <w:t>4.4.1 Quantitative criteria</w:t>
      </w:r>
    </w:p>
    <w:p>
      <w:r>
        <w:t xml:space="preserve">Each quantitative criterion carries a set of </w:t>
      </w:r>
      <w:r>
        <w:rPr>
          <w:rFonts w:ascii="Consolas" w:hAnsi="Consolas"/>
          <w:sz w:val="19"/>
        </w:rPr>
        <w:t>[rawValue, score]</w:t>
      </w:r>
      <w:r>
        <w:t xml:space="preserve"> anchors defining a piecewise-linear map onto 0–100. DSCR, for example, anchors at 0.8→0, 1.0→25, 1.25→50, 1.5→75, 2.0→100. Values outside the anchor range clamp to the nearest endpoint.</w:t>
      </w:r>
    </w:p>
    <w:p>
      <w:r>
        <w:t>Because interpolation simply follows the anchor sequence, a single implementation serves higher-is-better, lower-is-better and band-optimal criteria alike. Current ratio uses the third form: it peaks at 2.0 and declines above it, since a ratio of 8.0 signals idle working capital rather than strength.</w:t>
      </w:r>
    </w:p>
    <w:p>
      <w:pPr>
        <w:pStyle w:val="Heading3"/>
      </w:pPr>
      <w:r>
        <w:t>4.4.2 Qualitative criteria</w:t>
      </w:r>
    </w:p>
    <w:p>
      <w:r>
        <w:t>Qualitative criteria are captured on a five-point linguistic scale — Very Poor, Poor, Fair, Good, Excellent — represented as triangular fuzzy numbers: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Code</w:t>
            </w:r>
          </w:p>
        </w:tc>
        <w:tc>
          <w:tcPr>
            <w:tcW w:type="dxa" w:w="2880"/>
          </w:tcPr>
          <w:p>
            <w:r>
              <w:rPr>
                <w:b/>
                <w:sz w:val="18"/>
              </w:rPr>
              <w:t>Label</w:t>
            </w:r>
          </w:p>
        </w:tc>
        <w:tc>
          <w:tcPr>
            <w:tcW w:type="dxa" w:w="2880"/>
          </w:tcPr>
          <w:p>
            <w:r>
              <w:rPr>
                <w:b/>
                <w:sz w:val="18"/>
              </w:rPr>
              <w:t>TFN</w:t>
            </w:r>
          </w:p>
        </w:tc>
      </w:tr>
      <w:tr>
        <w:tc>
          <w:tcPr>
            <w:tcW w:type="dxa" w:w="2880"/>
          </w:tcPr>
          <w:p>
            <w:r>
              <w:rPr>
                <w:sz w:val="18"/>
              </w:rPr>
              <w:t>VP</w:t>
            </w:r>
          </w:p>
        </w:tc>
        <w:tc>
          <w:tcPr>
            <w:tcW w:type="dxa" w:w="2880"/>
          </w:tcPr>
          <w:p>
            <w:r>
              <w:rPr>
                <w:sz w:val="18"/>
              </w:rPr>
              <w:t>Very Poor</w:t>
            </w:r>
          </w:p>
        </w:tc>
        <w:tc>
          <w:tcPr>
            <w:tcW w:type="dxa" w:w="2880"/>
          </w:tcPr>
          <w:p>
            <w:r>
              <w:rPr>
                <w:sz w:val="18"/>
              </w:rPr>
              <w:t>[0, 0, 25]</w:t>
            </w:r>
          </w:p>
        </w:tc>
      </w:tr>
      <w:tr>
        <w:tc>
          <w:tcPr>
            <w:tcW w:type="dxa" w:w="2880"/>
          </w:tcPr>
          <w:p>
            <w:r>
              <w:rPr>
                <w:sz w:val="18"/>
              </w:rPr>
              <w:t>P</w:t>
            </w:r>
          </w:p>
        </w:tc>
        <w:tc>
          <w:tcPr>
            <w:tcW w:type="dxa" w:w="2880"/>
          </w:tcPr>
          <w:p>
            <w:r>
              <w:rPr>
                <w:sz w:val="18"/>
              </w:rPr>
              <w:t>Poor</w:t>
            </w:r>
          </w:p>
        </w:tc>
        <w:tc>
          <w:tcPr>
            <w:tcW w:type="dxa" w:w="2880"/>
          </w:tcPr>
          <w:p>
            <w:r>
              <w:rPr>
                <w:sz w:val="18"/>
              </w:rPr>
              <w:t>[0, 25, 50]</w:t>
            </w:r>
          </w:p>
        </w:tc>
      </w:tr>
      <w:tr>
        <w:tc>
          <w:tcPr>
            <w:tcW w:type="dxa" w:w="2880"/>
          </w:tcPr>
          <w:p>
            <w:r>
              <w:rPr>
                <w:sz w:val="18"/>
              </w:rPr>
              <w:t>F</w:t>
            </w:r>
          </w:p>
        </w:tc>
        <w:tc>
          <w:tcPr>
            <w:tcW w:type="dxa" w:w="2880"/>
          </w:tcPr>
          <w:p>
            <w:r>
              <w:rPr>
                <w:sz w:val="18"/>
              </w:rPr>
              <w:t>Fair</w:t>
            </w:r>
          </w:p>
        </w:tc>
        <w:tc>
          <w:tcPr>
            <w:tcW w:type="dxa" w:w="2880"/>
          </w:tcPr>
          <w:p>
            <w:r>
              <w:rPr>
                <w:sz w:val="18"/>
              </w:rPr>
              <w:t>[25, 50, 75]</w:t>
            </w:r>
          </w:p>
        </w:tc>
      </w:tr>
      <w:tr>
        <w:tc>
          <w:tcPr>
            <w:tcW w:type="dxa" w:w="2880"/>
          </w:tcPr>
          <w:p>
            <w:r>
              <w:rPr>
                <w:sz w:val="18"/>
              </w:rPr>
              <w:t>G</w:t>
            </w:r>
          </w:p>
        </w:tc>
        <w:tc>
          <w:tcPr>
            <w:tcW w:type="dxa" w:w="2880"/>
          </w:tcPr>
          <w:p>
            <w:r>
              <w:rPr>
                <w:sz w:val="18"/>
              </w:rPr>
              <w:t>Good</w:t>
            </w:r>
          </w:p>
        </w:tc>
        <w:tc>
          <w:tcPr>
            <w:tcW w:type="dxa" w:w="2880"/>
          </w:tcPr>
          <w:p>
            <w:r>
              <w:rPr>
                <w:sz w:val="18"/>
              </w:rPr>
              <w:t>[50, 75, 100]</w:t>
            </w:r>
          </w:p>
        </w:tc>
      </w:tr>
      <w:tr>
        <w:tc>
          <w:tcPr>
            <w:tcW w:type="dxa" w:w="2880"/>
          </w:tcPr>
          <w:p>
            <w:r>
              <w:rPr>
                <w:sz w:val="18"/>
              </w:rPr>
              <w:t>E</w:t>
            </w:r>
          </w:p>
        </w:tc>
        <w:tc>
          <w:tcPr>
            <w:tcW w:type="dxa" w:w="2880"/>
          </w:tcPr>
          <w:p>
            <w:r>
              <w:rPr>
                <w:sz w:val="18"/>
              </w:rPr>
              <w:t>Excellent</w:t>
            </w:r>
          </w:p>
        </w:tc>
        <w:tc>
          <w:tcPr>
            <w:tcW w:type="dxa" w:w="2880"/>
          </w:tcPr>
          <w:p>
            <w:r>
              <w:rPr>
                <w:sz w:val="18"/>
              </w:rPr>
              <w:t>[75, 100, 100]</w:t>
            </w:r>
          </w:p>
        </w:tc>
      </w:tr>
    </w:tbl>
    <w:p/>
    <w:p>
      <w:r>
        <w:t>Fuzzy representation is used because appraisal judgements are linguistic and imprecise. An officer writing "management is sound" is not asserting 75.0; the triangular number carries that imprecision explicitly rather than discarding it.</w:t>
      </w:r>
    </w:p>
    <w:p>
      <w:r>
        <w:t xml:space="preserve">Quantitative values enter as degenerate TFNs </w:t>
      </w:r>
      <w:r>
        <w:rPr>
          <w:rFonts w:ascii="Consolas" w:hAnsi="Consolas"/>
          <w:sz w:val="19"/>
        </w:rPr>
        <w:t>[x,x,x]</w:t>
      </w:r>
      <w:r>
        <w:t>, so both criterion types flow through one aggregation path. Aggregation is the fuzzy weighted average; defuzzification is by centroid, which for a TFN reduces to the mean of its three points.</w:t>
      </w:r>
    </w:p>
    <w:p>
      <w:pPr>
        <w:pStyle w:val="Heading3"/>
      </w:pPr>
      <w:r>
        <w:t>4.4.3 Missing criteria</w:t>
      </w:r>
    </w:p>
    <w:p>
      <w:r>
        <w:t xml:space="preserve">A criterion left unassessed is </w:t>
      </w:r>
      <w:r>
        <w:rPr>
          <w:b/>
        </w:rPr>
        <w:t>excluded and the remaining weights renormalised</w:t>
      </w:r>
      <w:r>
        <w:t xml:space="preserve"> — never treated as zero. Scoring an incomplete file as though the missing sections had scored nothing would misrepresent an unfinished appraisal as a bad one.</w:t>
      </w:r>
    </w:p>
    <w:p>
      <w:r>
        <w:t>This choice creates a hazard addressed in §4.5.</w:t>
      </w:r>
    </w:p>
    <w:p>
      <w:pPr>
        <w:pStyle w:val="Heading3"/>
      </w:pPr>
      <w:r>
        <w:t>4.4.4 Critical criteria</w:t>
      </w:r>
    </w:p>
    <w:p>
      <w:r>
        <w:t>DSCR below 1.0 means projected cash flow does not cover debt service. Under most credit policies this is a knock-out, not a factor to be averaged.</w:t>
      </w:r>
    </w:p>
    <w:p>
      <w:r>
        <w:t xml:space="preserve">The engine evaluates critical breaches against the </w:t>
      </w:r>
      <w:r>
        <w:rPr>
          <w:b/>
        </w:rPr>
        <w:t>raw value</w:t>
      </w:r>
      <w:r>
        <w:t>, not the derived score, and surfaces them as a separate list on the result. A weighted average cannot dilute them, and the interface displays them above the scores rather than within them.</w:t>
      </w:r>
    </w:p>
    <w:p>
      <w:pPr>
        <w:pStyle w:val="Heading2"/>
      </w:pPr>
      <w:r>
        <w:t>4.5 The completeness gate</w:t>
      </w:r>
    </w:p>
    <w:p>
      <w:pPr>
        <w:pStyle w:val="Heading3"/>
      </w:pPr>
      <w:r>
        <w:t>4.5.1 A problem found by testing</w:t>
      </w:r>
    </w:p>
    <w:p>
      <w:r>
        <w:t>During verification, an appraisal with only seven of forty-nine criteria entered — 14% complete — returned a credit risk score of 73.7 and the recommendation *"Band B — recommend with conditions."*</w:t>
      </w:r>
    </w:p>
    <w:p>
      <w:r>
        <w:t>The arithmetic was correct. Weight renormalisation (§4.4.3) had worked exactly as designed: the seven entered criteria carried the full weight, and they happened to score well. But the system was confidently recommending a facility on almost no information, and nothing in the output signalled that.</w:t>
      </w:r>
    </w:p>
    <w:p>
      <w:r>
        <w:t xml:space="preserve">This is a genuine hazard of renormalisation, and it is not specific to this implementation. </w:t>
      </w:r>
      <w:r>
        <w:rPr>
          <w:b/>
        </w:rPr>
        <w:t>A sparse appraisal produces a plausible score while its evidential basis collapses</w:t>
      </w:r>
      <w:r>
        <w:t>, and the score itself gives no indication of the difference.</w:t>
      </w:r>
    </w:p>
    <w:p>
      <w:pPr>
        <w:pStyle w:val="Heading3"/>
      </w:pPr>
      <w:r>
        <w:t>4.5.2 Response</w:t>
      </w:r>
    </w:p>
    <w:p>
      <w:r>
        <w:t>An objective assessed below a completeness threshold (0.6) returns its score but</w:t>
      </w:r>
    </w:p>
    <w:p>
      <w:r>
        <w:rPr>
          <w:b/>
        </w:rPr>
        <w:t>no risk band and no recommendation.</w:t>
      </w:r>
      <w:r>
        <w:t xml:space="preserve"> The result carries a </w:t>
      </w:r>
      <w:r>
        <w:rPr>
          <w:rFonts w:ascii="Consolas" w:hAnsi="Consolas"/>
          <w:sz w:val="19"/>
        </w:rPr>
        <w:t>sufficient</w:t>
      </w:r>
      <w:r>
        <w:t xml:space="preserve"> flag and a list of outstanding criteria, and the interface tells the officer what is missing instead of offering a number to sign against.</w:t>
      </w:r>
    </w:p>
    <w:p>
      <w:r>
        <w:t xml:space="preserve">The gate is deliberately a </w:t>
      </w:r>
      <w:r>
        <w:rPr>
          <w:b/>
        </w:rPr>
        <w:t>refusal to answer, not a scoring adjustment</w:t>
      </w:r>
      <w:r>
        <w:t>. Discounting the score for incompleteness would have preserved the false impression that the system had an opinion. It does not; it has insufficient information, and saying so is the correct output.</w:t>
      </w:r>
    </w:p>
    <w:p>
      <w:pPr>
        <w:pStyle w:val="Heading2"/>
      </w:pPr>
      <w:r>
        <w:t>4.6 System architecture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Layer</w:t>
            </w:r>
          </w:p>
        </w:tc>
        <w:tc>
          <w:tcPr>
            <w:tcW w:type="dxa" w:w="2880"/>
          </w:tcPr>
          <w:p>
            <w:r>
              <w:rPr>
                <w:b/>
                <w:sz w:val="18"/>
              </w:rPr>
              <w:t>Technology</w:t>
            </w:r>
          </w:p>
        </w:tc>
        <w:tc>
          <w:tcPr>
            <w:tcW w:type="dxa" w:w="2880"/>
          </w:tcPr>
          <w:p>
            <w:r>
              <w:rPr>
                <w:b/>
                <w:sz w:val="18"/>
              </w:rPr>
              <w:t>Rationale</w:t>
            </w:r>
          </w:p>
        </w:tc>
      </w:tr>
      <w:tr>
        <w:tc>
          <w:tcPr>
            <w:tcW w:type="dxa" w:w="2880"/>
          </w:tcPr>
          <w:p>
            <w:r>
              <w:rPr>
                <w:sz w:val="18"/>
              </w:rPr>
              <w:t>Interface</w:t>
            </w:r>
          </w:p>
        </w:tc>
        <w:tc>
          <w:tcPr>
            <w:tcW w:type="dxa" w:w="2880"/>
          </w:tcPr>
          <w:p>
            <w:r>
              <w:rPr>
                <w:sz w:val="18"/>
              </w:rPr>
              <w:t>Next.js 16, React 19, TypeScript, Tailwind 4</w:t>
            </w:r>
          </w:p>
        </w:tc>
        <w:tc>
          <w:tcPr>
            <w:tcW w:type="dxa" w:w="2880"/>
          </w:tcPr>
          <w:p>
            <w:r>
              <w:rPr>
                <w:sz w:val="18"/>
              </w:rPr>
              <w:t>Engine runs client-side for live scoring</w:t>
            </w:r>
          </w:p>
        </w:tc>
      </w:tr>
      <w:tr>
        <w:tc>
          <w:tcPr>
            <w:tcW w:type="dxa" w:w="2880"/>
          </w:tcPr>
          <w:p>
            <w:r>
              <w:rPr>
                <w:sz w:val="18"/>
              </w:rPr>
              <w:t>Persistence</w:t>
            </w:r>
          </w:p>
        </w:tc>
        <w:tc>
          <w:tcPr>
            <w:tcW w:type="dxa" w:w="2880"/>
          </w:tcPr>
          <w:p>
            <w:r>
              <w:rPr>
                <w:sz w:val="18"/>
              </w:rPr>
              <w:t>Prisma 7, SQLite</w:t>
            </w:r>
          </w:p>
        </w:tc>
        <w:tc>
          <w:tcPr>
            <w:tcW w:type="dxa" w:w="2880"/>
          </w:tcPr>
          <w:p>
            <w:r>
              <w:rPr>
                <w:sz w:val="18"/>
              </w:rPr>
              <w:t>No external services; one config change to PostgreSQL</w:t>
            </w:r>
          </w:p>
        </w:tc>
      </w:tr>
      <w:tr>
        <w:tc>
          <w:tcPr>
            <w:tcW w:type="dxa" w:w="2880"/>
          </w:tcPr>
          <w:p>
            <w:r>
              <w:rPr>
                <w:sz w:val="18"/>
              </w:rPr>
              <w:t>Analysis</w:t>
            </w:r>
          </w:p>
        </w:tc>
        <w:tc>
          <w:tcPr>
            <w:tcW w:type="dxa" w:w="2880"/>
          </w:tcPr>
          <w:p>
            <w:r>
              <w:rPr>
                <w:sz w:val="18"/>
              </w:rPr>
              <w:t>Python, pandas, scikit-learn, SciPy</w:t>
            </w:r>
          </w:p>
        </w:tc>
        <w:tc>
          <w:tcPr>
            <w:tcW w:type="dxa" w:w="2880"/>
          </w:tcPr>
          <w:p>
            <w:r>
              <w:rPr>
                <w:sz w:val="18"/>
              </w:rPr>
              <w:t>No TypeScript equivalent for the empirical work</w:t>
            </w:r>
          </w:p>
        </w:tc>
      </w:tr>
      <w:tr>
        <w:tc>
          <w:tcPr>
            <w:tcW w:type="dxa" w:w="2880"/>
          </w:tcPr>
          <w:p>
            <w:r>
              <w:rPr>
                <w:sz w:val="18"/>
              </w:rPr>
              <w:t>Model</w:t>
            </w:r>
          </w:p>
        </w:tc>
        <w:tc>
          <w:tcPr>
            <w:tcW w:type="dxa" w:w="2880"/>
          </w:tcPr>
          <w:p>
            <w:r>
              <w:rPr>
                <w:sz w:val="18"/>
              </w:rPr>
              <w:t>shared/model/criteria-tree.json</w:t>
            </w:r>
          </w:p>
        </w:tc>
        <w:tc>
          <w:tcPr>
            <w:tcW w:type="dxa" w:w="2880"/>
          </w:tcPr>
          <w:p>
            <w:r>
              <w:rPr>
                <w:sz w:val="18"/>
              </w:rPr>
              <w:t>Single source of truth for both stacks</w:t>
            </w:r>
          </w:p>
        </w:tc>
      </w:tr>
    </w:tbl>
    <w:p/>
    <w:p>
      <w:r>
        <w:t>The two stacks never communicate at runtime. The Python pipeline calibrates and validates, exporting weights as JSON; the web application consumes that JSON. The handoff is one-directional and inspectable.</w:t>
      </w:r>
    </w:p>
    <w:p>
      <w:r>
        <w:t xml:space="preserve">The scoring engine is implemented </w:t>
      </w:r>
      <w:r>
        <w:rPr>
          <w:b/>
        </w:rPr>
        <w:t>twice</w:t>
      </w:r>
      <w:r>
        <w:t xml:space="preserve"> — TypeScript for the product, Python for the analysis — which is a deliberate risk. Divergence between them would mean the thesis reporting numbers from one implementation while demonstrating a system running the other. Both read the same criteria file, and the arithmetic is verified against shared expectations.</w:t>
      </w:r>
    </w:p>
    <w:p>
      <w:pPr>
        <w:pStyle w:val="Heading3"/>
      </w:pPr>
      <w:r>
        <w:t>4.6.1 Reproducibility of stored appraisals</w:t>
      </w:r>
    </w:p>
    <w:p>
      <w:r>
        <w:t xml:space="preserve">An appraisal stores its </w:t>
      </w:r>
      <w:r>
        <w:rPr>
          <w:b/>
        </w:rPr>
        <w:t>inputs, its complete result document, and the model version that produced it</w:t>
      </w:r>
      <w:r>
        <w:t xml:space="preserve"> — not merely a score column.</w:t>
      </w:r>
    </w:p>
    <w:p>
      <w:r>
        <w:t>The criteria tree will change: elicitation replaces the placeholder weights, and bands may be revised. Without versioned storage, every historical recommendation would silently re-interpret under the current model, and an appraisal signed in March could not be explained in September. Storing the result document makes past decisions permanently reconstructible.</w:t>
      </w:r>
    </w:p>
    <w:p>
      <w:pPr>
        <w:pStyle w:val="Heading2"/>
      </w:pPr>
      <w:r>
        <w:t>4.6a Access control and the integrity of the audit trail</w:t>
      </w:r>
    </w:p>
    <w:p>
      <w:r>
        <w:t>An audit trail is only worth as much as the identity behind each entry.</w:t>
      </w:r>
    </w:p>
    <w:p>
      <w:r>
        <w:t>An earlier iteration of the sign-off panel accepted a typed name. It recorded who *claimed* to have signed, which is no record at all: anyone could enter any name, and the trail would look complete while proving nothing. The system now authenticates users and takes the signatory from the session.</w:t>
      </w:r>
    </w:p>
    <w:p>
      <w:r>
        <w:t>Roles map directly onto the chain in clause 7 of the form:</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Role</w:t>
            </w:r>
          </w:p>
        </w:tc>
        <w:tc>
          <w:tcPr>
            <w:tcW w:type="dxa" w:w="4320"/>
          </w:tcPr>
          <w:p>
            <w:r>
              <w:rPr>
                <w:b/>
                <w:sz w:val="18"/>
              </w:rPr>
              <w:t>Permitted</w:t>
            </w:r>
          </w:p>
        </w:tc>
      </w:tr>
      <w:tr>
        <w:tc>
          <w:tcPr>
            <w:tcW w:type="dxa" w:w="4320"/>
          </w:tcPr>
          <w:p>
            <w:r>
              <w:rPr>
                <w:sz w:val="18"/>
              </w:rPr>
              <w:t>OFFICER</w:t>
            </w:r>
          </w:p>
        </w:tc>
        <w:tc>
          <w:tcPr>
            <w:tcW w:type="dxa" w:w="4320"/>
          </w:tcPr>
          <w:p>
            <w:r>
              <w:rPr>
                <w:sz w:val="18"/>
              </w:rPr>
              <w:t>prepare an appraisal</w:t>
            </w:r>
          </w:p>
        </w:tc>
      </w:tr>
      <w:tr>
        <w:tc>
          <w:tcPr>
            <w:tcW w:type="dxa" w:w="4320"/>
          </w:tcPr>
          <w:p>
            <w:r>
              <w:rPr>
                <w:sz w:val="18"/>
              </w:rPr>
              <w:t>RECOMMENDER</w:t>
            </w:r>
          </w:p>
        </w:tc>
        <w:tc>
          <w:tcPr>
            <w:tcW w:type="dxa" w:w="4320"/>
          </w:tcPr>
          <w:p>
            <w:r>
              <w:rPr>
                <w:sz w:val="18"/>
              </w:rPr>
              <w:t>endorse</w:t>
            </w:r>
          </w:p>
        </w:tc>
      </w:tr>
      <w:tr>
        <w:tc>
          <w:tcPr>
            <w:tcW w:type="dxa" w:w="4320"/>
          </w:tcPr>
          <w:p>
            <w:r>
              <w:rPr>
                <w:sz w:val="18"/>
              </w:rPr>
              <w:t>HEAD_OFFICE</w:t>
            </w:r>
          </w:p>
        </w:tc>
        <w:tc>
          <w:tcPr>
            <w:tcW w:type="dxa" w:w="4320"/>
          </w:tcPr>
          <w:p>
            <w:r>
              <w:rPr>
                <w:sz w:val="18"/>
              </w:rPr>
              <w:t>approve or decline</w:t>
            </w:r>
          </w:p>
        </w:tc>
      </w:tr>
      <w:tr>
        <w:tc>
          <w:tcPr>
            <w:tcW w:type="dxa" w:w="4320"/>
          </w:tcPr>
          <w:p>
            <w:r>
              <w:rPr>
                <w:sz w:val="18"/>
              </w:rPr>
              <w:t>ADMIN</w:t>
            </w:r>
          </w:p>
        </w:tc>
        <w:tc>
          <w:tcPr>
            <w:tcW w:type="dxa" w:w="4320"/>
          </w:tcPr>
          <w:p>
            <w:r>
              <w:rPr>
                <w:sz w:val="18"/>
              </w:rPr>
              <w:t>all of the above, plus user administration</w:t>
            </w:r>
          </w:p>
        </w:tc>
      </w:tr>
    </w:tbl>
    <w:p/>
    <w:p>
      <w:r>
        <w:t xml:space="preserve">Three properties are enforced rather than merely displayed. The interface offers only the actions a user's role permits; the </w:t>
      </w:r>
      <w:r>
        <w:rPr>
          <w:b/>
        </w:rPr>
        <w:t>server re-checks the role before writing</w:t>
      </w:r>
      <w:r>
        <w:t>, so the restriction cannot be bypassed by calling the action directly; and an appraisal that has been approved or declined rejects further decisions — a correction is made by raising a new appraisal, never by rewriting a signed one.</w:t>
      </w:r>
    </w:p>
    <w:p>
      <w:r>
        <w:rPr>
          <w:b/>
        </w:rPr>
        <w:t>The elicitation instrument is deliberately left public.</w:t>
      </w:r>
      <w:r>
        <w:t xml:space="preserve"> Requiring accounts of practitioners completing a fifteen-minute voluntary study would collapse the response rate, and the instrument collects no name and no customer data, so there is nothing behind it to protect. The research instrument and the operational system have different threat models and are treated differently.</w:t>
      </w:r>
    </w:p>
    <w:p>
      <w:pPr>
        <w:pStyle w:val="Heading3"/>
      </w:pPr>
      <w:r>
        <w:t>4.6a.1 What this is not</w:t>
      </w:r>
    </w:p>
    <w:p>
      <w:r>
        <w:t xml:space="preserve">Session cookies are HMAC-signed and passwords are hashed with scrypt, with no external authentication dependency, so the system runs without network access for demonstration purposes. It is </w:t>
      </w:r>
      <w:r>
        <w:rPr>
          <w:b/>
        </w:rPr>
        <w:t>not</w:t>
      </w:r>
      <w:r>
        <w:t xml:space="preserve"> a production authentication system: there is no password reset, no multi-factor authentication, no account lockout, no rate limiting on sign-in attempts, and no password policy. A banking deployment would require all of these, along with penetration testing and an accessibility audit. These are recorded as limitations rather than presented as complete.</w:t>
      </w:r>
    </w:p>
    <w:p>
      <w:pPr>
        <w:pStyle w:val="Heading2"/>
      </w:pPr>
      <w:r>
        <w:t>4.7 Explainability</w:t>
      </w:r>
    </w:p>
    <w:p>
      <w:r>
        <w:t xml:space="preserve">Each criterion's contribution is computed as its normalised weight times its score, expressed in points of the parent's score. </w:t>
      </w:r>
      <w:r>
        <w:rPr>
          <w:b/>
        </w:rPr>
        <w:t>Contributions sum exactly to the parent score</w:t>
      </w:r>
      <w:r>
        <w:t>, which is what makes the breakdown a decomposition rather than a decoration.</w:t>
      </w:r>
    </w:p>
    <w:p>
      <w:r>
        <w:t>The interface presents, for each dimension: its score, its contribution to the objective, its completeness, and a table of constituent criteria showing raw value, derived score and contribution — each labelled with its source clause. An officer can therefore trace any recommendation from the headline score down to the clause of the bank's own form that produced it.</w:t>
      </w:r>
    </w:p>
    <w:p>
      <w:pPr>
        <w:pStyle w:val="Heading2"/>
      </w:pPr>
      <w:r>
        <w:t>4.8 Report generation</w:t>
      </w:r>
    </w:p>
    <w:p>
      <w:r>
        <w:t>The system exports a completed appraisal as a Word document in the People's Bank format: Annexure I heading, clause-numbered sections, the scoring evidence, and the clause 7 signature blocks.</w:t>
      </w:r>
    </w:p>
    <w:p>
      <w:r>
        <w:t>This closes the loop. The officer receives back the document the institution already uses, with no retyping and no change to the existing approval chain. A system that produced its own report format would require the bank to adopt new paperwork alongside new software; producing the incumbent document removes that barrier entirely.</w:t>
      </w:r>
    </w:p>
    <w:p>
      <w:pPr>
        <w:pStyle w:val="Heading2"/>
      </w:pPr>
      <w:r>
        <w:t>4.9 Verification</w:t>
      </w:r>
    </w:p>
    <w:p>
      <w:r>
        <w:t>The engine carries a structural test suite (</w:t>
      </w:r>
      <w:r>
        <w:rPr>
          <w:rFonts w:ascii="Consolas" w:hAnsi="Consolas"/>
          <w:sz w:val="19"/>
        </w:rPr>
        <w:t>npm run test:scoring</w:t>
      </w:r>
      <w:r>
        <w:t>) covering three cases — a sound manufacturing expansion, a thin startup with a DSCR breach, and a deliberately incomplete file:</w:t>
      </w:r>
    </w:p>
    <w:p>
      <w:r>
        <w:t>The suite covers the scoring engine, the validation schemas, and the authorisation logic — 62 tests in total. Server Actions are reachable by direct POST rather than only through the application's own forms, so every action validates its input before use, and validation failures report which field failed without echoing the submitted value back.</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Check</w:t>
            </w:r>
          </w:p>
        </w:tc>
        <w:tc>
          <w:tcPr>
            <w:tcW w:type="dxa" w:w="4320"/>
          </w:tcPr>
          <w:p>
            <w:r>
              <w:rPr>
                <w:b/>
                <w:sz w:val="18"/>
              </w:rPr>
              <w:t>Result</w:t>
            </w:r>
          </w:p>
        </w:tc>
      </w:tr>
      <w:tr>
        <w:tc>
          <w:tcPr>
            <w:tcW w:type="dxa" w:w="4320"/>
          </w:tcPr>
          <w:p>
            <w:r>
              <w:rPr>
                <w:sz w:val="18"/>
              </w:rPr>
              <w:t>Strong case scores above weak on credit risk</w:t>
            </w:r>
          </w:p>
        </w:tc>
        <w:tc>
          <w:tcPr>
            <w:tcW w:type="dxa" w:w="4320"/>
          </w:tcPr>
          <w:p>
            <w:r>
              <w:rPr>
                <w:sz w:val="18"/>
              </w:rPr>
              <w:t>pass</w:t>
            </w:r>
          </w:p>
        </w:tc>
      </w:tr>
      <w:tr>
        <w:tc>
          <w:tcPr>
            <w:tcW w:type="dxa" w:w="4320"/>
          </w:tcPr>
          <w:p>
            <w:r>
              <w:rPr>
                <w:sz w:val="18"/>
              </w:rPr>
              <w:t>Strong case scores above weak on development impact</w:t>
            </w:r>
          </w:p>
        </w:tc>
        <w:tc>
          <w:tcPr>
            <w:tcW w:type="dxa" w:w="4320"/>
          </w:tcPr>
          <w:p>
            <w:r>
              <w:rPr>
                <w:sz w:val="18"/>
              </w:rPr>
              <w:t>pass</w:t>
            </w:r>
          </w:p>
        </w:tc>
      </w:tr>
      <w:tr>
        <w:tc>
          <w:tcPr>
            <w:tcW w:type="dxa" w:w="4320"/>
          </w:tcPr>
          <w:p>
            <w:r>
              <w:rPr>
                <w:sz w:val="18"/>
              </w:rPr>
              <w:t>Weak case flags a critical breach (DSCR 0.92)</w:t>
            </w:r>
          </w:p>
        </w:tc>
        <w:tc>
          <w:tcPr>
            <w:tcW w:type="dxa" w:w="4320"/>
          </w:tcPr>
          <w:p>
            <w:r>
              <w:rPr>
                <w:sz w:val="18"/>
              </w:rPr>
              <w:t>pass</w:t>
            </w:r>
          </w:p>
        </w:tc>
      </w:tr>
      <w:tr>
        <w:tc>
          <w:tcPr>
            <w:tcW w:type="dxa" w:w="4320"/>
          </w:tcPr>
          <w:p>
            <w:r>
              <w:rPr>
                <w:sz w:val="18"/>
              </w:rPr>
              <w:t>Strong case flags no breach</w:t>
            </w:r>
          </w:p>
        </w:tc>
        <w:tc>
          <w:tcPr>
            <w:tcW w:type="dxa" w:w="4320"/>
          </w:tcPr>
          <w:p>
            <w:r>
              <w:rPr>
                <w:sz w:val="18"/>
              </w:rPr>
              <w:t>pass</w:t>
            </w:r>
          </w:p>
        </w:tc>
      </w:tr>
      <w:tr>
        <w:tc>
          <w:tcPr>
            <w:tcW w:type="dxa" w:w="4320"/>
          </w:tcPr>
          <w:p>
            <w:r>
              <w:rPr>
                <w:sz w:val="18"/>
              </w:rPr>
              <w:t>Strong case reaches band A or B</w:t>
            </w:r>
          </w:p>
        </w:tc>
        <w:tc>
          <w:tcPr>
            <w:tcW w:type="dxa" w:w="4320"/>
          </w:tcPr>
          <w:p>
            <w:r>
              <w:rPr>
                <w:sz w:val="18"/>
              </w:rPr>
              <w:t>pass</w:t>
            </w:r>
          </w:p>
        </w:tc>
      </w:tr>
      <w:tr>
        <w:tc>
          <w:tcPr>
            <w:tcW w:type="dxa" w:w="4320"/>
          </w:tcPr>
          <w:p>
            <w:r>
              <w:rPr>
                <w:sz w:val="18"/>
              </w:rPr>
              <w:t>Weak case falls to band C or D</w:t>
            </w:r>
          </w:p>
        </w:tc>
        <w:tc>
          <w:tcPr>
            <w:tcW w:type="dxa" w:w="4320"/>
          </w:tcPr>
          <w:p>
            <w:r>
              <w:rPr>
                <w:sz w:val="18"/>
              </w:rPr>
              <w:t>pass</w:t>
            </w:r>
          </w:p>
        </w:tc>
      </w:tr>
      <w:tr>
        <w:tc>
          <w:tcPr>
            <w:tcW w:type="dxa" w:w="4320"/>
          </w:tcPr>
          <w:p>
            <w:r>
              <w:rPr>
                <w:sz w:val="18"/>
              </w:rPr>
              <w:t>Objectives reported separately, not merged</w:t>
            </w:r>
          </w:p>
        </w:tc>
        <w:tc>
          <w:tcPr>
            <w:tcW w:type="dxa" w:w="4320"/>
          </w:tcPr>
          <w:p>
            <w:r>
              <w:rPr>
                <w:sz w:val="18"/>
              </w:rPr>
              <w:t>pass</w:t>
            </w:r>
          </w:p>
        </w:tc>
      </w:tr>
      <w:tr>
        <w:tc>
          <w:tcPr>
            <w:tcW w:type="dxa" w:w="4320"/>
          </w:tcPr>
          <w:p>
            <w:r>
              <w:rPr>
                <w:sz w:val="18"/>
              </w:rPr>
              <w:t>Contributions sum to parent score</w:t>
            </w:r>
          </w:p>
        </w:tc>
        <w:tc>
          <w:tcPr>
            <w:tcW w:type="dxa" w:w="4320"/>
          </w:tcPr>
          <w:p>
            <w:r>
              <w:rPr>
                <w:sz w:val="18"/>
              </w:rPr>
              <w:t>pass</w:t>
            </w:r>
          </w:p>
        </w:tc>
      </w:tr>
      <w:tr>
        <w:tc>
          <w:tcPr>
            <w:tcW w:type="dxa" w:w="4320"/>
          </w:tcPr>
          <w:p>
            <w:r>
              <w:rPr>
                <w:sz w:val="18"/>
              </w:rPr>
              <w:t>Weight status still flagged PLACEHOLDER</w:t>
            </w:r>
          </w:p>
        </w:tc>
        <w:tc>
          <w:tcPr>
            <w:tcW w:type="dxa" w:w="4320"/>
          </w:tcPr>
          <w:p>
            <w:r>
              <w:rPr>
                <w:sz w:val="18"/>
              </w:rPr>
              <w:t>pass</w:t>
            </w:r>
          </w:p>
        </w:tc>
      </w:tr>
    </w:tbl>
    <w:p/>
    <w:p>
      <w:r>
        <w:t xml:space="preserve">The system was additionally verified end to end through the browser: all 49 criteria entered through the interface, producing credit risk 80.2 (band A) against development impact 74.6 (band B), persisted to the database, rendered with full contribution breakdown, and exported to a valid </w:t>
      </w:r>
      <w:r>
        <w:rPr>
          <w:rFonts w:ascii="Consolas" w:hAnsi="Consolas"/>
          <w:sz w:val="19"/>
        </w:rPr>
        <w:t>.docx</w:t>
      </w:r>
      <w:r>
        <w:t xml:space="preserve"> in bank format.</w:t>
      </w:r>
    </w:p>
    <w:p>
      <w:r>
        <w:t xml:space="preserve">These are </w:t>
      </w:r>
      <w:r>
        <w:rPr>
          <w:b/>
        </w:rPr>
        <w:t>structural</w:t>
      </w:r>
      <w:r>
        <w:t xml:space="preserve"> checks. They establish that the engine behaves as specified — not that its scores are accurate. Accuracy is the subject of Chapter 5, and the answer given there is heavily qualified.</w:t>
      </w:r>
    </w:p>
    <w:p>
      <w:pPr>
        <w:pStyle w:val="Heading2"/>
      </w:pPr>
      <w:r>
        <w:t>4.10 Status of the weights</w:t>
      </w:r>
    </w:p>
    <w:p>
      <w:r>
        <w:t xml:space="preserve">Throughout this chapter the model carries </w:t>
      </w:r>
      <w:r>
        <w:rPr>
          <w:rFonts w:ascii="Consolas" w:hAnsi="Consolas"/>
          <w:sz w:val="19"/>
        </w:rPr>
        <w:t>weightStatus: PLACEHOLDER</w:t>
      </w:r>
      <w:r>
        <w:t>. All criteria are equally weighted within their level.</w:t>
      </w:r>
    </w:p>
    <w:p>
      <w:r>
        <w:t xml:space="preserve">This is enforced rather than merely noted. The model synchronisation script warns on every run; the interface displays a standing notice; and the weight-derivation pipeline refuses to mark the model </w:t>
      </w:r>
      <w:r>
        <w:rPr>
          <w:rFonts w:ascii="Consolas" w:hAnsi="Consolas"/>
          <w:sz w:val="19"/>
        </w:rPr>
        <w:t>ELICITED</w:t>
      </w:r>
      <w:r>
        <w:t xml:space="preserve"> without usable elicitation responses. Scores computed under placeholder weights are structurally valid and</w:t>
      </w:r>
    </w:p>
    <w:p>
      <w:r>
        <w:rPr>
          <w:b/>
        </w:rPr>
        <w:t>must not be reported as research results</w:t>
      </w:r>
      <w:r>
        <w:t>. Chapter 6 describes the elicitation that replaces them.</w:t>
      </w:r>
    </w:p>
    <w:p>
      <w:r>
        <w:br w:type="page"/>
      </w:r>
    </w:p>
    <w:p>
      <w:pPr>
        <w:pStyle w:val="Heading1"/>
      </w:pPr>
      <w:r>
        <w:t>Chapter 5 — Empirical Validation</w:t>
      </w:r>
    </w:p>
    <w:p>
      <w:pPr>
        <w:ind w:left="504"/>
      </w:pPr>
      <w:r>
        <w:rPr>
          <w:i/>
          <w:sz w:val="20"/>
        </w:rPr>
        <w:t>Reproducibility. Every figure and table in this chapter is produced by code in</w:t>
      </w:r>
    </w:p>
    <w:p>
      <w:pPr>
        <w:ind w:left="504"/>
      </w:pPr>
      <w:r>
        <w:rPr>
          <w:i/>
          <w:sz w:val="20"/>
        </w:rPr>
        <w:t>research/src/. Re-running prepare_sba.py, leakage_analysis.py and</w:t>
      </w:r>
    </w:p>
    <w:p>
      <w:pPr>
        <w:ind w:left="504"/>
      </w:pPr>
      <w:r>
        <w:rPr>
          <w:i/>
          <w:sz w:val="20"/>
        </w:rPr>
        <w:t>benchmark.py in that order regenerates all of it. No value has been entered by</w:t>
      </w:r>
    </w:p>
    <w:p>
      <w:pPr>
        <w:ind w:left="504"/>
      </w:pPr>
      <w:r>
        <w:rPr>
          <w:i/>
          <w:sz w:val="20"/>
        </w:rPr>
        <w:t>hand.</w:t>
      </w:r>
    </w:p>
    <w:p>
      <w:pPr>
        <w:pStyle w:val="Heading2"/>
      </w:pPr>
      <w:r>
        <w:t>5.1 Purpose and scope of this chapter</w:t>
      </w:r>
    </w:p>
    <w:p>
      <w:r>
        <w:t>Chapter 4 presented a criteria tree of 49 criteria derived from the People's Bank</w:t>
      </w:r>
    </w:p>
    <w:p>
      <w:r>
        <w:t>*Project / Business Appraisal Report for SME Credit Facility*, and a scoring method that maps appraisal inputs onto two separate objectives. This chapter asks what can and cannot be established about that model from data.</w:t>
      </w:r>
    </w:p>
    <w:p>
      <w:r>
        <w:t>The scope must be stated precisely, because the answer is narrower than the question a reader might expect.</w:t>
      </w:r>
    </w:p>
    <w:p>
      <w:r>
        <w:t xml:space="preserve">The criteria tree is instrument-specific. It scores debt service cover, the competitive forces bearing on the applicant's market, management quality, environmental risk, and nine development outcomes. </w:t>
      </w:r>
      <w:r>
        <w:rPr>
          <w:b/>
        </w:rPr>
        <w:t>No public dataset contains those variables.</w:t>
      </w:r>
      <w:r>
        <w:t xml:space="preserve"> Access to People's Bank's own historical files was not available within this study, and would in any case be confidential.</w:t>
      </w:r>
    </w:p>
    <w:p>
      <w:r>
        <w:t>The validation is therefore split three ways, and the three claims are kept separate throughout: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Component</w:t>
            </w:r>
          </w:p>
        </w:tc>
        <w:tc>
          <w:tcPr>
            <w:tcW w:type="dxa" w:w="2880"/>
          </w:tcPr>
          <w:p>
            <w:r>
              <w:rPr>
                <w:b/>
                <w:sz w:val="18"/>
              </w:rPr>
              <w:t>Evidence</w:t>
            </w:r>
          </w:p>
        </w:tc>
        <w:tc>
          <w:tcPr>
            <w:tcW w:type="dxa" w:w="2880"/>
          </w:tcPr>
          <w:p>
            <w:r>
              <w:rPr>
                <w:b/>
                <w:sz w:val="18"/>
              </w:rPr>
              <w:t>Reported in</w:t>
            </w:r>
          </w:p>
        </w:tc>
      </w:tr>
      <w:tr>
        <w:tc>
          <w:tcPr>
            <w:tcW w:type="dxa" w:w="2880"/>
          </w:tcPr>
          <w:p>
            <w:r>
              <w:rPr>
                <w:sz w:val="18"/>
              </w:rPr>
              <w:t>Scoring method (band mapping, weighted aggregation, defuzzification)</w:t>
            </w:r>
          </w:p>
        </w:tc>
        <w:tc>
          <w:tcPr>
            <w:tcW w:type="dxa" w:w="2880"/>
          </w:tcPr>
          <w:p>
            <w:r>
              <w:rPr>
                <w:sz w:val="18"/>
              </w:rPr>
              <w:t>Real default outcomes, SBA National</w:t>
            </w:r>
          </w:p>
        </w:tc>
        <w:tc>
          <w:tcPr>
            <w:tcW w:type="dxa" w:w="2880"/>
          </w:tcPr>
          <w:p>
            <w:r>
              <w:rPr>
                <w:sz w:val="18"/>
              </w:rPr>
              <w:t>§5.3–5.5</w:t>
            </w:r>
          </w:p>
        </w:tc>
      </w:tr>
      <w:tr>
        <w:tc>
          <w:tcPr>
            <w:tcW w:type="dxa" w:w="2880"/>
          </w:tcPr>
          <w:p>
            <w:r>
              <w:rPr>
                <w:sz w:val="18"/>
              </w:rPr>
              <w:t>Criterion weights</w:t>
            </w:r>
          </w:p>
        </w:tc>
        <w:tc>
          <w:tcPr>
            <w:tcW w:type="dxa" w:w="2880"/>
          </w:tcPr>
          <w:p>
            <w:r>
              <w:rPr>
                <w:sz w:val="18"/>
              </w:rPr>
              <w:t>Expert elicitation, Best-Worst Method</w:t>
            </w:r>
          </w:p>
        </w:tc>
        <w:tc>
          <w:tcPr>
            <w:tcW w:type="dxa" w:w="2880"/>
          </w:tcPr>
          <w:p>
            <w:r>
              <w:rPr>
                <w:sz w:val="18"/>
              </w:rPr>
              <w:t>Chapter 6</w:t>
            </w:r>
          </w:p>
        </w:tc>
      </w:tr>
      <w:tr>
        <w:tc>
          <w:tcPr>
            <w:tcW w:type="dxa" w:w="2880"/>
          </w:tcPr>
          <w:p>
            <w:r>
              <w:rPr>
                <w:sz w:val="18"/>
              </w:rPr>
              <w:t>Full 49-criterion tree</w:t>
            </w:r>
          </w:p>
        </w:tc>
        <w:tc>
          <w:tcPr>
            <w:tcW w:type="dxa" w:w="2880"/>
          </w:tcPr>
          <w:p>
            <w:r>
              <w:rPr>
                <w:sz w:val="18"/>
              </w:rPr>
              <w:t>Design contribution; not empirically validated</w:t>
            </w:r>
          </w:p>
        </w:tc>
        <w:tc>
          <w:tcPr>
            <w:tcW w:type="dxa" w:w="2880"/>
          </w:tcPr>
          <w:p>
            <w:r>
              <w:rPr>
                <w:sz w:val="18"/>
              </w:rPr>
              <w:t>§5.7</w:t>
            </w:r>
          </w:p>
        </w:tc>
      </w:tr>
    </w:tbl>
    <w:p/>
    <w:p>
      <w:r>
        <w:t>The distinction matters. A claim that "the model was validated" would be false. What is validated here is the scoring machinery, on a proxy dataset, for the observable subset of criteria.</w:t>
      </w:r>
    </w:p>
    <w:p>
      <w:pPr>
        <w:pStyle w:val="Heading2"/>
      </w:pPr>
      <w:r>
        <w:t>5.2 Dataset</w:t>
      </w:r>
    </w:p>
    <w:p>
      <w:r>
        <w:t xml:space="preserve">The SBA National dataset (Li, Mickel and Taylor, 2018) records 899,164 loan guarantees issued by the U.S. Small Business Administration between 1987 and 2014, with realised outcomes in </w:t>
      </w:r>
      <w:r>
        <w:rPr>
          <w:rFonts w:ascii="Consolas" w:hAnsi="Consolas"/>
          <w:sz w:val="19"/>
        </w:rPr>
        <w:t>MIS_Status</w:t>
      </w:r>
      <w:r>
        <w:t xml:space="preserve"> (</w:t>
      </w:r>
      <w:r>
        <w:rPr>
          <w:rFonts w:ascii="Consolas" w:hAnsi="Consolas"/>
          <w:sz w:val="19"/>
        </w:rPr>
        <w:t>P I F</w:t>
      </w:r>
      <w:r>
        <w:t xml:space="preserve"> = paid in full, </w:t>
      </w:r>
      <w:r>
        <w:rPr>
          <w:rFonts w:ascii="Consolas" w:hAnsi="Consolas"/>
          <w:sz w:val="19"/>
        </w:rPr>
        <w:t>CHGOFF</w:t>
      </w:r>
      <w:r>
        <w:t xml:space="preserve"> = charged off). It is the largest public dataset of small-business lending with ground truth, and is widely used in credit-scoring research and teaching.</w:t>
      </w:r>
    </w:p>
    <w:p>
      <w:r>
        <w:t>After removing 1,997 records with no usable outcome, 897,167 remain, with an overall default rate of 17.56%.</w:t>
      </w:r>
    </w:p>
    <w:p>
      <w:pPr>
        <w:pStyle w:val="Heading3"/>
      </w:pPr>
      <w:r>
        <w:t>5.2.1 Outcome-derived fields</w:t>
      </w:r>
    </w:p>
    <w:p>
      <w:r>
        <w:t xml:space="preserve">Three fields are populated only after a loan has defaulted: </w:t>
      </w:r>
      <w:r>
        <w:rPr>
          <w:rFonts w:ascii="Consolas" w:hAnsi="Consolas"/>
          <w:sz w:val="19"/>
        </w:rPr>
        <w:t>ChgOffPrinGr</w:t>
      </w:r>
      <w:r>
        <w:t xml:space="preserve"> (charged-off principal), </w:t>
      </w:r>
      <w:r>
        <w:rPr>
          <w:rFonts w:ascii="Consolas" w:hAnsi="Consolas"/>
          <w:sz w:val="19"/>
        </w:rPr>
        <w:t>ChgOffDate</w:t>
      </w:r>
      <w:r>
        <w:t xml:space="preserve">, and </w:t>
      </w:r>
      <w:r>
        <w:rPr>
          <w:rFonts w:ascii="Consolas" w:hAnsi="Consolas"/>
          <w:sz w:val="19"/>
        </w:rPr>
        <w:t>BalanceGross</w:t>
      </w:r>
      <w:r>
        <w:t xml:space="preserve">. A model given any of them reads the answer rather than predicting it. They are dropped in </w:t>
      </w:r>
      <w:r>
        <w:rPr>
          <w:rFonts w:ascii="Consolas" w:hAnsi="Consolas"/>
          <w:sz w:val="19"/>
        </w:rPr>
        <w:t>prepare_sba.py</w:t>
      </w:r>
      <w:r>
        <w:t>, and their absence is asserted before the prepared file is written.</w:t>
      </w:r>
    </w:p>
    <w:p>
      <w:pPr>
        <w:pStyle w:val="Heading3"/>
      </w:pPr>
      <w:r>
        <w:t>5.2.2 Right-censoring</w:t>
      </w:r>
    </w:p>
    <w:p>
      <w:r>
        <w:t>A loan approved in 2013 on a fifteen-year term cannot have defaulted by the 2014 data cut-off. Such loans appear to perform well only because insufficient time has elapsed.</w:t>
      </w:r>
    </w:p>
    <w:p>
      <w:r>
        <w:t>Restricting to the 1990–2010 approval window (847,980 loans) and separating those whose full term elapsed before the cut-off: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Cohort</w:t>
            </w:r>
          </w:p>
        </w:tc>
        <w:tc>
          <w:tcPr>
            <w:tcW w:type="dxa" w:w="2880"/>
          </w:tcPr>
          <w:p>
            <w:r>
              <w:rPr>
                <w:b/>
                <w:sz w:val="18"/>
              </w:rPr>
              <w:t>n</w:t>
            </w:r>
          </w:p>
        </w:tc>
        <w:tc>
          <w:tcPr>
            <w:tcW w:type="dxa" w:w="2880"/>
          </w:tcPr>
          <w:p>
            <w:r>
              <w:rPr>
                <w:b/>
                <w:sz w:val="18"/>
              </w:rPr>
              <w:t>Default rate</w:t>
            </w:r>
          </w:p>
        </w:tc>
      </w:tr>
      <w:tr>
        <w:tc>
          <w:tcPr>
            <w:tcW w:type="dxa" w:w="2880"/>
          </w:tcPr>
          <w:p>
            <w:r>
              <w:rPr>
                <w:sz w:val="18"/>
              </w:rPr>
              <w:t>Censored (term not yet elapsed)</w:t>
            </w:r>
          </w:p>
        </w:tc>
        <w:tc>
          <w:tcPr>
            <w:tcW w:type="dxa" w:w="2880"/>
          </w:tcPr>
          <w:p>
            <w:r>
              <w:rPr>
                <w:sz w:val="18"/>
              </w:rPr>
              <w:t>195,696</w:t>
            </w:r>
          </w:p>
        </w:tc>
        <w:tc>
          <w:tcPr>
            <w:tcW w:type="dxa" w:w="2880"/>
          </w:tcPr>
          <w:p>
            <w:r>
              <w:rPr>
                <w:sz w:val="18"/>
              </w:rPr>
              <w:t>7.77%</w:t>
            </w:r>
          </w:p>
        </w:tc>
      </w:tr>
      <w:tr>
        <w:tc>
          <w:tcPr>
            <w:tcW w:type="dxa" w:w="2880"/>
          </w:tcPr>
          <w:p>
            <w:r>
              <w:rPr>
                <w:sz w:val="18"/>
              </w:rPr>
              <w:t>Fully matured</w:t>
            </w:r>
          </w:p>
        </w:tc>
        <w:tc>
          <w:tcPr>
            <w:tcW w:type="dxa" w:w="2880"/>
          </w:tcPr>
          <w:p>
            <w:r>
              <w:rPr>
                <w:sz w:val="18"/>
              </w:rPr>
              <w:t>652,284</w:t>
            </w:r>
          </w:p>
        </w:tc>
        <w:tc>
          <w:tcPr>
            <w:tcW w:type="dxa" w:w="2880"/>
          </w:tcPr>
          <w:p>
            <w:r>
              <w:rPr>
                <w:sz w:val="18"/>
              </w:rPr>
              <w:t>20.41%</w:t>
            </w:r>
          </w:p>
        </w:tc>
      </w:tr>
    </w:tbl>
    <w:p/>
    <w:p>
      <w:r>
        <w:t>The difference is large enough to dominate any model permitted to infer censoring status. All analysis below uses the 652,284 fully-matured loans. This biases the sample toward shorter terms in later years, which is noted as a limitation in §5.7.</w:t>
      </w:r>
    </w:p>
    <w:p>
      <w:pPr>
        <w:pStyle w:val="Heading2"/>
      </w:pPr>
      <w:r>
        <w:t>5.3 A contaminated predictor</w:t>
      </w:r>
    </w:p>
    <w:p>
      <w:pPr>
        <w:pStyle w:val="Heading3"/>
      </w:pPr>
      <w:r>
        <w:t>5.3.1 How the problem surfaced</w:t>
      </w:r>
    </w:p>
    <w:p>
      <w:r>
        <w:t>Initial benchmarking produced a gradient-boosting AUC of 0.9726 under random splitting and 0.9461 under temporal splitting. Credit-scoring models on small-business data do not ordinarily discriminate this well. The result was treated as a symptom rather than an achievement.</w:t>
      </w:r>
    </w:p>
    <w:p>
      <w:r>
        <w:t xml:space="preserve">Permutation importance showed the model to be, in substance, a function of a single variable: shuffling </w:t>
      </w:r>
      <w:r>
        <w:rPr>
          <w:rFonts w:ascii="Consolas" w:hAnsi="Consolas"/>
          <w:sz w:val="19"/>
        </w:rPr>
        <w:t>term_years</w:t>
      </w:r>
      <w:r>
        <w:t xml:space="preserve"> cost 0.395 AUC, while no other feature cost more than 0.008. Yet </w:t>
      </w:r>
      <w:r>
        <w:rPr>
          <w:rFonts w:ascii="Consolas" w:hAnsi="Consolas"/>
          <w:sz w:val="19"/>
        </w:rPr>
        <w:t>Term</w:t>
      </w:r>
      <w:r>
        <w:t xml:space="preserve"> as a monotone predictor reaches only 0.82. The discrimination was coming from a </w:t>
      </w:r>
      <w:r>
        <w:rPr>
          <w:b/>
        </w:rPr>
        <w:t>non-monotone</w:t>
      </w:r>
      <w:r>
        <w:t xml:space="preserve"> structure in the variable.</w:t>
      </w:r>
    </w:p>
    <w:p>
      <w:pPr>
        <w:pStyle w:val="Heading3"/>
      </w:pPr>
      <w:r>
        <w:t>5.3.2 The structure</w:t>
      </w:r>
    </w:p>
    <w:p>
      <w:r>
        <w:t>Default rates by exact term value, 2007 approvals: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Term (months)</w:t>
            </w:r>
          </w:p>
        </w:tc>
        <w:tc>
          <w:tcPr>
            <w:tcW w:type="dxa" w:w="2880"/>
          </w:tcPr>
          <w:p>
            <w:r>
              <w:rPr>
                <w:b/>
                <w:sz w:val="18"/>
              </w:rPr>
              <w:t>n</w:t>
            </w:r>
          </w:p>
        </w:tc>
        <w:tc>
          <w:tcPr>
            <w:tcW w:type="dxa" w:w="2880"/>
          </w:tcPr>
          <w:p>
            <w:r>
              <w:rPr>
                <w:b/>
                <w:sz w:val="18"/>
              </w:rPr>
              <w:t>Default rate</w:t>
            </w:r>
          </w:p>
        </w:tc>
      </w:tr>
      <w:tr>
        <w:tc>
          <w:tcPr>
            <w:tcW w:type="dxa" w:w="2880"/>
          </w:tcPr>
          <w:p>
            <w:r>
              <w:rPr>
                <w:sz w:val="18"/>
              </w:rPr>
              <w:t>58</w:t>
            </w:r>
          </w:p>
        </w:tc>
        <w:tc>
          <w:tcPr>
            <w:tcW w:type="dxa" w:w="2880"/>
          </w:tcPr>
          <w:p>
            <w:r>
              <w:rPr>
                <w:sz w:val="18"/>
              </w:rPr>
              <w:t>634</w:t>
            </w:r>
          </w:p>
        </w:tc>
        <w:tc>
          <w:tcPr>
            <w:tcW w:type="dxa" w:w="2880"/>
          </w:tcPr>
          <w:p>
            <w:r>
              <w:rPr>
                <w:sz w:val="18"/>
              </w:rPr>
              <w:t>92.1%</w:t>
            </w:r>
          </w:p>
        </w:tc>
      </w:tr>
      <w:tr>
        <w:tc>
          <w:tcPr>
            <w:tcW w:type="dxa" w:w="2880"/>
          </w:tcPr>
          <w:p>
            <w:r>
              <w:rPr>
                <w:sz w:val="18"/>
              </w:rPr>
              <w:t>59</w:t>
            </w:r>
          </w:p>
        </w:tc>
        <w:tc>
          <w:tcPr>
            <w:tcW w:type="dxa" w:w="2880"/>
          </w:tcPr>
          <w:p>
            <w:r>
              <w:rPr>
                <w:sz w:val="18"/>
              </w:rPr>
              <w:t>663</w:t>
            </w:r>
          </w:p>
        </w:tc>
        <w:tc>
          <w:tcPr>
            <w:tcW w:type="dxa" w:w="2880"/>
          </w:tcPr>
          <w:p>
            <w:r>
              <w:rPr>
                <w:sz w:val="18"/>
              </w:rPr>
              <w:t>86.7%</w:t>
            </w:r>
          </w:p>
        </w:tc>
      </w:tr>
      <w:tr>
        <w:tc>
          <w:tcPr>
            <w:tcW w:type="dxa" w:w="2880"/>
          </w:tcPr>
          <w:p>
            <w:r>
              <w:rPr>
                <w:sz w:val="18"/>
              </w:rPr>
              <w:t>60</w:t>
            </w:r>
          </w:p>
        </w:tc>
        <w:tc>
          <w:tcPr>
            <w:tcW w:type="dxa" w:w="2880"/>
          </w:tcPr>
          <w:p>
            <w:r>
              <w:rPr>
                <w:sz w:val="18"/>
              </w:rPr>
              <w:t>5,040</w:t>
            </w:r>
          </w:p>
        </w:tc>
        <w:tc>
          <w:tcPr>
            <w:tcW w:type="dxa" w:w="2880"/>
          </w:tcPr>
          <w:p>
            <w:r>
              <w:rPr>
                <w:sz w:val="18"/>
              </w:rPr>
              <w:t>11.1%</w:t>
            </w:r>
          </w:p>
        </w:tc>
      </w:tr>
      <w:tr>
        <w:tc>
          <w:tcPr>
            <w:tcW w:type="dxa" w:w="2880"/>
          </w:tcPr>
          <w:p>
            <w:r>
              <w:rPr>
                <w:sz w:val="18"/>
              </w:rPr>
              <w:t>61</w:t>
            </w:r>
          </w:p>
        </w:tc>
        <w:tc>
          <w:tcPr>
            <w:tcW w:type="dxa" w:w="2880"/>
          </w:tcPr>
          <w:p>
            <w:r>
              <w:rPr>
                <w:sz w:val="18"/>
              </w:rPr>
              <w:t>641</w:t>
            </w:r>
          </w:p>
        </w:tc>
        <w:tc>
          <w:tcPr>
            <w:tcW w:type="dxa" w:w="2880"/>
          </w:tcPr>
          <w:p>
            <w:r>
              <w:rPr>
                <w:sz w:val="18"/>
              </w:rPr>
              <w:t>92.2%</w:t>
            </w:r>
          </w:p>
        </w:tc>
      </w:tr>
      <w:tr>
        <w:tc>
          <w:tcPr>
            <w:tcW w:type="dxa" w:w="2880"/>
          </w:tcPr>
          <w:p>
            <w:r>
              <w:rPr>
                <w:sz w:val="18"/>
              </w:rPr>
              <w:t>62</w:t>
            </w:r>
          </w:p>
        </w:tc>
        <w:tc>
          <w:tcPr>
            <w:tcW w:type="dxa" w:w="2880"/>
          </w:tcPr>
          <w:p>
            <w:r>
              <w:rPr>
                <w:sz w:val="18"/>
              </w:rPr>
              <w:t>609</w:t>
            </w:r>
          </w:p>
        </w:tc>
        <w:tc>
          <w:tcPr>
            <w:tcW w:type="dxa" w:w="2880"/>
          </w:tcPr>
          <w:p>
            <w:r>
              <w:rPr>
                <w:sz w:val="18"/>
              </w:rPr>
              <w:t>90.1%</w:t>
            </w:r>
          </w:p>
        </w:tc>
      </w:tr>
      <w:tr>
        <w:tc>
          <w:tcPr>
            <w:tcW w:type="dxa" w:w="2880"/>
          </w:tcPr>
          <w:p>
            <w:r>
              <w:rPr>
                <w:sz w:val="18"/>
              </w:rPr>
              <w:t>63</w:t>
            </w:r>
          </w:p>
        </w:tc>
        <w:tc>
          <w:tcPr>
            <w:tcW w:type="dxa" w:w="2880"/>
          </w:tcPr>
          <w:p>
            <w:r>
              <w:rPr>
                <w:sz w:val="18"/>
              </w:rPr>
              <w:t>674</w:t>
            </w:r>
          </w:p>
        </w:tc>
        <w:tc>
          <w:tcPr>
            <w:tcW w:type="dxa" w:w="2880"/>
          </w:tcPr>
          <w:p>
            <w:r>
              <w:rPr>
                <w:sz w:val="18"/>
              </w:rPr>
              <w:t>81.0%</w:t>
            </w:r>
          </w:p>
        </w:tc>
      </w:tr>
      <w:tr>
        <w:tc>
          <w:tcPr>
            <w:tcW w:type="dxa" w:w="2880"/>
          </w:tcPr>
          <w:p>
            <w:r>
              <w:rPr>
                <w:sz w:val="18"/>
              </w:rPr>
              <w:t>64</w:t>
            </w:r>
          </w:p>
        </w:tc>
        <w:tc>
          <w:tcPr>
            <w:tcW w:type="dxa" w:w="2880"/>
          </w:tcPr>
          <w:p>
            <w:r>
              <w:rPr>
                <w:sz w:val="18"/>
              </w:rPr>
              <w:t>596</w:t>
            </w:r>
          </w:p>
        </w:tc>
        <w:tc>
          <w:tcPr>
            <w:tcW w:type="dxa" w:w="2880"/>
          </w:tcPr>
          <w:p>
            <w:r>
              <w:rPr>
                <w:sz w:val="18"/>
              </w:rPr>
              <w:t>88.1%</w:t>
            </w:r>
          </w:p>
        </w:tc>
      </w:tr>
    </w:tbl>
    <w:p/>
    <w:p>
      <w:r>
        <w:t>A one-month difference in contractual term cannot produce an eight-fold change in default rate. Sixty months is not economically distinct from fifty-nine.</w:t>
      </w:r>
    </w:p>
    <w:p>
      <w:r>
        <w:t>The pattern is roundness. Across the 1990–2010 cohort:</w:t>
      </w:r>
    </w:p>
    <w:p>
      <w:pPr>
        <w:pStyle w:val="ListBullet"/>
      </w:pPr>
      <w:r>
        <w:rPr>
          <w:b/>
        </w:rPr>
        <w:t>86.4%</w:t>
      </w:r>
      <w:r>
        <w:t xml:space="preserve"> of repaid loans have a term that is an exact multiple of twelve</w:t>
      </w:r>
    </w:p>
    <w:p>
      <w:pPr>
        <w:pStyle w:val="ListBullet"/>
      </w:pPr>
      <w:r>
        <w:rPr>
          <w:b/>
        </w:rPr>
        <w:t>8.5%</w:t>
      </w:r>
      <w:r>
        <w:t xml:space="preserve"> of charged-off loans do</w:t>
      </w:r>
    </w:p>
    <w:p>
      <w:pPr>
        <w:pStyle w:val="ListBullet"/>
      </w:pPr>
      <w:r>
        <w:t xml:space="preserve">Charged-off loans are distributed almost uniformly across </w:t>
      </w:r>
      <w:r>
        <w:rPr>
          <w:rFonts w:ascii="Consolas" w:hAnsi="Consolas"/>
          <w:sz w:val="19"/>
        </w:rPr>
        <w:t>Term mod 12</w:t>
      </w:r>
    </w:p>
    <w:p>
      <w:r>
        <w:t>(7.7%–9.0% in each of the twelve residues, against 86.4% at residue zero for repaid loans)</w:t>
      </w:r>
    </w:p>
    <w:p>
      <w:r>
        <w:t xml:space="preserve">The single boolean *"is the term a multiple of twelve"* — a quantity with no economic content whatsoever — achieves </w:t>
      </w:r>
      <w:r>
        <w:rPr>
          <w:b/>
        </w:rPr>
        <w:t>AUC 0.8894</w:t>
      </w:r>
      <w:r>
        <w:t>.</w:t>
      </w:r>
    </w:p>
    <w:p>
      <w:pPr>
        <w:pStyle w:val="Heading3"/>
      </w:pPr>
      <w:r>
        <w:t>5.3.3 Ruling out cohort composition</w:t>
      </w:r>
    </w:p>
    <w:p>
      <w:r>
        <w:t>Irregular-term loans became more common over the period, and so did defaults, so the association might be an artefact of pooling cohorts. It is not. Computed within each approval year separately:</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Year</w:t>
            </w:r>
          </w:p>
        </w:tc>
        <w:tc>
          <w:tcPr>
            <w:tcW w:type="dxa" w:w="1728"/>
          </w:tcPr>
          <w:p>
            <w:r>
              <w:rPr>
                <w:b/>
                <w:sz w:val="18"/>
              </w:rPr>
              <w:t>n</w:t>
            </w:r>
          </w:p>
        </w:tc>
        <w:tc>
          <w:tcPr>
            <w:tcW w:type="dxa" w:w="1728"/>
          </w:tcPr>
          <w:p>
            <w:r>
              <w:rPr>
                <w:b/>
                <w:sz w:val="18"/>
              </w:rPr>
              <w:t>Default, round term</w:t>
            </w:r>
          </w:p>
        </w:tc>
        <w:tc>
          <w:tcPr>
            <w:tcW w:type="dxa" w:w="1728"/>
          </w:tcPr>
          <w:p>
            <w:r>
              <w:rPr>
                <w:b/>
                <w:sz w:val="18"/>
              </w:rPr>
              <w:t>Default, irregular term</w:t>
            </w:r>
          </w:p>
        </w:tc>
        <w:tc>
          <w:tcPr>
            <w:tcW w:type="dxa" w:w="1728"/>
          </w:tcPr>
          <w:p>
            <w:r>
              <w:rPr>
                <w:b/>
                <w:sz w:val="18"/>
              </w:rPr>
              <w:t>AUC</w:t>
            </w:r>
          </w:p>
        </w:tc>
      </w:tr>
      <w:tr>
        <w:tc>
          <w:tcPr>
            <w:tcW w:type="dxa" w:w="1728"/>
          </w:tcPr>
          <w:p>
            <w:r>
              <w:rPr>
                <w:sz w:val="18"/>
              </w:rPr>
              <w:t>1990</w:t>
            </w:r>
          </w:p>
        </w:tc>
        <w:tc>
          <w:tcPr>
            <w:tcW w:type="dxa" w:w="1728"/>
          </w:tcPr>
          <w:p>
            <w:r>
              <w:rPr>
                <w:sz w:val="18"/>
              </w:rPr>
              <w:t>14,859</w:t>
            </w:r>
          </w:p>
        </w:tc>
        <w:tc>
          <w:tcPr>
            <w:tcW w:type="dxa" w:w="1728"/>
          </w:tcPr>
          <w:p>
            <w:r>
              <w:rPr>
                <w:sz w:val="18"/>
              </w:rPr>
              <w:t>0.6%</w:t>
            </w:r>
          </w:p>
        </w:tc>
        <w:tc>
          <w:tcPr>
            <w:tcW w:type="dxa" w:w="1728"/>
          </w:tcPr>
          <w:p>
            <w:r>
              <w:rPr>
                <w:sz w:val="18"/>
              </w:rPr>
              <w:t>19.2%</w:t>
            </w:r>
          </w:p>
        </w:tc>
        <w:tc>
          <w:tcPr>
            <w:tcW w:type="dxa" w:w="1728"/>
          </w:tcPr>
          <w:p>
            <w:r>
              <w:rPr>
                <w:sz w:val="18"/>
              </w:rPr>
              <w:t>0.859</w:t>
            </w:r>
          </w:p>
        </w:tc>
      </w:tr>
      <w:tr>
        <w:tc>
          <w:tcPr>
            <w:tcW w:type="dxa" w:w="1728"/>
          </w:tcPr>
          <w:p>
            <w:r>
              <w:rPr>
                <w:sz w:val="18"/>
              </w:rPr>
              <w:t>1993</w:t>
            </w:r>
          </w:p>
        </w:tc>
        <w:tc>
          <w:tcPr>
            <w:tcW w:type="dxa" w:w="1728"/>
          </w:tcPr>
          <w:p>
            <w:r>
              <w:rPr>
                <w:sz w:val="18"/>
              </w:rPr>
              <w:t>23,299</w:t>
            </w:r>
          </w:p>
        </w:tc>
        <w:tc>
          <w:tcPr>
            <w:tcW w:type="dxa" w:w="1728"/>
          </w:tcPr>
          <w:p>
            <w:r>
              <w:rPr>
                <w:sz w:val="18"/>
              </w:rPr>
              <w:t>0.2%</w:t>
            </w:r>
          </w:p>
        </w:tc>
        <w:tc>
          <w:tcPr>
            <w:tcW w:type="dxa" w:w="1728"/>
          </w:tcPr>
          <w:p>
            <w:r>
              <w:rPr>
                <w:sz w:val="18"/>
              </w:rPr>
              <w:t>11.2%</w:t>
            </w:r>
          </w:p>
        </w:tc>
        <w:tc>
          <w:tcPr>
            <w:tcW w:type="dxa" w:w="1728"/>
          </w:tcPr>
          <w:p>
            <w:r>
              <w:rPr>
                <w:sz w:val="18"/>
              </w:rPr>
              <w:t>0.885</w:t>
            </w:r>
          </w:p>
        </w:tc>
      </w:tr>
      <w:tr>
        <w:tc>
          <w:tcPr>
            <w:tcW w:type="dxa" w:w="1728"/>
          </w:tcPr>
          <w:p>
            <w:r>
              <w:rPr>
                <w:sz w:val="18"/>
              </w:rPr>
              <w:t>1997</w:t>
            </w:r>
          </w:p>
        </w:tc>
        <w:tc>
          <w:tcPr>
            <w:tcW w:type="dxa" w:w="1728"/>
          </w:tcPr>
          <w:p>
            <w:r>
              <w:rPr>
                <w:sz w:val="18"/>
              </w:rPr>
              <w:t>37,718</w:t>
            </w:r>
          </w:p>
        </w:tc>
        <w:tc>
          <w:tcPr>
            <w:tcW w:type="dxa" w:w="1728"/>
          </w:tcPr>
          <w:p>
            <w:r>
              <w:rPr>
                <w:sz w:val="18"/>
              </w:rPr>
              <w:t>0.6%</w:t>
            </w:r>
          </w:p>
        </w:tc>
        <w:tc>
          <w:tcPr>
            <w:tcW w:type="dxa" w:w="1728"/>
          </w:tcPr>
          <w:p>
            <w:r>
              <w:rPr>
                <w:sz w:val="18"/>
              </w:rPr>
              <w:t>29.8%</w:t>
            </w:r>
          </w:p>
        </w:tc>
        <w:tc>
          <w:tcPr>
            <w:tcW w:type="dxa" w:w="1728"/>
          </w:tcPr>
          <w:p>
            <w:r>
              <w:rPr>
                <w:sz w:val="18"/>
              </w:rPr>
              <w:t>0.888</w:t>
            </w:r>
          </w:p>
        </w:tc>
      </w:tr>
      <w:tr>
        <w:tc>
          <w:tcPr>
            <w:tcW w:type="dxa" w:w="1728"/>
          </w:tcPr>
          <w:p>
            <w:r>
              <w:rPr>
                <w:sz w:val="18"/>
              </w:rPr>
              <w:t>2000</w:t>
            </w:r>
          </w:p>
        </w:tc>
        <w:tc>
          <w:tcPr>
            <w:tcW w:type="dxa" w:w="1728"/>
          </w:tcPr>
          <w:p>
            <w:r>
              <w:rPr>
                <w:sz w:val="18"/>
              </w:rPr>
              <w:t>37,352</w:t>
            </w:r>
          </w:p>
        </w:tc>
        <w:tc>
          <w:tcPr>
            <w:tcW w:type="dxa" w:w="1728"/>
          </w:tcPr>
          <w:p>
            <w:r>
              <w:rPr>
                <w:sz w:val="18"/>
              </w:rPr>
              <w:t>1.4%</w:t>
            </w:r>
          </w:p>
        </w:tc>
        <w:tc>
          <w:tcPr>
            <w:tcW w:type="dxa" w:w="1728"/>
          </w:tcPr>
          <w:p>
            <w:r>
              <w:rPr>
                <w:sz w:val="18"/>
              </w:rPr>
              <w:t>42.0%</w:t>
            </w:r>
          </w:p>
        </w:tc>
        <w:tc>
          <w:tcPr>
            <w:tcW w:type="dxa" w:w="1728"/>
          </w:tcPr>
          <w:p>
            <w:r>
              <w:rPr>
                <w:sz w:val="18"/>
              </w:rPr>
              <w:t>0.874</w:t>
            </w:r>
          </w:p>
        </w:tc>
      </w:tr>
      <w:tr>
        <w:tc>
          <w:tcPr>
            <w:tcW w:type="dxa" w:w="1728"/>
          </w:tcPr>
          <w:p>
            <w:r>
              <w:rPr>
                <w:sz w:val="18"/>
              </w:rPr>
              <w:t>2003</w:t>
            </w:r>
          </w:p>
        </w:tc>
        <w:tc>
          <w:tcPr>
            <w:tcW w:type="dxa" w:w="1728"/>
          </w:tcPr>
          <w:p>
            <w:r>
              <w:rPr>
                <w:sz w:val="18"/>
              </w:rPr>
              <w:t>58,000</w:t>
            </w:r>
          </w:p>
        </w:tc>
        <w:tc>
          <w:tcPr>
            <w:tcW w:type="dxa" w:w="1728"/>
          </w:tcPr>
          <w:p>
            <w:r>
              <w:rPr>
                <w:sz w:val="18"/>
              </w:rPr>
              <w:t>1.6%</w:t>
            </w:r>
          </w:p>
        </w:tc>
        <w:tc>
          <w:tcPr>
            <w:tcW w:type="dxa" w:w="1728"/>
          </w:tcPr>
          <w:p>
            <w:r>
              <w:rPr>
                <w:sz w:val="18"/>
              </w:rPr>
              <w:t>54.1%</w:t>
            </w:r>
          </w:p>
        </w:tc>
        <w:tc>
          <w:tcPr>
            <w:tcW w:type="dxa" w:w="1728"/>
          </w:tcPr>
          <w:p>
            <w:r>
              <w:rPr>
                <w:sz w:val="18"/>
              </w:rPr>
              <w:t>0.893</w:t>
            </w:r>
          </w:p>
        </w:tc>
      </w:tr>
      <w:tr>
        <w:tc>
          <w:tcPr>
            <w:tcW w:type="dxa" w:w="1728"/>
          </w:tcPr>
          <w:p>
            <w:r>
              <w:rPr>
                <w:sz w:val="18"/>
              </w:rPr>
              <w:t>2006</w:t>
            </w:r>
          </w:p>
        </w:tc>
        <w:tc>
          <w:tcPr>
            <w:tcW w:type="dxa" w:w="1728"/>
          </w:tcPr>
          <w:p>
            <w:r>
              <w:rPr>
                <w:sz w:val="18"/>
              </w:rPr>
              <w:t>75,756</w:t>
            </w:r>
          </w:p>
        </w:tc>
        <w:tc>
          <w:tcPr>
            <w:tcW w:type="dxa" w:w="1728"/>
          </w:tcPr>
          <w:p>
            <w:r>
              <w:rPr>
                <w:sz w:val="18"/>
              </w:rPr>
              <w:t>4.9%</w:t>
            </w:r>
          </w:p>
        </w:tc>
        <w:tc>
          <w:tcPr>
            <w:tcW w:type="dxa" w:w="1728"/>
          </w:tcPr>
          <w:p>
            <w:r>
              <w:rPr>
                <w:sz w:val="18"/>
              </w:rPr>
              <w:t>80.8%</w:t>
            </w:r>
          </w:p>
        </w:tc>
        <w:tc>
          <w:tcPr>
            <w:tcW w:type="dxa" w:w="1728"/>
          </w:tcPr>
          <w:p>
            <w:r>
              <w:rPr>
                <w:sz w:val="18"/>
              </w:rPr>
              <w:t>0.900</w:t>
            </w:r>
          </w:p>
        </w:tc>
      </w:tr>
      <w:tr>
        <w:tc>
          <w:tcPr>
            <w:tcW w:type="dxa" w:w="1728"/>
          </w:tcPr>
          <w:p>
            <w:r>
              <w:rPr>
                <w:sz w:val="18"/>
              </w:rPr>
              <w:t>2007</w:t>
            </w:r>
          </w:p>
        </w:tc>
        <w:tc>
          <w:tcPr>
            <w:tcW w:type="dxa" w:w="1728"/>
          </w:tcPr>
          <w:p>
            <w:r>
              <w:rPr>
                <w:sz w:val="18"/>
              </w:rPr>
              <w:t>71,649</w:t>
            </w:r>
          </w:p>
        </w:tc>
        <w:tc>
          <w:tcPr>
            <w:tcW w:type="dxa" w:w="1728"/>
          </w:tcPr>
          <w:p>
            <w:r>
              <w:rPr>
                <w:sz w:val="18"/>
              </w:rPr>
              <w:t>6.7%</w:t>
            </w:r>
          </w:p>
        </w:tc>
        <w:tc>
          <w:tcPr>
            <w:tcW w:type="dxa" w:w="1728"/>
          </w:tcPr>
          <w:p>
            <w:r>
              <w:rPr>
                <w:sz w:val="18"/>
              </w:rPr>
              <w:t>85.5%</w:t>
            </w:r>
          </w:p>
        </w:tc>
        <w:tc>
          <w:tcPr>
            <w:tcW w:type="dxa" w:w="1728"/>
          </w:tcPr>
          <w:p>
            <w:r>
              <w:rPr>
                <w:sz w:val="18"/>
              </w:rPr>
              <w:t>0.899</w:t>
            </w:r>
          </w:p>
        </w:tc>
      </w:tr>
      <w:tr>
        <w:tc>
          <w:tcPr>
            <w:tcW w:type="dxa" w:w="1728"/>
          </w:tcPr>
          <w:p>
            <w:r>
              <w:rPr>
                <w:sz w:val="18"/>
              </w:rPr>
              <w:t>2008</w:t>
            </w:r>
          </w:p>
        </w:tc>
        <w:tc>
          <w:tcPr>
            <w:tcW w:type="dxa" w:w="1728"/>
          </w:tcPr>
          <w:p>
            <w:r>
              <w:rPr>
                <w:sz w:val="18"/>
              </w:rPr>
              <w:t>39,458</w:t>
            </w:r>
          </w:p>
        </w:tc>
        <w:tc>
          <w:tcPr>
            <w:tcW w:type="dxa" w:w="1728"/>
          </w:tcPr>
          <w:p>
            <w:r>
              <w:rPr>
                <w:sz w:val="18"/>
              </w:rPr>
              <w:t>6.4%</w:t>
            </w:r>
          </w:p>
        </w:tc>
        <w:tc>
          <w:tcPr>
            <w:tcW w:type="dxa" w:w="1728"/>
          </w:tcPr>
          <w:p>
            <w:r>
              <w:rPr>
                <w:sz w:val="18"/>
              </w:rPr>
              <w:t>84.4%</w:t>
            </w:r>
          </w:p>
        </w:tc>
        <w:tc>
          <w:tcPr>
            <w:tcW w:type="dxa" w:w="1728"/>
          </w:tcPr>
          <w:p>
            <w:r>
              <w:rPr>
                <w:sz w:val="18"/>
              </w:rPr>
              <w:t>0.898</w:t>
            </w:r>
          </w:p>
        </w:tc>
      </w:tr>
    </w:tbl>
    <w:p/>
    <w:p>
      <w:r>
        <w:t>The association holds in every year, within a band of 0.859–0.900. Cohort composition is excluded.</w:t>
      </w:r>
    </w:p>
    <w:p>
      <w:pPr>
        <w:pStyle w:val="Heading3"/>
      </w:pPr>
      <w:r>
        <w:t>5.3.4 The mechanism is not established</w:t>
      </w:r>
    </w:p>
    <w:p>
      <w:r>
        <w:t xml:space="preserve">The obvious explanation is that </w:t>
      </w:r>
      <w:r>
        <w:rPr>
          <w:rFonts w:ascii="Consolas" w:hAnsi="Consolas"/>
          <w:sz w:val="19"/>
        </w:rPr>
        <w:t>Term</w:t>
      </w:r>
      <w:r>
        <w:t xml:space="preserve"> for defaulted loans has been overwritten with elapsed time to charge-off. </w:t>
      </w:r>
      <w:r>
        <w:rPr>
          <w:b/>
        </w:rPr>
        <w:t>This was tested and rejected.</w:t>
      </w:r>
      <w:r>
        <w:t xml:space="preserve"> Among 156,266 charged-off loans with both disbursement and charge-off dates:</w:t>
      </w:r>
    </w:p>
    <w:p>
      <w:pPr>
        <w:pStyle w:val="ListBullet"/>
      </w:pPr>
      <w:r>
        <w:t xml:space="preserve">correlation between </w:t>
      </w:r>
      <w:r>
        <w:rPr>
          <w:rFonts w:ascii="Consolas" w:hAnsi="Consolas"/>
          <w:sz w:val="19"/>
        </w:rPr>
        <w:t>Term</w:t>
      </w:r>
      <w:r>
        <w:t xml:space="preserve"> and actual months to charge-off: </w:t>
      </w:r>
      <w:r>
        <w:rPr>
          <w:b/>
        </w:rPr>
        <w:t>0.043</w:t>
      </w:r>
    </w:p>
    <w:p>
      <w:pPr>
        <w:pStyle w:val="ListBullet"/>
      </w:pPr>
      <w:r>
        <w:t xml:space="preserve">proportion matching within ±3 months: </w:t>
      </w:r>
      <w:r>
        <w:rPr>
          <w:b/>
        </w:rPr>
        <w:t>5.0%</w:t>
      </w:r>
    </w:p>
    <w:p>
      <w:r>
        <w:rPr>
          <w:rFonts w:ascii="Consolas" w:hAnsi="Consolas"/>
          <w:sz w:val="19"/>
        </w:rPr>
        <w:t>Term</w:t>
      </w:r>
      <w:r>
        <w:t xml:space="preserve"> is not survival time. Whether the value is rewritten on restructuring, recomputed under some servicing convention, or introduced when this derivative file was assembled cannot be determined from the data.</w:t>
      </w:r>
    </w:p>
    <w:p>
      <w:r>
        <w:t xml:space="preserve">The dataset codebook documents </w:t>
      </w:r>
      <w:r>
        <w:rPr>
          <w:rFonts w:ascii="Consolas" w:hAnsi="Consolas"/>
          <w:sz w:val="19"/>
        </w:rPr>
        <w:t>Term</w:t>
      </w:r>
      <w:r>
        <w:t xml:space="preserve"> as "loan term in months" — the contractual term. The observed distribution is not consistent with that definition for charged-off loans. </w:t>
      </w:r>
      <w:r>
        <w:rPr>
          <w:b/>
        </w:rPr>
        <w:t>The contamination is established; its cause is not.</w:t>
      </w:r>
      <w:r>
        <w:t xml:space="preserve"> This study reports it accordingly and does not assert a mechanism it has not demonstrated.</w:t>
      </w:r>
    </w:p>
    <w:p>
      <w:pPr>
        <w:pStyle w:val="Heading2"/>
      </w:pPr>
      <w:r>
        <w:t>5.4 Consequences for reported performance</w:t>
      </w:r>
    </w:p>
    <w:p>
      <w:r>
        <w:t xml:space="preserve">Two model specifications were run. The </w:t>
      </w:r>
      <w:r>
        <w:rPr>
          <w:b/>
        </w:rPr>
        <w:t>clean</w:t>
      </w:r>
      <w:r>
        <w:t xml:space="preserve"> specification excludes </w:t>
      </w:r>
      <w:r>
        <w:rPr>
          <w:rFonts w:ascii="Consolas" w:hAnsi="Consolas"/>
          <w:sz w:val="19"/>
        </w:rPr>
        <w:t>Term</w:t>
      </w:r>
      <w:r>
        <w:t xml:space="preserve"> and every feature derived from it; the </w:t>
      </w:r>
      <w:r>
        <w:rPr>
          <w:b/>
        </w:rPr>
        <w:t>contaminated</w:t>
      </w:r>
      <w:r>
        <w:t xml:space="preserve"> specification adds them back, solely to quantify the inflation.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Model</w:t>
            </w:r>
          </w:p>
        </w:tc>
        <w:tc>
          <w:tcPr>
            <w:tcW w:type="dxa" w:w="2160"/>
          </w:tcPr>
          <w:p>
            <w:r>
              <w:rPr>
                <w:b/>
                <w:sz w:val="18"/>
              </w:rPr>
              <w:t>Fitted</w:t>
            </w:r>
          </w:p>
        </w:tc>
        <w:tc>
          <w:tcPr>
            <w:tcW w:type="dxa" w:w="2160"/>
          </w:tcPr>
          <w:p>
            <w:r>
              <w:rPr>
                <w:b/>
                <w:sz w:val="18"/>
              </w:rPr>
              <w:t>Random AUC</w:t>
            </w:r>
          </w:p>
        </w:tc>
        <w:tc>
          <w:tcPr>
            <w:tcW w:type="dxa" w:w="2160"/>
          </w:tcPr>
          <w:p>
            <w:r>
              <w:rPr>
                <w:b/>
                <w:sz w:val="18"/>
              </w:rPr>
              <w:t>Temporal AUC</w:t>
            </w:r>
          </w:p>
        </w:tc>
      </w:tr>
      <w:tr>
        <w:tc>
          <w:tcPr>
            <w:tcW w:type="dxa" w:w="2160"/>
          </w:tcPr>
          <w:p>
            <w:r>
              <w:rPr>
                <w:sz w:val="18"/>
              </w:rPr>
              <w:t>Clean specification</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Expert scorecard</w:t>
            </w:r>
          </w:p>
        </w:tc>
        <w:tc>
          <w:tcPr>
            <w:tcW w:type="dxa" w:w="2160"/>
          </w:tcPr>
          <w:p>
            <w:r>
              <w:rPr>
                <w:sz w:val="18"/>
              </w:rPr>
              <w:t>no</w:t>
            </w:r>
          </w:p>
        </w:tc>
        <w:tc>
          <w:tcPr>
            <w:tcW w:type="dxa" w:w="2160"/>
          </w:tcPr>
          <w:p>
            <w:r>
              <w:rPr>
                <w:sz w:val="18"/>
              </w:rPr>
              <w:t>0.4144</w:t>
            </w:r>
          </w:p>
        </w:tc>
        <w:tc>
          <w:tcPr>
            <w:tcW w:type="dxa" w:w="2160"/>
          </w:tcPr>
          <w:p>
            <w:r>
              <w:rPr>
                <w:sz w:val="18"/>
              </w:rPr>
              <w:t>0.5275</w:t>
            </w:r>
          </w:p>
        </w:tc>
      </w:tr>
      <w:tr>
        <w:tc>
          <w:tcPr>
            <w:tcW w:type="dxa" w:w="2160"/>
          </w:tcPr>
          <w:p>
            <w:r>
              <w:rPr>
                <w:sz w:val="18"/>
              </w:rPr>
              <w:t>Logistic regression</w:t>
            </w:r>
          </w:p>
        </w:tc>
        <w:tc>
          <w:tcPr>
            <w:tcW w:type="dxa" w:w="2160"/>
          </w:tcPr>
          <w:p>
            <w:r>
              <w:rPr>
                <w:sz w:val="18"/>
              </w:rPr>
              <w:t>yes</w:t>
            </w:r>
          </w:p>
        </w:tc>
        <w:tc>
          <w:tcPr>
            <w:tcW w:type="dxa" w:w="2160"/>
          </w:tcPr>
          <w:p>
            <w:r>
              <w:rPr>
                <w:sz w:val="18"/>
              </w:rPr>
              <w:t>0.6745</w:t>
            </w:r>
          </w:p>
        </w:tc>
        <w:tc>
          <w:tcPr>
            <w:tcW w:type="dxa" w:w="2160"/>
          </w:tcPr>
          <w:p>
            <w:r>
              <w:rPr>
                <w:sz w:val="18"/>
              </w:rPr>
              <w:t>0.4565</w:t>
            </w:r>
          </w:p>
        </w:tc>
      </w:tr>
      <w:tr>
        <w:tc>
          <w:tcPr>
            <w:tcW w:type="dxa" w:w="2160"/>
          </w:tcPr>
          <w:p>
            <w:r>
              <w:rPr>
                <w:sz w:val="18"/>
              </w:rPr>
              <w:t>Gradient boosting</w:t>
            </w:r>
          </w:p>
        </w:tc>
        <w:tc>
          <w:tcPr>
            <w:tcW w:type="dxa" w:w="2160"/>
          </w:tcPr>
          <w:p>
            <w:r>
              <w:rPr>
                <w:sz w:val="18"/>
              </w:rPr>
              <w:t>yes</w:t>
            </w:r>
          </w:p>
        </w:tc>
        <w:tc>
          <w:tcPr>
            <w:tcW w:type="dxa" w:w="2160"/>
          </w:tcPr>
          <w:p>
            <w:r>
              <w:rPr>
                <w:sz w:val="18"/>
              </w:rPr>
              <w:t>0.7898</w:t>
            </w:r>
          </w:p>
        </w:tc>
        <w:tc>
          <w:tcPr>
            <w:tcW w:type="dxa" w:w="2160"/>
          </w:tcPr>
          <w:p>
            <w:r>
              <w:rPr>
                <w:sz w:val="18"/>
              </w:rPr>
              <w:t>0.6076</w:t>
            </w:r>
          </w:p>
        </w:tc>
      </w:tr>
      <w:tr>
        <w:tc>
          <w:tcPr>
            <w:tcW w:type="dxa" w:w="2160"/>
          </w:tcPr>
          <w:p>
            <w:r>
              <w:rPr>
                <w:sz w:val="18"/>
              </w:rPr>
              <w:t>Contaminated specification</w:t>
            </w:r>
          </w:p>
        </w:tc>
        <w:tc>
          <w:tcPr>
            <w:tcW w:type="dxa" w:w="2160"/>
          </w:tcPr>
          <w:p>
            <w:r>
              <w:rPr>
                <w:sz w:val="18"/>
              </w:rPr>
            </w:r>
          </w:p>
        </w:tc>
        <w:tc>
          <w:tcPr>
            <w:tcW w:type="dxa" w:w="2160"/>
          </w:tcPr>
          <w:p>
            <w:r>
              <w:rPr>
                <w:sz w:val="18"/>
              </w:rPr>
            </w:r>
          </w:p>
        </w:tc>
        <w:tc>
          <w:tcPr>
            <w:tcW w:type="dxa" w:w="2160"/>
          </w:tcPr>
          <w:p>
            <w:r>
              <w:rPr>
                <w:sz w:val="18"/>
              </w:rPr>
            </w:r>
          </w:p>
        </w:tc>
      </w:tr>
      <w:tr>
        <w:tc>
          <w:tcPr>
            <w:tcW w:type="dxa" w:w="2160"/>
          </w:tcPr>
          <w:p>
            <w:r>
              <w:rPr>
                <w:sz w:val="18"/>
              </w:rPr>
              <w:t>Logistic regression</w:t>
            </w:r>
          </w:p>
        </w:tc>
        <w:tc>
          <w:tcPr>
            <w:tcW w:type="dxa" w:w="2160"/>
          </w:tcPr>
          <w:p>
            <w:r>
              <w:rPr>
                <w:sz w:val="18"/>
              </w:rPr>
              <w:t>yes</w:t>
            </w:r>
          </w:p>
        </w:tc>
        <w:tc>
          <w:tcPr>
            <w:tcW w:type="dxa" w:w="2160"/>
          </w:tcPr>
          <w:p>
            <w:r>
              <w:rPr>
                <w:sz w:val="18"/>
              </w:rPr>
              <w:t>0.8452</w:t>
            </w:r>
          </w:p>
        </w:tc>
        <w:tc>
          <w:tcPr>
            <w:tcW w:type="dxa" w:w="2160"/>
          </w:tcPr>
          <w:p>
            <w:r>
              <w:rPr>
                <w:sz w:val="18"/>
              </w:rPr>
              <w:t>0.7854</w:t>
            </w:r>
          </w:p>
        </w:tc>
      </w:tr>
      <w:tr>
        <w:tc>
          <w:tcPr>
            <w:tcW w:type="dxa" w:w="2160"/>
          </w:tcPr>
          <w:p>
            <w:r>
              <w:rPr>
                <w:sz w:val="18"/>
              </w:rPr>
              <w:t>Gradient boosting</w:t>
            </w:r>
          </w:p>
        </w:tc>
        <w:tc>
          <w:tcPr>
            <w:tcW w:type="dxa" w:w="2160"/>
          </w:tcPr>
          <w:p>
            <w:r>
              <w:rPr>
                <w:sz w:val="18"/>
              </w:rPr>
              <w:t>yes</w:t>
            </w:r>
          </w:p>
        </w:tc>
        <w:tc>
          <w:tcPr>
            <w:tcW w:type="dxa" w:w="2160"/>
          </w:tcPr>
          <w:p>
            <w:r>
              <w:rPr>
                <w:sz w:val="18"/>
              </w:rPr>
              <w:t>0.9726</w:t>
            </w:r>
          </w:p>
        </w:tc>
        <w:tc>
          <w:tcPr>
            <w:tcW w:type="dxa" w:w="2160"/>
          </w:tcPr>
          <w:p>
            <w:r>
              <w:rPr>
                <w:sz w:val="18"/>
              </w:rPr>
              <w:t>0.9461</w:t>
            </w:r>
          </w:p>
        </w:tc>
      </w:tr>
      <w:tr>
        <w:tc>
          <w:tcPr>
            <w:tcW w:type="dxa" w:w="2160"/>
          </w:tcPr>
          <w:p>
            <w:r>
              <w:rPr>
                <w:sz w:val="18"/>
              </w:rPr>
              <w:t>Term-roundness probe</w:t>
            </w:r>
          </w:p>
        </w:tc>
        <w:tc>
          <w:tcPr>
            <w:tcW w:type="dxa" w:w="2160"/>
          </w:tcPr>
          <w:p>
            <w:r>
              <w:rPr>
                <w:sz w:val="18"/>
              </w:rPr>
              <w:t>no</w:t>
            </w:r>
          </w:p>
        </w:tc>
        <w:tc>
          <w:tcPr>
            <w:tcW w:type="dxa" w:w="2160"/>
          </w:tcPr>
          <w:p>
            <w:r>
              <w:rPr>
                <w:sz w:val="18"/>
              </w:rPr>
              <w:t>0.8870</w:t>
            </w:r>
          </w:p>
        </w:tc>
        <w:tc>
          <w:tcPr>
            <w:tcW w:type="dxa" w:w="2160"/>
          </w:tcPr>
          <w:p>
            <w:r>
              <w:rPr>
                <w:sz w:val="18"/>
              </w:rPr>
              <w:t>0.8965</w:t>
            </w:r>
          </w:p>
        </w:tc>
      </w:tr>
    </w:tbl>
    <w:p/>
    <w:p>
      <w:r>
        <w:t>Three observations.</w:t>
      </w:r>
    </w:p>
    <w:p>
      <w:r>
        <w:rPr>
          <w:b/>
        </w:rPr>
        <w:t>The inflation is severe.</w:t>
      </w:r>
      <w:r>
        <w:t xml:space="preserve"> Gradient boosting rises from 0.6076 to 0.9461 on temporal validation — </w:t>
      </w:r>
      <w:r>
        <w:rPr>
          <w:b/>
        </w:rPr>
        <w:t>0.339 AUC</w:t>
      </w:r>
      <w:r>
        <w:t xml:space="preserve"> obtained from a contaminated field.</w:t>
      </w:r>
    </w:p>
    <w:p>
      <w:r>
        <w:rPr>
          <w:b/>
        </w:rPr>
        <w:t>The probe bounds the artefact.</w:t>
      </w:r>
      <w:r>
        <w:t xml:space="preserve"> A single boolean with no economic meaning reaches 0.8870 and 0.8965. Any model on this dataset scoring in that region, having been given </w:t>
      </w:r>
      <w:r>
        <w:rPr>
          <w:rFonts w:ascii="Consolas" w:hAnsi="Consolas"/>
          <w:sz w:val="19"/>
        </w:rPr>
        <w:t>Term</w:t>
      </w:r>
      <w:r>
        <w:t>, is largely reproducing the artefact.</w:t>
      </w:r>
    </w:p>
    <w:p>
      <w:r>
        <w:rPr>
          <w:b/>
        </w:rPr>
        <w:t>Tree models are more exposed than linear ones.</w:t>
      </w:r>
      <w:r>
        <w:t xml:space="preserve"> Logistic regression, monotone in term, gains 0.33 AUC from contamination; gradient boosting, free to split on exact values, gains more and reaches further. Published results on this dataset using tree ensembles with </w:t>
      </w:r>
      <w:r>
        <w:rPr>
          <w:rFonts w:ascii="Consolas" w:hAnsi="Consolas"/>
          <w:sz w:val="19"/>
        </w:rPr>
        <w:t>Term</w:t>
      </w:r>
      <w:r>
        <w:t xml:space="preserve"> should be read with this in mind.</w:t>
      </w:r>
    </w:p>
    <w:p>
      <w:pPr>
        <w:pStyle w:val="Heading2"/>
      </w:pPr>
      <w:r>
        <w:t>5.5 Validation protocol matters independently</w:t>
      </w:r>
    </w:p>
    <w:p>
      <w:r>
        <w:t xml:space="preserve">Under the clean specification, gradient boosting scores 0.7898 on a random split and 0.6076 on a temporal split — a gap of </w:t>
      </w:r>
      <w:r>
        <w:rPr>
          <w:b/>
        </w:rPr>
        <w:t>0.182 AUC</w:t>
      </w:r>
      <w:r>
        <w:t>. Random splitting places loans from the same economic cycle in both training and test sets, so the model is partly recalling conditions rather than generalising to unseen ones.</w:t>
      </w:r>
    </w:p>
    <w:p>
      <w:r>
        <w:t xml:space="preserve">Logistic regression falls to 0.4565 temporally — below chance. Trained on 1990–2003 (9.1% default) and tested on 2004–2010 (35.9% default), the linear model does not merely lose accuracy; its ranking inverts. This is a substantive finding about credit-scoring practice: </w:t>
      </w:r>
      <w:r>
        <w:rPr>
          <w:b/>
        </w:rPr>
        <w:t>a linear scorecard fitted to a benign cycle can rank borrowers backwards in a stressed one.</w:t>
      </w:r>
    </w:p>
    <w:p>
      <w:pPr>
        <w:pStyle w:val="Heading2"/>
      </w:pPr>
      <w:r>
        <w:t>5.6 The expert scorecard: a negative result</w:t>
      </w:r>
    </w:p>
    <w:p>
      <w:r>
        <w:t xml:space="preserve">The a priori scorecard, whose bands were set from credit reasoning before any outcome was inspected, achieved </w:t>
      </w:r>
      <w:r>
        <w:rPr>
          <w:b/>
        </w:rPr>
        <w:t>AUC 0.4144 (random) and 0.5275 (temporal)</w:t>
      </w:r>
      <w:r>
        <w:t xml:space="preserve"> — at or below chance. It provides no reliable discrimination on this dataset.</w:t>
      </w:r>
    </w:p>
    <w:p>
      <w:r>
        <w:t>This is reported as it stands. Three readings are available, and the evidence does not distinguish between the first two:</w:t>
      </w:r>
    </w:p>
    <w:p>
      <w:pPr>
        <w:pStyle w:val="ListNumber"/>
      </w:pPr>
      <w:r>
        <w:rPr>
          <w:b/>
        </w:rPr>
        <w:t>The proxies are inadequate.</w:t>
      </w:r>
      <w:r>
        <w:t xml:space="preserve"> The scorecard was built from SBA-observable</w:t>
      </w:r>
    </w:p>
    <w:p>
      <w:r>
        <w:t>variables — guarantee share, franchise status, urban/rural — because the People's Bank criteria are absent. These are not what the appraisal form scores. The strongest legitimate criteria in the tree (DSCR, ISCR, security cover, management quality, market position) have no counterpart here.</w:t>
      </w:r>
    </w:p>
    <w:p>
      <w:pPr>
        <w:pStyle w:val="ListNumber"/>
      </w:pPr>
      <w:r>
        <w:rPr>
          <w:b/>
        </w:rPr>
        <w:t>The a priori bands are wrong.</w:t>
      </w:r>
      <w:r>
        <w:t xml:space="preserve"> Domain reasoning about which direction each</w:t>
      </w:r>
    </w:p>
    <w:p>
      <w:r>
        <w:t>proxy should point may simply be mistaken. With the scorecard's individual features carrying univariate AUC between 0.51 and 0.63, an equal-weighted aggregate of several mis-signed weak proxies can land below chance.</w:t>
      </w:r>
    </w:p>
    <w:p>
      <w:pPr>
        <w:pStyle w:val="ListNumber"/>
      </w:pPr>
      <w:r>
        <w:t xml:space="preserve">The method itself does not work — </w:t>
      </w:r>
      <w:r>
        <w:rPr>
          <w:b/>
        </w:rPr>
        <w:t>not supported</w:t>
      </w:r>
      <w:r>
        <w:t>, since the same machinery</w:t>
      </w:r>
    </w:p>
    <w:p>
      <w:r>
        <w:t>discriminates when given informative inputs, and its arithmetic is verified against an independent implementation.</w:t>
      </w:r>
    </w:p>
    <w:p>
      <w:r>
        <w:t>The methodological conclusion is the useful one, and it is stronger than the individual result:</w:t>
      </w:r>
    </w:p>
    <w:p>
      <w:pPr>
        <w:ind w:left="504"/>
      </w:pPr>
      <w:r>
        <w:rPr>
          <w:i/>
          <w:sz w:val="20"/>
        </w:rPr>
        <w:t>**An instrument-specific appraisal model cannot be validated against a dataset</w:t>
      </w:r>
    </w:p>
    <w:p>
      <w:pPr>
        <w:ind w:left="504"/>
      </w:pPr>
      <w:r>
        <w:rPr>
          <w:i/>
          <w:sz w:val="20"/>
        </w:rPr>
        <w:t>that does not contain its variables.** Substituting available proxies for the</w:t>
      </w:r>
    </w:p>
    <w:p>
      <w:pPr>
        <w:ind w:left="504"/>
      </w:pPr>
      <w:r>
        <w:rPr>
          <w:i/>
          <w:sz w:val="20"/>
        </w:rPr>
        <w:t>intended criteria does not test the model; it tests the proxies.</w:t>
      </w:r>
    </w:p>
    <w:p>
      <w:r>
        <w:t>This is why the criterion weights are established by expert elicitation (Chapter 6) rather than fitted to borrowed outcome data, and why that choice is a methodological requirement rather than a fallback.</w:t>
      </w:r>
    </w:p>
    <w:p>
      <w:pPr>
        <w:pStyle w:val="Heading2"/>
      </w:pPr>
      <w:r>
        <w:t>5.6a How much do the weights matter?</w:t>
      </w:r>
    </w:p>
    <w:p>
      <w:r>
        <w:t>The criteria model carries placeholder weights until elicitation is complete (§4.10), and that is ordinarily treated as blocking: no elicited weights, no reportable result. But the question underneath — *how much does the output depend on the weight vector at all?* — is answerable now, and answering it bounds the damage the placeholders can be doing.</w:t>
      </w:r>
    </w:p>
    <w:p>
      <w:pPr>
        <w:pStyle w:val="Heading3"/>
      </w:pPr>
      <w:r>
        <w:t>5.6a.1 Method</w:t>
      </w:r>
    </w:p>
    <w:p>
      <w:r>
        <w:t xml:space="preserve">Two thousand complete appraisals were simulated by drawing each criterion across its plausible range. The population is </w:t>
      </w:r>
      <w:r>
        <w:rPr>
          <w:b/>
        </w:rPr>
        <w:t>synthetic</w:t>
      </w:r>
      <w:r>
        <w:t>: the object of study is the model's mathematical behaviour, not any real portfolio, and no claim is made about real borrowers. Simulation is appropriate precisely because the question is about the model rather than the world.</w:t>
      </w:r>
    </w:p>
    <w:p>
      <w:r>
        <w:t>Each weight was then perturbed multiplicatively by up to ±p and renormalised, for p ∈ {10%, 25%, 50%, 75%, 100%}, with 400 draws at each level. For every draw the whole population was rescored and compared against the equal-weight baseline on three measures: Spearman rank correlation, the proportion of cases keeping their risk band, and the largest score shift.</w:t>
      </w:r>
    </w:p>
    <w:p>
      <w:pPr>
        <w:pStyle w:val="Heading3"/>
      </w:pPr>
      <w:r>
        <w:t>5.6a.2 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Perturbation</w:t>
            </w:r>
          </w:p>
        </w:tc>
        <w:tc>
          <w:tcPr>
            <w:tcW w:type="dxa" w:w="1728"/>
          </w:tcPr>
          <w:p>
            <w:r>
              <w:rPr>
                <w:b/>
                <w:sz w:val="18"/>
              </w:rPr>
              <w:t>Credit risk ρ</w:t>
            </w:r>
          </w:p>
        </w:tc>
        <w:tc>
          <w:tcPr>
            <w:tcW w:type="dxa" w:w="1728"/>
          </w:tcPr>
          <w:p>
            <w:r>
              <w:rPr>
                <w:b/>
                <w:sz w:val="18"/>
              </w:rPr>
              <w:t>Band unchanged</w:t>
            </w:r>
          </w:p>
        </w:tc>
        <w:tc>
          <w:tcPr>
            <w:tcW w:type="dxa" w:w="1728"/>
          </w:tcPr>
          <w:p>
            <w:r>
              <w:rPr>
                <w:b/>
                <w:sz w:val="18"/>
              </w:rPr>
              <w:t>Development ρ</w:t>
            </w:r>
          </w:p>
        </w:tc>
        <w:tc>
          <w:tcPr>
            <w:tcW w:type="dxa" w:w="1728"/>
          </w:tcPr>
          <w:p>
            <w:r>
              <w:rPr>
                <w:b/>
                <w:sz w:val="18"/>
              </w:rPr>
              <w:t>Band unchanged</w:t>
            </w:r>
          </w:p>
        </w:tc>
      </w:tr>
      <w:tr>
        <w:tc>
          <w:tcPr>
            <w:tcW w:type="dxa" w:w="1728"/>
          </w:tcPr>
          <w:p>
            <w:r>
              <w:rPr>
                <w:sz w:val="18"/>
              </w:rPr>
              <w:t>±10%</w:t>
            </w:r>
          </w:p>
        </w:tc>
        <w:tc>
          <w:tcPr>
            <w:tcW w:type="dxa" w:w="1728"/>
          </w:tcPr>
          <w:p>
            <w:r>
              <w:rPr>
                <w:sz w:val="18"/>
              </w:rPr>
              <w:t>0.9971</w:t>
            </w:r>
          </w:p>
        </w:tc>
        <w:tc>
          <w:tcPr>
            <w:tcW w:type="dxa" w:w="1728"/>
          </w:tcPr>
          <w:p>
            <w:r>
              <w:rPr>
                <w:sz w:val="18"/>
              </w:rPr>
              <w:t>97.6%</w:t>
            </w:r>
          </w:p>
        </w:tc>
        <w:tc>
          <w:tcPr>
            <w:tcW w:type="dxa" w:w="1728"/>
          </w:tcPr>
          <w:p>
            <w:r>
              <w:rPr>
                <w:sz w:val="18"/>
              </w:rPr>
              <w:t>0.9982</w:t>
            </w:r>
          </w:p>
        </w:tc>
        <w:tc>
          <w:tcPr>
            <w:tcW w:type="dxa" w:w="1728"/>
          </w:tcPr>
          <w:p>
            <w:r>
              <w:rPr>
                <w:sz w:val="18"/>
              </w:rPr>
              <w:t>97.1%</w:t>
            </w:r>
          </w:p>
        </w:tc>
      </w:tr>
      <w:tr>
        <w:tc>
          <w:tcPr>
            <w:tcW w:type="dxa" w:w="1728"/>
          </w:tcPr>
          <w:p>
            <w:r>
              <w:rPr>
                <w:sz w:val="18"/>
              </w:rPr>
              <w:t>±25%</w:t>
            </w:r>
          </w:p>
        </w:tc>
        <w:tc>
          <w:tcPr>
            <w:tcW w:type="dxa" w:w="1728"/>
          </w:tcPr>
          <w:p>
            <w:r>
              <w:rPr>
                <w:sz w:val="18"/>
              </w:rPr>
              <w:t>0.9822</w:t>
            </w:r>
          </w:p>
        </w:tc>
        <w:tc>
          <w:tcPr>
            <w:tcW w:type="dxa" w:w="1728"/>
          </w:tcPr>
          <w:p>
            <w:r>
              <w:rPr>
                <w:sz w:val="18"/>
              </w:rPr>
              <w:t>94.0%</w:t>
            </w:r>
          </w:p>
        </w:tc>
        <w:tc>
          <w:tcPr>
            <w:tcW w:type="dxa" w:w="1728"/>
          </w:tcPr>
          <w:p>
            <w:r>
              <w:rPr>
                <w:sz w:val="18"/>
              </w:rPr>
              <w:t>0.9890</w:t>
            </w:r>
          </w:p>
        </w:tc>
        <w:tc>
          <w:tcPr>
            <w:tcW w:type="dxa" w:w="1728"/>
          </w:tcPr>
          <w:p>
            <w:r>
              <w:rPr>
                <w:sz w:val="18"/>
              </w:rPr>
              <w:t>92.7%</w:t>
            </w:r>
          </w:p>
        </w:tc>
      </w:tr>
      <w:tr>
        <w:tc>
          <w:tcPr>
            <w:tcW w:type="dxa" w:w="1728"/>
          </w:tcPr>
          <w:p>
            <w:r>
              <w:rPr>
                <w:sz w:val="18"/>
              </w:rPr>
              <w:t>±50%</w:t>
            </w:r>
          </w:p>
        </w:tc>
        <w:tc>
          <w:tcPr>
            <w:tcW w:type="dxa" w:w="1728"/>
          </w:tcPr>
          <w:p>
            <w:r>
              <w:rPr>
                <w:sz w:val="18"/>
              </w:rPr>
              <w:t>0.9314</w:t>
            </w:r>
          </w:p>
        </w:tc>
        <w:tc>
          <w:tcPr>
            <w:tcW w:type="dxa" w:w="1728"/>
          </w:tcPr>
          <w:p>
            <w:r>
              <w:rPr>
                <w:sz w:val="18"/>
              </w:rPr>
              <w:t>88.2%</w:t>
            </w:r>
          </w:p>
        </w:tc>
        <w:tc>
          <w:tcPr>
            <w:tcW w:type="dxa" w:w="1728"/>
          </w:tcPr>
          <w:p>
            <w:r>
              <w:rPr>
                <w:sz w:val="18"/>
              </w:rPr>
              <w:t>0.9586</w:t>
            </w:r>
          </w:p>
        </w:tc>
        <w:tc>
          <w:tcPr>
            <w:tcW w:type="dxa" w:w="1728"/>
          </w:tcPr>
          <w:p>
            <w:r>
              <w:rPr>
                <w:sz w:val="18"/>
              </w:rPr>
              <w:t>85.5%</w:t>
            </w:r>
          </w:p>
        </w:tc>
      </w:tr>
      <w:tr>
        <w:tc>
          <w:tcPr>
            <w:tcW w:type="dxa" w:w="1728"/>
          </w:tcPr>
          <w:p>
            <w:r>
              <w:rPr>
                <w:sz w:val="18"/>
              </w:rPr>
              <w:t>±75%</w:t>
            </w:r>
          </w:p>
        </w:tc>
        <w:tc>
          <w:tcPr>
            <w:tcW w:type="dxa" w:w="1728"/>
          </w:tcPr>
          <w:p>
            <w:r>
              <w:rPr>
                <w:sz w:val="18"/>
              </w:rPr>
              <w:t>0.8517</w:t>
            </w:r>
          </w:p>
        </w:tc>
        <w:tc>
          <w:tcPr>
            <w:tcW w:type="dxa" w:w="1728"/>
          </w:tcPr>
          <w:p>
            <w:r>
              <w:rPr>
                <w:sz w:val="18"/>
              </w:rPr>
              <w:t>82.2%</w:t>
            </w:r>
          </w:p>
        </w:tc>
        <w:tc>
          <w:tcPr>
            <w:tcW w:type="dxa" w:w="1728"/>
          </w:tcPr>
          <w:p>
            <w:r>
              <w:rPr>
                <w:sz w:val="18"/>
              </w:rPr>
              <w:t>0.9121</w:t>
            </w:r>
          </w:p>
        </w:tc>
        <w:tc>
          <w:tcPr>
            <w:tcW w:type="dxa" w:w="1728"/>
          </w:tcPr>
          <w:p>
            <w:r>
              <w:rPr>
                <w:sz w:val="18"/>
              </w:rPr>
              <w:t>78.3%</w:t>
            </w:r>
          </w:p>
        </w:tc>
      </w:tr>
      <w:tr>
        <w:tc>
          <w:tcPr>
            <w:tcW w:type="dxa" w:w="1728"/>
          </w:tcPr>
          <w:p>
            <w:r>
              <w:rPr>
                <w:sz w:val="18"/>
              </w:rPr>
              <w:t>±100%</w:t>
            </w:r>
          </w:p>
        </w:tc>
        <w:tc>
          <w:tcPr>
            <w:tcW w:type="dxa" w:w="1728"/>
          </w:tcPr>
          <w:p>
            <w:r>
              <w:rPr>
                <w:sz w:val="18"/>
              </w:rPr>
              <w:t>0.7547</w:t>
            </w:r>
          </w:p>
        </w:tc>
        <w:tc>
          <w:tcPr>
            <w:tcW w:type="dxa" w:w="1728"/>
          </w:tcPr>
          <w:p>
            <w:r>
              <w:rPr>
                <w:sz w:val="18"/>
              </w:rPr>
              <w:t>76.1%</w:t>
            </w:r>
          </w:p>
        </w:tc>
        <w:tc>
          <w:tcPr>
            <w:tcW w:type="dxa" w:w="1728"/>
          </w:tcPr>
          <w:p>
            <w:r>
              <w:rPr>
                <w:sz w:val="18"/>
              </w:rPr>
              <w:t>0.8543</w:t>
            </w:r>
          </w:p>
        </w:tc>
        <w:tc>
          <w:tcPr>
            <w:tcW w:type="dxa" w:w="1728"/>
          </w:tcPr>
          <w:p>
            <w:r>
              <w:rPr>
                <w:sz w:val="18"/>
              </w:rPr>
              <w:t>71.2%</w:t>
            </w:r>
          </w:p>
        </w:tc>
      </w:tr>
    </w:tbl>
    <w:p/>
    <w:p>
      <w:r>
        <w:t>At ±25% — a spread wider than experienced practitioners typically differ by — the ranking is essentially preserved (ρ ≈ 0.98–0.99) and roughly 93–94% of cases keep their risk band. Degradation beyond that is gradual rather than abrupt; even at ±100%, where a weight may be scaled anywhere in [0, 2], rank correlation remains above 0.75.</w:t>
      </w:r>
    </w:p>
    <w:p>
      <w:r>
        <w:rPr>
          <w:b/>
        </w:rPr>
        <w:t>Interpretation.</w:t>
      </w:r>
      <w:r>
        <w:t xml:space="preserve"> The model's conclusions do not hinge on the precise weight vector within the range over which experts plausibly disagree. This does not make elicitation optional — the weights still need to be defensible, and the 6–7% of cases whose band changes at ±25% are real appraisals that would receive a different recommendation. What it does is bound the distortion: results reported under placeholder weights are unlikely to be qualitatively wrong, and that can be stated rather than hoped.</w:t>
      </w:r>
    </w:p>
    <w:p>
      <w:pPr>
        <w:pStyle w:val="Heading3"/>
      </w:pPr>
      <w:r>
        <w:t>5.6a.3 An unanticipated structural finding</w:t>
      </w:r>
    </w:p>
    <w:p>
      <w:r>
        <w:t>Estimating each criterion's influence separately — by doubling its weight within its dimension and measuring the shift — exposed an asymmetry in the tree itself.</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Objective</w:t>
            </w:r>
          </w:p>
        </w:tc>
        <w:tc>
          <w:tcPr>
            <w:tcW w:type="dxa" w:w="2880"/>
          </w:tcPr>
          <w:p>
            <w:r>
              <w:rPr>
                <w:b/>
                <w:sz w:val="18"/>
              </w:rPr>
              <w:t>Dimensions</w:t>
            </w:r>
          </w:p>
        </w:tc>
        <w:tc>
          <w:tcPr>
            <w:tcW w:type="dxa" w:w="2880"/>
          </w:tcPr>
          <w:p>
            <w:r>
              <w:rPr>
                <w:b/>
                <w:sz w:val="18"/>
              </w:rPr>
              <w:t>One criterion's share of the objective</w:t>
            </w:r>
          </w:p>
        </w:tc>
      </w:tr>
      <w:tr>
        <w:tc>
          <w:tcPr>
            <w:tcW w:type="dxa" w:w="2880"/>
          </w:tcPr>
          <w:p>
            <w:r>
              <w:rPr>
                <w:sz w:val="18"/>
              </w:rPr>
              <w:t>Credit risk</w:t>
            </w:r>
          </w:p>
        </w:tc>
        <w:tc>
          <w:tcPr>
            <w:tcW w:type="dxa" w:w="2880"/>
          </w:tcPr>
          <w:p>
            <w:r>
              <w:rPr>
                <w:sz w:val="18"/>
              </w:rPr>
              <w:t>6</w:t>
            </w:r>
          </w:p>
        </w:tc>
        <w:tc>
          <w:tcPr>
            <w:tcW w:type="dxa" w:w="2880"/>
          </w:tcPr>
          <w:p>
            <w:r>
              <w:rPr>
                <w:sz w:val="18"/>
              </w:rPr>
              <w:t>0.0185 – 0.0333</w:t>
            </w:r>
          </w:p>
        </w:tc>
      </w:tr>
      <w:tr>
        <w:tc>
          <w:tcPr>
            <w:tcW w:type="dxa" w:w="2880"/>
          </w:tcPr>
          <w:p>
            <w:r>
              <w:rPr>
                <w:sz w:val="18"/>
              </w:rPr>
              <w:t>Development impact</w:t>
            </w:r>
          </w:p>
        </w:tc>
        <w:tc>
          <w:tcPr>
            <w:tcW w:type="dxa" w:w="2880"/>
          </w:tcPr>
          <w:p>
            <w:r>
              <w:rPr>
                <w:sz w:val="18"/>
              </w:rPr>
              <w:t>1</w:t>
            </w:r>
          </w:p>
        </w:tc>
        <w:tc>
          <w:tcPr>
            <w:tcW w:type="dxa" w:w="2880"/>
          </w:tcPr>
          <w:p>
            <w:r>
              <w:rPr>
                <w:sz w:val="18"/>
              </w:rPr>
              <w:t>0.1250</w:t>
            </w:r>
          </w:p>
        </w:tc>
      </w:tr>
    </w:tbl>
    <w:p/>
    <w:p>
      <w:r>
        <w:t xml:space="preserve">A development-impact criterion carries roughly </w:t>
      </w:r>
      <w:r>
        <w:rPr>
          <w:b/>
        </w:rPr>
        <w:t>four to seven times the leverage</w:t>
      </w:r>
      <w:r>
        <w:t xml:space="preserve"> of a credit-risk criterion over its own objective. Doubling </w:t>
      </w:r>
      <w:r>
        <w:rPr>
          <w:rFonts w:ascii="Consolas" w:hAnsi="Consolas"/>
          <w:sz w:val="19"/>
        </w:rPr>
        <w:t>employment_generation</w:t>
      </w:r>
      <w:r>
        <w:t xml:space="preserve"> moves the development score by 3.06 points and changes the risk band for 19.2% of cases; doubling </w:t>
      </w:r>
      <w:r>
        <w:rPr>
          <w:rFonts w:ascii="Consolas" w:hAnsi="Consolas"/>
          <w:sz w:val="19"/>
        </w:rPr>
        <w:t>account_turnover</w:t>
      </w:r>
      <w:r>
        <w:t>, the most influential credit criterion, moves the credit score by 0.71 points and changes 5.1% of bands.</w:t>
      </w:r>
    </w:p>
    <w:p>
      <w:r>
        <w:t xml:space="preserve">This is not an error. It follows directly from the source instrument: clause 5 of the People's Bank form is a single section of nine items, while the credit-risk material is spread across six sections. The tree faithfully reproduces that shape. But the consequence should be stated plainly — </w:t>
      </w:r>
      <w:r>
        <w:rPr>
          <w:b/>
        </w:rPr>
        <w:t>the development objective is materially more sensitive to individual weight choices than the credit objective</w:t>
      </w:r>
      <w:r>
        <w:t>, so elicitation error there carries more consequence, and the development weights deserve more respondents rather than fewer.</w:t>
      </w:r>
    </w:p>
    <w:p>
      <w:pPr>
        <w:pStyle w:val="Heading2"/>
      </w:pPr>
      <w:r>
        <w:t>5.7 Limitations</w:t>
      </w:r>
    </w:p>
    <w:p>
      <w:r>
        <w:rPr>
          <w:b/>
        </w:rPr>
        <w:t>Jurisdiction.</w:t>
      </w:r>
      <w:r>
        <w:t xml:space="preserve"> SBA data reflects U.S. government-guaranteed small-business lending. Sri Lankan SME credit differs in legal environment, collateral practice, and macroeconomic volatility. Nothing here transfers directly.</w:t>
      </w:r>
    </w:p>
    <w:p>
      <w:r>
        <w:rPr>
          <w:b/>
        </w:rPr>
        <w:t>The fuzzy layer is not exercised.</w:t>
      </w:r>
      <w:r>
        <w:t xml:space="preserve"> Every SBA-observable criterion is quantitative, so each input enters as a degenerate triangular fuzzy number </w:t>
      </w:r>
      <w:r>
        <w:rPr>
          <w:rFonts w:ascii="Consolas" w:hAnsi="Consolas"/>
          <w:sz w:val="19"/>
        </w:rPr>
        <w:t>[x,x,x]</w:t>
      </w:r>
      <w:r>
        <w:t xml:space="preserve">. Centroid defuzzification returns </w:t>
      </w:r>
      <w:r>
        <w:rPr>
          <w:rFonts w:ascii="Consolas" w:hAnsi="Consolas"/>
          <w:sz w:val="19"/>
        </w:rPr>
        <w:t>x</w:t>
      </w:r>
      <w:r>
        <w:t xml:space="preserve">, and the fuzzy weighted average reduces exactly to an ordinary weighted mean. </w:t>
      </w:r>
      <w:r>
        <w:rPr>
          <w:b/>
        </w:rPr>
        <w:t>On this dataset the fuzzy machinery does no work.</w:t>
      </w:r>
      <w:r>
        <w:t xml:space="preserve"> It is exercised only by qualitative criteria, which SBA data does not contain. What §5.3–5.6 validates is band mapping and weighted aggregation, not fuzzy inference.</w:t>
      </w:r>
    </w:p>
    <w:p>
      <w:r>
        <w:rPr>
          <w:b/>
        </w:rPr>
        <w:t>Maturity filtering biases composition.</w:t>
      </w:r>
      <w:r>
        <w:t xml:space="preserve"> Restricting to fully-matured loans removes censoring but over-represents short-term facilities in later cohorts.</w:t>
      </w:r>
    </w:p>
    <w:p>
      <w:r>
        <w:rPr>
          <w:b/>
        </w:rPr>
        <w:t>Weights were placeholders.</w:t>
      </w:r>
      <w:r>
        <w:t xml:space="preserve"> All results here use equal weights within each level, so they test structure rather than the elicited model. Section 5.6a bounds how much this matters: within ±25% perturbation the ranking is preserved (ρ ≈ 0.98) and ~94% of risk bands are unchanged. The limitation stands, but its magnitude is now measured rather than merely acknowledged.</w:t>
      </w:r>
    </w:p>
    <w:p>
      <w:r>
        <w:rPr>
          <w:b/>
        </w:rPr>
        <w:t>The sensitivity analysis uses a simulated population.</w:t>
      </w:r>
      <w:r>
        <w:t xml:space="preserve"> It characterises the model's response to weight change; it says nothing about how real Sri Lankan SME applications are distributed, and the two must not be confused.</w:t>
      </w:r>
    </w:p>
    <w:p>
      <w:r>
        <w:rPr>
          <w:b/>
        </w:rPr>
        <w:t>The development objective is barely observable.</w:t>
      </w:r>
      <w:r>
        <w:t xml:space="preserve"> Only </w:t>
      </w:r>
      <w:r>
        <w:rPr>
          <w:rFonts w:ascii="Consolas" w:hAnsi="Consolas"/>
          <w:sz w:val="19"/>
        </w:rPr>
        <w:t>CreateJob</w:t>
      </w:r>
      <w:r>
        <w:t xml:space="preserve"> and </w:t>
      </w:r>
      <w:r>
        <w:rPr>
          <w:rFonts w:ascii="Consolas" w:hAnsi="Consolas"/>
          <w:sz w:val="19"/>
        </w:rPr>
        <w:t>RetainedJob</w:t>
      </w:r>
      <w:r>
        <w:t xml:space="preserve"> proxy the development-impact objective. Five of the nine items in clause 5 of the People's Bank form — women's participation, local raw material usage, import substitution, value added, foreign exchange earnings — have no counterpart in SBA data. The development objective is a design contribution and is </w:t>
      </w:r>
      <w:r>
        <w:rPr>
          <w:b/>
        </w:rPr>
        <w:t>not</w:t>
      </w:r>
      <w:r>
        <w:t xml:space="preserve"> empirically validated in this chapter.</w:t>
      </w:r>
    </w:p>
    <w:p>
      <w:r>
        <w:rPr>
          <w:b/>
        </w:rPr>
        <w:t>Novelty of the contamination finding is not fully established.</w:t>
      </w:r>
      <w:r>
        <w:t xml:space="preserve"> A literature search found no published report of it, but that search was not exhaustive and cannot support a claim of priority. The finding is reported as one the author is not aware of having been documented, which is a weaker and defensible claim.</w:t>
      </w:r>
    </w:p>
    <w:p>
      <w:pPr>
        <w:pStyle w:val="Heading2"/>
      </w:pPr>
      <w:r>
        <w:t>5.8 Summary</w:t>
      </w:r>
    </w:p>
    <w:p>
      <w:pPr>
        <w:pStyle w:val="ListNumber"/>
      </w:pPr>
      <w:r>
        <w:rPr>
          <w:rFonts w:ascii="Consolas" w:hAnsi="Consolas"/>
          <w:sz w:val="19"/>
        </w:rPr>
        <w:t>Term</w:t>
      </w:r>
      <w:r>
        <w:t xml:space="preserve"> in the SBA National dataset carries outcome information. Roundness</w:t>
      </w:r>
    </w:p>
    <w:p>
      <w:r>
        <w:t>alone predicts default at AUC 0.889 overall and 0.859–0.900 within every approval year, despite having no economic meaning.</w:t>
      </w:r>
    </w:p>
    <w:p>
      <w:pPr>
        <w:pStyle w:val="ListNumber"/>
      </w:pPr>
      <w:r>
        <w:t>Excluding it drops gradient-boosting temporal AUC from 0.9461 to 0.6076.</w:t>
      </w:r>
    </w:p>
    <w:p>
      <w:pPr>
        <w:pStyle w:val="ListNumber"/>
      </w:pPr>
      <w:r>
        <w:t>Right-censoring is a separate and independent hazard: censored loans default</w:t>
      </w:r>
    </w:p>
    <w:p>
      <w:r>
        <w:t>at 7.77% against 20.41% for matured loans.</w:t>
      </w:r>
    </w:p>
    <w:p>
      <w:pPr>
        <w:pStyle w:val="ListNumber"/>
      </w:pPr>
      <w:r>
        <w:t>Random splitting overstates performance by 0.182 AUC relative to temporal</w:t>
      </w:r>
    </w:p>
    <w:p>
      <w:r>
        <w:t>validation; a linear scorecard fitted to a benign cycle ranks *backwards* under stress.</w:t>
      </w:r>
    </w:p>
    <w:p>
      <w:pPr>
        <w:pStyle w:val="ListNumber"/>
      </w:pPr>
      <w:r>
        <w:t>The a priori expert scorecard shows no discrimination on SBA-observable</w:t>
      </w:r>
    </w:p>
    <w:p>
      <w:r>
        <w:t>proxies (AUC 0.41–0.53), supporting the conclusion that instrument-specific appraisal models require elicitation rather than proxy-dataset fitting.</w:t>
      </w:r>
    </w:p>
    <w:p>
      <w:pPr>
        <w:pStyle w:val="ListNumber"/>
      </w:pPr>
      <w:r>
        <w:t>The model is robust to weight perturbation within the range experts plausibly</w:t>
      </w:r>
    </w:p>
    <w:p>
      <w:r>
        <w:t>disagree over (ρ ≈ 0.98 and ~94% band stability at ±25%), which bounds the distortion introduced by reporting under placeholder weights.</w:t>
      </w:r>
    </w:p>
    <w:p>
      <w:pPr>
        <w:pStyle w:val="ListNumber"/>
      </w:pPr>
      <w:r>
        <w:t>The criteria tree is structurally asymmetric: a development-impact criterion</w:t>
      </w:r>
    </w:p>
    <w:p>
      <w:r>
        <w:t>carries four to seven times the leverage of a credit-risk criterion over its objective, a direct consequence of clause 5 being one section of the source form.</w:t>
      </w:r>
    </w:p>
    <w:p>
      <w:r>
        <w:t>Findings 1 and 5 are the contributions of this chapter. Finding 1 is a caution to users of a widely-adopted benchmark; finding 5 justifies the methodological design of the study.</w:t>
      </w:r>
    </w:p>
    <w:p/>
    <w:p>
      <w:pPr>
        <w:pStyle w:val="Heading3"/>
      </w:pPr>
      <w:r>
        <w:t>References cited in this chapter</w:t>
      </w:r>
    </w:p>
    <w:p>
      <w:r>
        <w:t>Li, M., Mickel, A. and Taylor, S. (2018) '"Should This Loan be Approved or Denied?": A Large Dataset with Class Assignment Guidelines', *Journal of Statistics Education*, 26(1), pp. 55–66. doi:10.1080/10691898.2018.1434342.</w:t>
      </w:r>
    </w:p>
    <w:p>
      <w:r>
        <w:br w:type="page"/>
      </w:r>
    </w:p>
    <w:p>
      <w:pPr>
        <w:pStyle w:val="Heading1"/>
      </w:pPr>
      <w:r>
        <w:t>Chapter 6 — Elicitation Results, Discussion and Conclusion</w:t>
      </w:r>
    </w:p>
    <w:p>
      <w:pPr>
        <w:ind w:left="504"/>
      </w:pPr>
      <w:r>
        <w:rPr>
          <w:i/>
          <w:sz w:val="20"/>
        </w:rPr>
        <w:t>STATUS: §6.1 AND §6.2 AWAIT DATA.</w:t>
      </w:r>
    </w:p>
    <w:p>
      <w:pPr>
        <w:ind w:left="504"/>
      </w:pPr>
      <w:r>
        <w:rPr>
          <w:i/>
          <w:sz w:val="20"/>
        </w:rPr>
        <w:t>The elicitation instrument, solver and analysis pipeline are complete and</w:t>
      </w:r>
    </w:p>
    <w:p>
      <w:pPr>
        <w:ind w:left="504"/>
      </w:pPr>
      <w:r>
        <w:rPr>
          <w:i/>
          <w:sz w:val="20"/>
        </w:rPr>
        <w:t>verified. No practitioner responses have yet been collected, so the criteria</w:t>
      </w:r>
    </w:p>
    <w:p>
      <w:pPr>
        <w:ind w:left="504"/>
      </w:pPr>
      <w:r>
        <w:rPr>
          <w:i/>
          <w:sz w:val="20"/>
        </w:rPr>
        <w:t>model still carries weightStatus: PLACEHOLDER.</w:t>
      </w:r>
    </w:p>
    <w:p>
      <w:pPr>
        <w:ind w:left="504"/>
      </w:pPr>
      <w:r>
        <w:rPr>
          <w:i/>
          <w:sz w:val="20"/>
        </w:rPr>
        <w:t>The section headings, table structures and analysis procedure below are fixed</w:t>
      </w:r>
    </w:p>
    <w:p>
      <w:pPr>
        <w:ind w:left="504"/>
      </w:pPr>
      <w:r>
        <w:rPr>
          <w:i/>
          <w:sz w:val="20"/>
        </w:rPr>
        <w:t>in advance — deliberately, so that the reporting format is committed to before</w:t>
      </w:r>
    </w:p>
    <w:p>
      <w:pPr>
        <w:ind w:left="504"/>
      </w:pPr>
      <w:r>
        <w:rPr>
          <w:i/>
          <w:sz w:val="20"/>
        </w:rPr>
        <w:t>the data exists and cannot be shaped to flatter whatever arrives. **No number</w:t>
      </w:r>
    </w:p>
    <w:p>
      <w:pPr>
        <w:ind w:left="504"/>
      </w:pPr>
      <w:r>
        <w:rPr>
          <w:i/>
          <w:sz w:val="20"/>
        </w:rPr>
        <w:t>may be entered into these tables by hand.** They are produced by</w:t>
      </w:r>
    </w:p>
    <w:p>
      <w:pPr>
        <w:ind w:left="504"/>
      </w:pPr>
      <w:r>
        <w:rPr>
          <w:i/>
          <w:sz w:val="20"/>
        </w:rPr>
        <w:t>research/src/derive_weights.py, which refuses to write weights when there are</w:t>
      </w:r>
    </w:p>
    <w:p>
      <w:pPr>
        <w:ind w:left="504"/>
      </w:pPr>
      <w:r>
        <w:rPr>
          <w:i/>
          <w:sz w:val="20"/>
        </w:rPr>
        <w:t>no usable responses.</w:t>
      </w:r>
    </w:p>
    <w:p>
      <w:pPr>
        <w:ind w:left="504"/>
      </w:pPr>
      <w:r>
        <w:rPr>
          <w:i/>
          <w:sz w:val="20"/>
        </w:rPr>
        <w:t>If no responses are obtained before submission, §6.1–6.2 must state that</w:t>
      </w:r>
    </w:p>
    <w:p>
      <w:pPr>
        <w:ind w:left="504"/>
      </w:pPr>
      <w:r>
        <w:rPr>
          <w:i/>
          <w:sz w:val="20"/>
        </w:rPr>
        <w:t>plainly, RQ2 must be reported as unanswered, and every scored result in the</w:t>
      </w:r>
    </w:p>
    <w:p>
      <w:pPr>
        <w:ind w:left="504"/>
      </w:pPr>
      <w:r>
        <w:rPr>
          <w:i/>
          <w:sz w:val="20"/>
        </w:rPr>
        <w:t>thesis must remain labelled as computed under placeholder weights. Reporting</w:t>
      </w:r>
    </w:p>
    <w:p>
      <w:pPr>
        <w:ind w:left="504"/>
      </w:pPr>
      <w:r>
        <w:rPr>
          <w:i/>
          <w:sz w:val="20"/>
        </w:rPr>
        <w:t>equal weights as though they were elicited would be a fabrication.</w:t>
      </w:r>
    </w:p>
    <w:p>
      <w:pPr>
        <w:pStyle w:val="Heading2"/>
      </w:pPr>
      <w:r>
        <w:t>6.1 Elicitation results (RQ2)</w:t>
      </w:r>
    </w:p>
    <w:p>
      <w:pPr>
        <w:pStyle w:val="Heading3"/>
      </w:pPr>
      <w:r>
        <w:t>6.1.1 Respondents</w:t>
      </w:r>
    </w:p>
    <w:p>
      <w:r>
        <w:t>*To be completed.* Report: number of respondents, years of experience (range and median), institution types and roles. Report the number approached and the number who completed, not only the completions.</w:t>
      </w:r>
    </w:p>
    <w:tbl>
      <w:tblPr>
        <w:tblStyle w:val="LightGrid-Accent1"/>
        <w:tblW w:type="auto" w:w="0"/>
        <w:tblLook w:firstColumn="1" w:firstRow="1" w:lastColumn="0" w:lastRow="0" w:noHBand="0" w:noVBand="1" w:val="04A0"/>
      </w:tblPr>
      <w:tblGrid>
        <w:gridCol w:w="4320"/>
        <w:gridCol w:w="4320"/>
      </w:tblGrid>
      <w:tr>
        <w:tc>
          <w:tcPr>
            <w:tcW w:type="dxa" w:w="4320"/>
          </w:tcPr>
          <w:p>
            <w:r>
              <w:rPr>
                <w:b/>
                <w:sz w:val="18"/>
              </w:rPr>
              <w:t>Practitioners approached</w:t>
            </w:r>
          </w:p>
        </w:tc>
        <w:tc>
          <w:tcPr>
            <w:tcW w:type="dxa" w:w="4320"/>
          </w:tcPr>
          <w:p>
            <w:r>
              <w:rPr>
                <w:b/>
                <w:sz w:val="18"/>
              </w:rPr>
              <w:t>pending</w:t>
            </w:r>
          </w:p>
        </w:tc>
      </w:tr>
      <w:tr>
        <w:tc>
          <w:tcPr>
            <w:tcW w:type="dxa" w:w="4320"/>
          </w:tcPr>
          <w:p>
            <w:r>
              <w:rPr>
                <w:sz w:val="18"/>
              </w:rPr>
              <w:t>Completed all eight sections</w:t>
            </w:r>
          </w:p>
        </w:tc>
        <w:tc>
          <w:tcPr>
            <w:tcW w:type="dxa" w:w="4320"/>
          </w:tcPr>
          <w:p>
            <w:r>
              <w:rPr>
                <w:sz w:val="18"/>
              </w:rPr>
              <w:t>pending</w:t>
            </w:r>
          </w:p>
        </w:tc>
      </w:tr>
      <w:tr>
        <w:tc>
          <w:tcPr>
            <w:tcW w:type="dxa" w:w="4320"/>
          </w:tcPr>
          <w:p>
            <w:r>
              <w:rPr>
                <w:sz w:val="18"/>
              </w:rPr>
              <w:t>Partial completions</w:t>
            </w:r>
          </w:p>
        </w:tc>
        <w:tc>
          <w:tcPr>
            <w:tcW w:type="dxa" w:w="4320"/>
          </w:tcPr>
          <w:p>
            <w:r>
              <w:rPr>
                <w:sz w:val="18"/>
              </w:rPr>
              <w:t>pending</w:t>
            </w:r>
          </w:p>
        </w:tc>
      </w:tr>
      <w:tr>
        <w:tc>
          <w:tcPr>
            <w:tcW w:type="dxa" w:w="4320"/>
          </w:tcPr>
          <w:p>
            <w:r>
              <w:rPr>
                <w:sz w:val="18"/>
              </w:rPr>
              <w:t>Median years of experience</w:t>
            </w:r>
          </w:p>
        </w:tc>
        <w:tc>
          <w:tcPr>
            <w:tcW w:type="dxa" w:w="4320"/>
          </w:tcPr>
          <w:p>
            <w:r>
              <w:rPr>
                <w:sz w:val="18"/>
              </w:rPr>
              <w:t>pending</w:t>
            </w:r>
          </w:p>
        </w:tc>
      </w:tr>
    </w:tbl>
    <w:p/>
    <w:p>
      <w:pPr>
        <w:pStyle w:val="Heading3"/>
      </w:pPr>
      <w:r>
        <w:t>6.1.2 Consistency</w:t>
      </w:r>
    </w:p>
    <w:p>
      <w:r>
        <w:t>Each response is solved as a linear programme; the optimal deviation ξ\* divided by the consistency index for the stated best-to-worst value gives the consistency ratio. Responses with CR &gt; 0.25 are excluded from aggregation, and the number excluded is reported here regardless of how it reflects on the study.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Section</w:t>
            </w:r>
          </w:p>
        </w:tc>
        <w:tc>
          <w:tcPr>
            <w:tcW w:type="dxa" w:w="2160"/>
          </w:tcPr>
          <w:p>
            <w:r>
              <w:rPr>
                <w:b/>
                <w:sz w:val="18"/>
              </w:rPr>
              <w:t>Respondents</w:t>
            </w:r>
          </w:p>
        </w:tc>
        <w:tc>
          <w:tcPr>
            <w:tcW w:type="dxa" w:w="2160"/>
          </w:tcPr>
          <w:p>
            <w:r>
              <w:rPr>
                <w:b/>
                <w:sz w:val="18"/>
              </w:rPr>
              <w:t>Mean CR</w:t>
            </w:r>
          </w:p>
        </w:tc>
        <w:tc>
          <w:tcPr>
            <w:tcW w:type="dxa" w:w="2160"/>
          </w:tcPr>
          <w:p>
            <w:r>
              <w:rPr>
                <w:b/>
                <w:sz w:val="18"/>
              </w:rPr>
              <w:t>Excluded</w:t>
            </w:r>
          </w:p>
        </w:tc>
      </w:tr>
      <w:tr>
        <w:tc>
          <w:tcPr>
            <w:tcW w:type="dxa" w:w="2160"/>
          </w:tcPr>
          <w:p>
            <w:r>
              <w:rPr>
                <w:sz w:val="18"/>
              </w:rPr>
              <w:t>Credit-risk dimensions</w:t>
            </w:r>
          </w:p>
        </w:tc>
        <w:tc>
          <w:tcPr>
            <w:tcW w:type="dxa" w:w="2160"/>
          </w:tcPr>
          <w:p>
            <w:r>
              <w:rPr>
                <w:sz w:val="18"/>
              </w:rPr>
              <w:t>pending</w:t>
            </w:r>
          </w:p>
        </w:tc>
        <w:tc>
          <w:tcPr>
            <w:tcW w:type="dxa" w:w="2160"/>
          </w:tcPr>
          <w:p>
            <w:r>
              <w:rPr>
                <w:sz w:val="18"/>
              </w:rPr>
            </w:r>
          </w:p>
        </w:tc>
        <w:tc>
          <w:tcPr>
            <w:tcW w:type="dxa" w:w="2160"/>
          </w:tcPr>
          <w:p>
            <w:r>
              <w:rPr>
                <w:sz w:val="18"/>
              </w:rPr>
            </w:r>
          </w:p>
        </w:tc>
      </w:tr>
      <w:tr>
        <w:tc>
          <w:tcPr>
            <w:tcW w:type="dxa" w:w="2160"/>
          </w:tcPr>
          <w:p>
            <w:r>
              <w:rPr>
                <w:sz w:val="18"/>
              </w:rPr>
              <w:t>Borrower &amp; Management Capacity</w:t>
            </w:r>
          </w:p>
        </w:tc>
        <w:tc>
          <w:tcPr>
            <w:tcW w:type="dxa" w:w="2160"/>
          </w:tcPr>
          <w:p>
            <w:r>
              <w:rPr>
                <w:sz w:val="18"/>
              </w:rPr>
              <w:t>pending</w:t>
            </w:r>
          </w:p>
        </w:tc>
        <w:tc>
          <w:tcPr>
            <w:tcW w:type="dxa" w:w="2160"/>
          </w:tcPr>
          <w:p>
            <w:r>
              <w:rPr>
                <w:sz w:val="18"/>
              </w:rPr>
            </w:r>
          </w:p>
        </w:tc>
        <w:tc>
          <w:tcPr>
            <w:tcW w:type="dxa" w:w="2160"/>
          </w:tcPr>
          <w:p>
            <w:r>
              <w:rPr>
                <w:sz w:val="18"/>
              </w:rPr>
            </w:r>
          </w:p>
        </w:tc>
      </w:tr>
      <w:tr>
        <w:tc>
          <w:tcPr>
            <w:tcW w:type="dxa" w:w="2160"/>
          </w:tcPr>
          <w:p>
            <w:r>
              <w:rPr>
                <w:sz w:val="18"/>
              </w:rPr>
              <w:t>Credit History &amp; Banking Conduct</w:t>
            </w:r>
          </w:p>
        </w:tc>
        <w:tc>
          <w:tcPr>
            <w:tcW w:type="dxa" w:w="2160"/>
          </w:tcPr>
          <w:p>
            <w:r>
              <w:rPr>
                <w:sz w:val="18"/>
              </w:rPr>
              <w:t>pending</w:t>
            </w:r>
          </w:p>
        </w:tc>
        <w:tc>
          <w:tcPr>
            <w:tcW w:type="dxa" w:w="2160"/>
          </w:tcPr>
          <w:p>
            <w:r>
              <w:rPr>
                <w:sz w:val="18"/>
              </w:rPr>
            </w:r>
          </w:p>
        </w:tc>
        <w:tc>
          <w:tcPr>
            <w:tcW w:type="dxa" w:w="2160"/>
          </w:tcPr>
          <w:p>
            <w:r>
              <w:rPr>
                <w:sz w:val="18"/>
              </w:rPr>
            </w:r>
          </w:p>
        </w:tc>
      </w:tr>
      <w:tr>
        <w:tc>
          <w:tcPr>
            <w:tcW w:type="dxa" w:w="2160"/>
          </w:tcPr>
          <w:p>
            <w:r>
              <w:rPr>
                <w:sz w:val="18"/>
              </w:rPr>
              <w:t>Historic Financial Performance</w:t>
            </w:r>
          </w:p>
        </w:tc>
        <w:tc>
          <w:tcPr>
            <w:tcW w:type="dxa" w:w="2160"/>
          </w:tcPr>
          <w:p>
            <w:r>
              <w:rPr>
                <w:sz w:val="18"/>
              </w:rPr>
              <w:t>pending</w:t>
            </w:r>
          </w:p>
        </w:tc>
        <w:tc>
          <w:tcPr>
            <w:tcW w:type="dxa" w:w="2160"/>
          </w:tcPr>
          <w:p>
            <w:r>
              <w:rPr>
                <w:sz w:val="18"/>
              </w:rPr>
            </w:r>
          </w:p>
        </w:tc>
        <w:tc>
          <w:tcPr>
            <w:tcW w:type="dxa" w:w="2160"/>
          </w:tcPr>
          <w:p>
            <w:r>
              <w:rPr>
                <w:sz w:val="18"/>
              </w:rPr>
            </w:r>
          </w:p>
        </w:tc>
      </w:tr>
      <w:tr>
        <w:tc>
          <w:tcPr>
            <w:tcW w:type="dxa" w:w="2160"/>
          </w:tcPr>
          <w:p>
            <w:r>
              <w:rPr>
                <w:sz w:val="18"/>
              </w:rPr>
              <w:t>Project Viability &amp; Projections</w:t>
            </w:r>
          </w:p>
        </w:tc>
        <w:tc>
          <w:tcPr>
            <w:tcW w:type="dxa" w:w="2160"/>
          </w:tcPr>
          <w:p>
            <w:r>
              <w:rPr>
                <w:sz w:val="18"/>
              </w:rPr>
              <w:t>pending</w:t>
            </w:r>
          </w:p>
        </w:tc>
        <w:tc>
          <w:tcPr>
            <w:tcW w:type="dxa" w:w="2160"/>
          </w:tcPr>
          <w:p>
            <w:r>
              <w:rPr>
                <w:sz w:val="18"/>
              </w:rPr>
            </w:r>
          </w:p>
        </w:tc>
        <w:tc>
          <w:tcPr>
            <w:tcW w:type="dxa" w:w="2160"/>
          </w:tcPr>
          <w:p>
            <w:r>
              <w:rPr>
                <w:sz w:val="18"/>
              </w:rPr>
            </w:r>
          </w:p>
        </w:tc>
      </w:tr>
      <w:tr>
        <w:tc>
          <w:tcPr>
            <w:tcW w:type="dxa" w:w="2160"/>
          </w:tcPr>
          <w:p>
            <w:r>
              <w:rPr>
                <w:sz w:val="18"/>
              </w:rPr>
              <w:t>Market &amp; Competitive Position</w:t>
            </w:r>
          </w:p>
        </w:tc>
        <w:tc>
          <w:tcPr>
            <w:tcW w:type="dxa" w:w="2160"/>
          </w:tcPr>
          <w:p>
            <w:r>
              <w:rPr>
                <w:sz w:val="18"/>
              </w:rPr>
              <w:t>pending</w:t>
            </w:r>
          </w:p>
        </w:tc>
        <w:tc>
          <w:tcPr>
            <w:tcW w:type="dxa" w:w="2160"/>
          </w:tcPr>
          <w:p>
            <w:r>
              <w:rPr>
                <w:sz w:val="18"/>
              </w:rPr>
            </w:r>
          </w:p>
        </w:tc>
        <w:tc>
          <w:tcPr>
            <w:tcW w:type="dxa" w:w="2160"/>
          </w:tcPr>
          <w:p>
            <w:r>
              <w:rPr>
                <w:sz w:val="18"/>
              </w:rPr>
            </w:r>
          </w:p>
        </w:tc>
      </w:tr>
      <w:tr>
        <w:tc>
          <w:tcPr>
            <w:tcW w:type="dxa" w:w="2160"/>
          </w:tcPr>
          <w:p>
            <w:r>
              <w:rPr>
                <w:sz w:val="18"/>
              </w:rPr>
              <w:t>Risk, Security &amp; Compliance</w:t>
            </w:r>
          </w:p>
        </w:tc>
        <w:tc>
          <w:tcPr>
            <w:tcW w:type="dxa" w:w="2160"/>
          </w:tcPr>
          <w:p>
            <w:r>
              <w:rPr>
                <w:sz w:val="18"/>
              </w:rPr>
              <w:t>pending</w:t>
            </w:r>
          </w:p>
        </w:tc>
        <w:tc>
          <w:tcPr>
            <w:tcW w:type="dxa" w:w="2160"/>
          </w:tcPr>
          <w:p>
            <w:r>
              <w:rPr>
                <w:sz w:val="18"/>
              </w:rPr>
            </w:r>
          </w:p>
        </w:tc>
        <w:tc>
          <w:tcPr>
            <w:tcW w:type="dxa" w:w="2160"/>
          </w:tcPr>
          <w:p>
            <w:r>
              <w:rPr>
                <w:sz w:val="18"/>
              </w:rPr>
            </w:r>
          </w:p>
        </w:tc>
      </w:tr>
      <w:tr>
        <w:tc>
          <w:tcPr>
            <w:tcW w:type="dxa" w:w="2160"/>
          </w:tcPr>
          <w:p>
            <w:r>
              <w:rPr>
                <w:sz w:val="18"/>
              </w:rPr>
              <w:t>Economic &amp; Social Contribution</w:t>
            </w:r>
          </w:p>
        </w:tc>
        <w:tc>
          <w:tcPr>
            <w:tcW w:type="dxa" w:w="2160"/>
          </w:tcPr>
          <w:p>
            <w:r>
              <w:rPr>
                <w:sz w:val="18"/>
              </w:rPr>
              <w:t>pending</w:t>
            </w:r>
          </w:p>
        </w:tc>
        <w:tc>
          <w:tcPr>
            <w:tcW w:type="dxa" w:w="2160"/>
          </w:tcPr>
          <w:p>
            <w:r>
              <w:rPr>
                <w:sz w:val="18"/>
              </w:rPr>
            </w:r>
          </w:p>
        </w:tc>
        <w:tc>
          <w:tcPr>
            <w:tcW w:type="dxa" w:w="2160"/>
          </w:tcPr>
          <w:p>
            <w:r>
              <w:rPr>
                <w:sz w:val="18"/>
              </w:rPr>
            </w:r>
          </w:p>
        </w:tc>
      </w:tr>
    </w:tbl>
    <w:p/>
    <w:p>
      <w:r>
        <w:t xml:space="preserve">Generated by </w:t>
      </w:r>
      <w:r>
        <w:rPr>
          <w:rFonts w:ascii="Consolas" w:hAnsi="Consolas"/>
          <w:sz w:val="19"/>
        </w:rPr>
        <w:t>derive_weights.py</w:t>
      </w:r>
      <w:r>
        <w:t xml:space="preserve">; raw values in </w:t>
      </w:r>
      <w:r>
        <w:rPr>
          <w:rFonts w:ascii="Consolas" w:hAnsi="Consolas"/>
          <w:sz w:val="19"/>
        </w:rPr>
        <w:t>research/outputs/tables/elicitation_consistency.csv</w:t>
      </w:r>
      <w:r>
        <w:t>.</w:t>
      </w:r>
    </w:p>
    <w:p>
      <w:pPr>
        <w:pStyle w:val="Heading3"/>
      </w:pPr>
      <w:r>
        <w:t>6.1.3 Derived weights</w:t>
      </w:r>
    </w:p>
    <w:p>
      <w:r>
        <w:t>*To be completed* — aggregated by geometric mean over usable responses.</w:t>
      </w:r>
    </w:p>
    <w:p>
      <w:r>
        <w:t>Two things to examine and report whichever way they fall:</w:t>
      </w:r>
    </w:p>
    <w:p>
      <w:pPr>
        <w:pStyle w:val="ListBullet"/>
      </w:pPr>
      <w:r>
        <w:rPr>
          <w:b/>
        </w:rPr>
        <w:t>Where practitioners agree.</w:t>
      </w:r>
      <w:r>
        <w:t xml:space="preserve"> Convergence across respondents is evidence that</w:t>
      </w:r>
    </w:p>
    <w:p>
      <w:r>
        <w:t>the criterion carries a shared professional meaning.</w:t>
      </w:r>
    </w:p>
    <w:p>
      <w:pPr>
        <w:pStyle w:val="ListBullet"/>
      </w:pPr>
      <w:r>
        <w:rPr>
          <w:b/>
        </w:rPr>
        <w:t>Where they disagree.</w:t>
      </w:r>
      <w:r>
        <w:t xml:space="preserve"> Wide dispersion is not a defect in the data. It is</w:t>
      </w:r>
    </w:p>
    <w:p>
      <w:r>
        <w:t>evidence for the inconsistency this research is premised on, and it should be reported as a finding rather than smoothed away by the geometric mean.</w:t>
      </w:r>
    </w:p>
    <w:p>
      <w:pPr>
        <w:pStyle w:val="Heading3"/>
      </w:pPr>
      <w:r>
        <w:t>6.1.4 Comparison with Roy and Shaw (2021)</w:t>
      </w:r>
    </w:p>
    <w:p>
      <w:r>
        <w:t>Roy and Shaw report credit history, cash liquidity and repayment period as the dominant criteria in SME lending, using the same weighting method in a different national context. Comparing the elicited weights here against theirs is a worthwhile external check: agreement suggests the criteria carry stable professional meaning across contexts, while divergence would be a substantive finding about Sri Lankan practice. *To be completed once weights exist.*</w:t>
      </w:r>
    </w:p>
    <w:p>
      <w:pPr>
        <w:pStyle w:val="Heading2"/>
      </w:pPr>
      <w:r>
        <w:t>6.2 Effect of elicited weights (RQ4)</w:t>
      </w:r>
    </w:p>
    <w:p>
      <w:r>
        <w:t>*To be completed.* Rescore the case set under placeholder and elicited weights and report how far the two diverge — on scores, on risk bands, and on the gap between the credit-risk and development-impact objectives.</w:t>
      </w:r>
    </w:p>
    <w:p>
      <w:r>
        <w:t xml:space="preserve">This is the direct evidence for RQ4. If elicited weights move the development objective independently of the credit objective, that supports the design decision not to aggregate them. If the two move together, the argument for separation weakens and </w:t>
      </w:r>
      <w:r>
        <w:rPr>
          <w:b/>
        </w:rPr>
        <w:t>the thesis should say so.</w:t>
      </w:r>
    </w:p>
    <w:p>
      <w:pPr>
        <w:pStyle w:val="Heading2"/>
      </w:pPr>
      <w:r>
        <w:t>6.3 Discussion</w:t>
      </w:r>
    </w:p>
    <w:p>
      <w:pPr>
        <w:pStyle w:val="Heading3"/>
      </w:pPr>
      <w:r>
        <w:t>6.3.1 What the contamination finding means</w:t>
      </w:r>
    </w:p>
    <w:p>
      <w:r>
        <w:t>The finding in §5.3 has consequences beyond this study.</w:t>
      </w:r>
    </w:p>
    <w:p>
      <w:r>
        <w:t xml:space="preserve">The SBA National dataset is widely used in credit-scoring research and teaching. A model given </w:t>
      </w:r>
      <w:r>
        <w:rPr>
          <w:rFonts w:ascii="Consolas" w:hAnsi="Consolas"/>
          <w:sz w:val="19"/>
        </w:rPr>
        <w:t>Term</w:t>
      </w:r>
      <w:r>
        <w:t xml:space="preserve"> and free to split on its exact value inherits an artefact worth up to 0.34 AUC. The roundness probe — a single boolean with no economic content — reaches 0.887. Any published result on this dataset in that region, obtained from a tree ensemble with </w:t>
      </w:r>
      <w:r>
        <w:rPr>
          <w:rFonts w:ascii="Consolas" w:hAnsi="Consolas"/>
          <w:sz w:val="19"/>
        </w:rPr>
        <w:t>Term</w:t>
      </w:r>
      <w:r>
        <w:t xml:space="preserve"> included, is likely to be measuring the artefact rather than credit risk.</w:t>
      </w:r>
    </w:p>
    <w:p>
      <w:r>
        <w:t xml:space="preserve">The general lesson is about </w:t>
      </w:r>
      <w:r>
        <w:rPr>
          <w:b/>
        </w:rPr>
        <w:t>how anomalies are treated</w:t>
      </w:r>
      <w:r>
        <w:t>. The finding emerged only because an AUC of 0.97 was treated as a symptom rather than a success. Had it been reported as a result — which it easily could have been, since it exceeded every published benchmark — this thesis would contain a headline finding that was entirely an artefact. The methodological rule in §3.6.3 is the transferable part.</w:t>
      </w:r>
    </w:p>
    <w:p>
      <w:pPr>
        <w:pStyle w:val="Heading3"/>
      </w:pPr>
      <w:r>
        <w:t>6.3.2 What the negative result means</w:t>
      </w:r>
    </w:p>
    <w:p>
      <w:r>
        <w:t>The expert scorecard failed to discriminate on SBA-observable proxies (AUC 0.41–0.53). Two explanations remain live and the evidence does not separate them: the proxies are inadequate, or the a priori bands are wrong.</w:t>
      </w:r>
    </w:p>
    <w:p>
      <w:r>
        <w:t>Either way the methodological conclusion holds, and it is the useful one:</w:t>
      </w:r>
    </w:p>
    <w:p>
      <w:r>
        <w:rPr>
          <w:b/>
        </w:rPr>
        <w:t>substituting available proxies for the intended criteria tests the proxies, not the model.</w:t>
      </w:r>
      <w:r>
        <w:t xml:space="preserve"> This is why elicitation is a methodological requirement here rather than a fallback for missing data.</w:t>
      </w:r>
    </w:p>
    <w:p>
      <w:r>
        <w:t>There is a broader point for practice. Institutions without clean historical default data cannot fit a scorecard, and this study shows they cannot borrow someone else's dataset to validate one either. Expert elicitation is not a second-best option in that situation; it is the only sound one.</w:t>
      </w:r>
    </w:p>
    <w:p>
      <w:pPr>
        <w:pStyle w:val="Heading3"/>
      </w:pPr>
      <w:r>
        <w:t>6.3.3 On temporal validation</w:t>
      </w:r>
    </w:p>
    <w:p>
      <w:r>
        <w:t xml:space="preserve">Under the clean specification, logistic regression scored 0.4565 on temporal validation — </w:t>
      </w:r>
      <w:r>
        <w:rPr>
          <w:b/>
        </w:rPr>
        <w:t>below chance</w:t>
      </w:r>
      <w:r>
        <w:t>. Trained on 1990–2003 (9.1% default) and tested on 2004–2010 (35.9% default), the model did not merely lose accuracy; its ranking inverted.</w:t>
      </w:r>
    </w:p>
    <w:p>
      <w:r>
        <w:t>For practice, this is the most immediately actionable result in the thesis. A linear scorecard fitted during benign conditions can rank borrowers *backwards* under stress. Given Sri Lanka's recent macroeconomic volatility, a scorecard calibrated on pre-crisis SME lending should not be assumed to hold, and temporal rather than random validation should be the default.</w:t>
      </w:r>
    </w:p>
    <w:p>
      <w:pPr>
        <w:pStyle w:val="Heading3"/>
      </w:pPr>
      <w:r>
        <w:t>6.3.4 On the system</w:t>
      </w:r>
    </w:p>
    <w:p>
      <w:r>
        <w:t>The system demonstrates that a narrative appraisal instrument can be formalised without discarding the judgement it encodes — 28 criteria computed from figures, 21 captured as structured linguistic judgements, every one traceable to a clause.</w:t>
      </w:r>
    </w:p>
    <w:p>
      <w:r>
        <w:t>Two design decisions proved more consequential than expected.</w:t>
      </w:r>
    </w:p>
    <w:p>
      <w:r>
        <w:t xml:space="preserve">The </w:t>
      </w:r>
      <w:r>
        <w:rPr>
          <w:b/>
        </w:rPr>
        <w:t>completeness gate</w:t>
      </w:r>
      <w:r>
        <w:t xml:space="preserve"> (§4.5) arose from a real defect found in testing: a 14%-complete file produced a confident recommendation. The gate is a refusal to answer rather than a score adjustment, because a discounted score would have preserved the false impression that the system had an opinion.</w:t>
      </w:r>
    </w:p>
    <w:p>
      <w:r>
        <w:rPr>
          <w:b/>
        </w:rPr>
        <w:t>Storing the full result document and model version</w:t>
      </w:r>
      <w:r>
        <w:t xml:space="preserve"> with each appraisal means recommendations remain reproducible after the model changes. Since the placeholder weights are due to be replaced, an appraisal signed under one model must still be explainable under it later.</w:t>
      </w:r>
    </w:p>
    <w:p>
      <w:pPr>
        <w:pStyle w:val="Heading2"/>
      </w:pPr>
      <w:r>
        <w:t>6.4 Limitations</w:t>
      </w:r>
    </w:p>
    <w:p>
      <w:r>
        <w:rPr>
          <w:b/>
        </w:rPr>
        <w:t>Empirical validation is on a proxy dataset from another jurisdiction.</w:t>
      </w:r>
      <w:r>
        <w:t xml:space="preserve"> SBA data reflects U.S. government-guaranteed lending. Nothing transfers directly to Sri Lankan SME credit.</w:t>
      </w:r>
    </w:p>
    <w:p>
      <w:r>
        <w:rPr>
          <w:b/>
        </w:rPr>
        <w:t>The criteria tree is not empirically validated.</w:t>
      </w:r>
      <w:r>
        <w:t xml:space="preserve"> No dataset contains its variables. Chapter 5 validates scoring machinery, not criteria.</w:t>
      </w:r>
    </w:p>
    <w:p>
      <w:r>
        <w:rPr>
          <w:b/>
        </w:rPr>
        <w:t>The fuzzy layer is not exercised by the validation.</w:t>
      </w:r>
      <w:r>
        <w:t xml:space="preserve"> All SBA-observable criteria are quantitative and enter as degenerate triangular fuzzy numbers, under which the fuzzy weighted average reduces exactly to a weighted arithmetic mean. On that dataset the fuzzy machinery does no work.</w:t>
      </w:r>
    </w:p>
    <w:p>
      <w:r>
        <w:rPr>
          <w:b/>
        </w:rPr>
        <w:t>The development objective is barely observable.</w:t>
      </w:r>
      <w:r>
        <w:t xml:space="preserve"> Only job creation and retention proxy it; five of the nine items in clause 5 have no counterpart in the data. It is a design contribution, not an empirically validated one.</w:t>
      </w:r>
    </w:p>
    <w:p>
      <w:r>
        <w:rPr>
          <w:b/>
        </w:rPr>
        <w:t>Elicitation is small-n and purposive.</w:t>
      </w:r>
      <w:r>
        <w:t xml:space="preserve"> Weights represent the respondents' judgement, not Sri Lankan credit practice.</w:t>
      </w:r>
    </w:p>
    <w:p>
      <w:r>
        <w:rPr>
          <w:b/>
        </w:rPr>
        <w:t>No inter-rater reliability study was conducted.</w:t>
      </w:r>
      <w:r>
        <w:t xml:space="preserve"> This is the most significant omission. The research is premised on manual appraisal being inconsistent, and that premise is argued rather than measured.</w:t>
      </w:r>
    </w:p>
    <w:p>
      <w:r>
        <w:rPr>
          <w:b/>
        </w:rPr>
        <w:t>No field evaluation.</w:t>
      </w:r>
      <w:r>
        <w:t xml:space="preserve"> No officer has used the system on live applications; there is no usability or acceptance evidence.</w:t>
      </w:r>
    </w:p>
    <w:p>
      <w:r>
        <w:rPr>
          <w:b/>
        </w:rPr>
        <w:t>Novelty of the contamination finding is not established as priority.</w:t>
      </w:r>
      <w:r>
        <w:t xml:space="preserve"> A literature search found no prior report, but the search was not exhaustive.</w:t>
      </w:r>
    </w:p>
    <w:p>
      <w:pPr>
        <w:pStyle w:val="Heading2"/>
      </w:pPr>
      <w:r>
        <w:t>6.5 Future work</w:t>
      </w:r>
    </w:p>
    <w:p>
      <w:r>
        <w:rPr>
          <w:b/>
        </w:rPr>
        <w:t>Measure the inconsistency.</w:t>
      </w:r>
      <w:r>
        <w:t xml:space="preserve"> Have N officers appraise the same M files independently and compute inter-rater reliability, then repeat with the system. This directly tests the premise of the research and would be the strongest possible addition. It requires only practitioner time and constructed cases.</w:t>
      </w:r>
    </w:p>
    <w:p>
      <w:r>
        <w:rPr>
          <w:b/>
        </w:rPr>
        <w:t>Establish the contamination mechanism.</w:t>
      </w:r>
      <w:r>
        <w:t xml:space="preserve"> Determining why </w:t>
      </w:r>
      <w:r>
        <w:rPr>
          <w:rFonts w:ascii="Consolas" w:hAnsi="Consolas"/>
          <w:sz w:val="19"/>
        </w:rPr>
        <w:t>Term</w:t>
      </w:r>
      <w:r>
        <w:t xml:space="preserve"> behaves as it does — through SBA data documentation or the agency itself — would convert a caution into a full account, and is publishable independently.</w:t>
      </w:r>
    </w:p>
    <w:p>
      <w:r>
        <w:rPr>
          <w:b/>
        </w:rPr>
        <w:t>Validate on institutional data.</w:t>
      </w:r>
      <w:r>
        <w:t xml:space="preserve"> With permission and anonymisation, even a few hundred historical files with outcomes would allow the criteria tree itself to be tested rather than a proxy.</w:t>
      </w:r>
    </w:p>
    <w:p>
      <w:r>
        <w:rPr>
          <w:b/>
        </w:rPr>
        <w:t>Field evaluation.</w:t>
      </w:r>
      <w:r>
        <w:t xml:space="preserve"> Deploy alongside the existing process and compare turnaround time, consistency and officer acceptance.</w:t>
      </w:r>
    </w:p>
    <w:p>
      <w:pPr>
        <w:pStyle w:val="Heading2"/>
      </w:pPr>
      <w:r>
        <w:t>6.6 Conclusion</w:t>
      </w:r>
    </w:p>
    <w:p>
      <w:r>
        <w:t>This study set out to formalise a Sri Lankan state bank's narrative SME appraisal instrument into an explainable, dual-objective decision-support system.</w:t>
      </w:r>
    </w:p>
    <w:p>
      <w:r>
        <w:t>The artefact was built. A 49-criterion model was derived clause by clause from the People's Bank appraisal form, implemented in a working system that scores credit risk and development impact separately, decomposes every score into per-criterion contributions, withholds a recommendation when too little has been assessed, and exports its output in the bank's own report format.</w:t>
      </w:r>
    </w:p>
    <w:p>
      <w:r>
        <w:t xml:space="preserve">The empirical work produced results the study did not set out to find. The most substantial contribution is not the model but a caution about the data others use to evaluate such models: the </w:t>
      </w:r>
      <w:r>
        <w:rPr>
          <w:rFonts w:ascii="Consolas" w:hAnsi="Consolas"/>
          <w:sz w:val="19"/>
        </w:rPr>
        <w:t>Term</w:t>
      </w:r>
      <w:r>
        <w:t xml:space="preserve"> field in the widely used SBA National dataset carries outcome information, inflating gradient-boosting performance by up to 0.34 AUC. Alongside it sits a negative result — an expert scorecard that failed to discriminate on proxy variables — from which follows the methodological point that instrument-specific appraisal models cannot be validated on datasets lacking their variables.</w:t>
      </w:r>
    </w:p>
    <w:p>
      <w:r>
        <w:t>RQ1 is answered: the formalisation method is demonstrated and the artefact exists. RQ3 is answered narrowly and mostly in the negative, with the limits stated. RQ2 and RQ4 depend on elicitation data and are reported according to what was obtained.</w:t>
      </w:r>
    </w:p>
    <w:p>
      <w:r>
        <w:t xml:space="preserve">The claim this thesis does </w:t>
      </w:r>
      <w:r>
        <w:rPr>
          <w:b/>
        </w:rPr>
        <w:t>not</w:t>
      </w:r>
      <w:r>
        <w:t xml:space="preserve"> make is that a better credit scoring model has been built. The evidence does not support that, and Chapter 2 establishes that the methods used are not themselves new. What it offers instead is a transferable method for formalising institutional appraisal instruments, a working system that implements it, and two findings about evaluation that should change how others approach the same problem.</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