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[24]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Vencatachellum's (2015) finding that development and credit concerns are empirically independent in development-bank appraisal. Their result comes from one multilateral institution's project portfolio. It can be tested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partly contradicts the premise the design was justified on</w:t>
      </w:r>
      <w:r>
        <w:rPr>
          <w:rFonts w:ascii="Times New Roman" w:hAnsi="Times New Roman"/>
          <w:sz w:val="24"/>
        </w:rPr>
        <w:t>, and is reported as such rather than omitted. On this population the two objectives co-move more than Arvanitis et al. found.</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