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w:t>
      </w:r>
    </w:p>
    <w:p>
      <w:pPr>
        <w:spacing w:line="360" w:lineRule="auto" w:after="120"/>
      </w:pPr>
      <w:r>
        <w:rPr>
          <w:rFonts w:ascii="Times New Roman" w:hAnsi="Times New Roman"/>
          <w:sz w:val="24"/>
        </w:rPr>
        <w:t xml:space="preserve">Two findings concern the conduct of automated credit assessment rather than this dataset. First, both a gradient booster and a median-imputing logistic regression score information the applicant withheld as </w:t>
      </w:r>
      <w:r>
        <w:rPr>
          <w:rFonts w:ascii="Times New Roman" w:hAnsi="Times New Roman"/>
          <w:i/>
          <w:sz w:val="24"/>
        </w:rPr>
        <w:t>favourable</w:t>
      </w:r>
      <w:r>
        <w:rPr>
          <w:rFonts w:ascii="Times New Roman" w:hAnsi="Times New Roman"/>
          <w:sz w:val="24"/>
        </w:rPr>
        <w:t xml:space="preserve"> rather than as unknown: omitting a single field moves 19.84% of applicants from decline to approval, and an applicant supplying nothing at all is approved outright. This is an empirical argument for refusing to score an incomplete file rather than scoring it with a caveat. Second, subgroup analysis across credit-access proxies finds the expert scorecard failing the four-fifths rule on four of five attributes and declining 36.11% of creditworthy agricultural borrowers, the worst rate of any sector, though agriculture defaults least. The dataset records no protected characteristic, so no claim about lawful discrimination follows.</w:t>
      </w:r>
    </w:p>
    <w:p>
      <w:pPr>
        <w:spacing w:line="360" w:lineRule="auto" w:after="120"/>
      </w:pPr>
      <w:r>
        <w:rPr>
          <w:rFonts w:ascii="Times New Roman" w:hAnsi="Times New Roman"/>
          <w:sz w:val="24"/>
        </w:rPr>
        <w:t>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algorithmic fairness, missing data,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b/>
          <w:sz w:val="24"/>
        </w:rPr>
        <w:t>The solver is verified against an independent optimiser.</w:t>
      </w:r>
      <w:r>
        <w:rPr>
          <w:rFonts w:ascii="Times New Roman" w:hAnsi="Times New Roman"/>
          <w:sz w:val="24"/>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 which is every real response.</w:t>
      </w:r>
    </w:p>
    <w:p>
      <w:pPr>
        <w:spacing w:line="360" w:lineRule="auto" w:after="120"/>
      </w:pPr>
      <w:r>
        <w:rPr>
          <w:rFonts w:ascii="Times New Roman" w:hAnsi="Times New Roman"/>
          <w:sz w:val="24"/>
        </w:rPr>
        <w:t xml:space="preserve">The implementation is therefore checked two further ways on deliberately inconsistent inputs. First, the maximum deviation is recomputed directly from the returned weights, written from the definition rather than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 wrong. Across three inconsistent cases the two agree to six decimal places, and the returned weights exhibit exactly the deviation reported. The check runs as part of </w:t>
      </w:r>
      <w:r>
        <w:rPr>
          <w:rFonts w:ascii="Times New Roman" w:hAnsi="Times New Roman"/>
          <w:sz w:val="24"/>
        </w:rPr>
        <w:t>research/src/bwm.py</w:t>
      </w:r>
      <w:r>
        <w:rPr>
          <w:rFonts w:ascii="Times New Roman" w:hAnsi="Times New Roman"/>
          <w:sz w:val="24"/>
        </w:rPr>
        <w:t>.</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5.10.5 Is twelve doing the work?</w:t>
      </w:r>
    </w:p>
    <w:p>
      <w:pPr>
        <w:spacing w:line="360" w:lineRule="auto" w:after="120"/>
      </w:pPr>
      <w:r>
        <w:rPr>
          <w:rFonts w:ascii="Times New Roman" w:hAnsi="Times New Roman"/>
          <w:sz w:val="24"/>
        </w:rPr>
        <w:t>The finding rests on one boolean, so the obvious challenge is whether twelve matters at all. If "multiple of two" or "multiple of five" discriminated equally well, this would not be about round contractual terms and the interpretation above would be wrong.</w:t>
      </w:r>
    </w:p>
    <w:p>
      <w:pPr>
        <w:spacing w:line="360" w:lineRule="auto" w:after="120"/>
      </w:pPr>
      <w:r>
        <w:rPr>
          <w:rFonts w:ascii="Times New Roman" w:hAnsi="Times New Roman"/>
          <w:sz w:val="24"/>
        </w:rPr>
        <w:t>Twenty moduli were tested on the 651,501 matured facilities with a positive term. The strata overlap by construction — every multiple of twelve is also a multiple of six, four, three and two — so raw discrimination is reported alongside</w:t>
      </w:r>
    </w:p>
    <w:p>
      <w:pPr>
        <w:spacing w:line="360" w:lineRule="auto" w:after="120"/>
      </w:pPr>
      <w:r>
        <w:rPr>
          <w:rFonts w:ascii="Times New Roman" w:hAnsi="Times New Roman"/>
          <w:i/>
          <w:sz w:val="24"/>
        </w:rPr>
        <w:t>residual</w:t>
      </w:r>
      <w:r>
        <w:rPr>
          <w:rFonts w:ascii="Times New Roman" w:hAnsi="Times New Roman"/>
          <w:sz w:val="24"/>
        </w:rPr>
        <w:t xml:space="preserve"> discrimination computed within the multiples of twelve and within the non-multiples separately, which strips out whatever a modulus inherits from twelve.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Modulus</w:t>
            </w:r>
          </w:p>
        </w:tc>
        <w:tc>
          <w:tcPr>
            <w:tcW w:type="dxa" w:w="2890"/>
          </w:tcPr>
          <w:p>
            <w:pPr>
              <w:spacing w:line="240" w:lineRule="auto" w:after="40"/>
            </w:pPr>
            <w:r/>
            <w:r>
              <w:rPr>
                <w:rFonts w:ascii="Times New Roman" w:hAnsi="Times New Roman"/>
                <w:b/>
                <w:sz w:val="22"/>
              </w:rPr>
              <w:t>Share ≡ 0</w:t>
            </w:r>
          </w:p>
        </w:tc>
        <w:tc>
          <w:tcPr>
            <w:tcW w:type="dxa" w:w="2890"/>
          </w:tcPr>
          <w:p>
            <w:pPr>
              <w:spacing w:line="240" w:lineRule="auto" w:after="40"/>
            </w:pPr>
            <w:r/>
            <w:r>
              <w:rPr>
                <w:rFonts w:ascii="Times New Roman" w:hAnsi="Times New Roman"/>
                <w:b/>
                <w:sz w:val="22"/>
              </w:rPr>
              <w:t>Raw AUC</w:t>
            </w:r>
          </w:p>
        </w:tc>
      </w:tr>
      <w:tr>
        <w:tc>
          <w:tcPr>
            <w:tcW w:type="dxa" w:w="2890"/>
          </w:tcPr>
          <w:p>
            <w:pPr>
              <w:spacing w:line="240" w:lineRule="auto" w:after="40"/>
            </w:pPr>
            <w:r/>
            <w:r>
              <w:rPr>
                <w:rFonts w:ascii="Times New Roman" w:hAnsi="Times New Roman"/>
                <w:b w:val="0"/>
                <w:sz w:val="22"/>
              </w:rPr>
              <w:t>12</w:t>
            </w:r>
          </w:p>
        </w:tc>
        <w:tc>
          <w:tcPr>
            <w:tcW w:type="dxa" w:w="2890"/>
          </w:tcPr>
          <w:p>
            <w:pPr>
              <w:spacing w:line="240" w:lineRule="auto" w:after="40"/>
            </w:pPr>
            <w:r/>
            <w:r>
              <w:rPr>
                <w:rFonts w:ascii="Times New Roman" w:hAnsi="Times New Roman"/>
                <w:b w:val="0"/>
                <w:sz w:val="22"/>
              </w:rPr>
              <w:t>70.07%</w:t>
            </w:r>
          </w:p>
        </w:tc>
        <w:tc>
          <w:tcPr>
            <w:tcW w:type="dxa" w:w="2890"/>
          </w:tcPr>
          <w:p>
            <w:pPr>
              <w:spacing w:line="240" w:lineRule="auto" w:after="40"/>
            </w:pPr>
            <w:r/>
            <w:r>
              <w:rPr>
                <w:rFonts w:ascii="Times New Roman" w:hAnsi="Times New Roman"/>
                <w:b w:val="0"/>
                <w:sz w:val="22"/>
              </w:rPr>
              <w:t>0.8859</w:t>
            </w:r>
          </w:p>
        </w:tc>
      </w:tr>
      <w:tr>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74.39%</w:t>
            </w:r>
          </w:p>
        </w:tc>
        <w:tc>
          <w:tcPr>
            <w:tcW w:type="dxa" w:w="2890"/>
          </w:tcPr>
          <w:p>
            <w:pPr>
              <w:spacing w:line="240" w:lineRule="auto" w:after="40"/>
            </w:pPr>
            <w:r/>
            <w:r>
              <w:rPr>
                <w:rFonts w:ascii="Times New Roman" w:hAnsi="Times New Roman"/>
                <w:b w:val="0"/>
                <w:sz w:val="22"/>
              </w:rPr>
              <w:t>0.8600</w:t>
            </w:r>
          </w:p>
        </w:tc>
      </w:tr>
      <w:tr>
        <w:tc>
          <w:tcPr>
            <w:tcW w:type="dxa" w:w="2890"/>
          </w:tcPr>
          <w:p>
            <w:pPr>
              <w:spacing w:line="240" w:lineRule="auto" w:after="40"/>
            </w:pPr>
            <w:r/>
            <w:r>
              <w:rPr>
                <w:rFonts w:ascii="Times New Roman" w:hAnsi="Times New Roman"/>
                <w:b w:val="0"/>
                <w:sz w:val="22"/>
              </w:rPr>
              <w:t>4</w:t>
            </w:r>
          </w:p>
        </w:tc>
        <w:tc>
          <w:tcPr>
            <w:tcW w:type="dxa" w:w="2890"/>
          </w:tcPr>
          <w:p>
            <w:pPr>
              <w:spacing w:line="240" w:lineRule="auto" w:after="40"/>
            </w:pPr>
            <w:r/>
            <w:r>
              <w:rPr>
                <w:rFonts w:ascii="Times New Roman" w:hAnsi="Times New Roman"/>
                <w:b w:val="0"/>
                <w:sz w:val="22"/>
              </w:rPr>
              <w:t>74.74%</w:t>
            </w:r>
          </w:p>
        </w:tc>
        <w:tc>
          <w:tcPr>
            <w:tcW w:type="dxa" w:w="2890"/>
          </w:tcPr>
          <w:p>
            <w:pPr>
              <w:spacing w:line="240" w:lineRule="auto" w:after="40"/>
            </w:pPr>
            <w:r/>
            <w:r>
              <w:rPr>
                <w:rFonts w:ascii="Times New Roman" w:hAnsi="Times New Roman"/>
                <w:b w:val="0"/>
                <w:sz w:val="22"/>
              </w:rPr>
              <w:t>0.8109</w:t>
            </w:r>
          </w:p>
        </w:tc>
      </w:tr>
      <w:tr>
        <w:tc>
          <w:tcPr>
            <w:tcW w:type="dxa" w:w="2890"/>
          </w:tcPr>
          <w:p>
            <w:pPr>
              <w:spacing w:line="240" w:lineRule="auto" w:after="40"/>
            </w:pPr>
            <w:r/>
            <w:r>
              <w:rPr>
                <w:rFonts w:ascii="Times New Roman" w:hAnsi="Times New Roman"/>
                <w:b w:val="0"/>
                <w:sz w:val="22"/>
              </w:rPr>
              <w:t>3</w:t>
            </w:r>
          </w:p>
        </w:tc>
        <w:tc>
          <w:tcPr>
            <w:tcW w:type="dxa" w:w="2890"/>
          </w:tcPr>
          <w:p>
            <w:pPr>
              <w:spacing w:line="240" w:lineRule="auto" w:after="40"/>
            </w:pPr>
            <w:r/>
            <w:r>
              <w:rPr>
                <w:rFonts w:ascii="Times New Roman" w:hAnsi="Times New Roman"/>
                <w:b w:val="0"/>
                <w:sz w:val="22"/>
              </w:rPr>
              <w:t>80.24%</w:t>
            </w:r>
          </w:p>
        </w:tc>
        <w:tc>
          <w:tcPr>
            <w:tcW w:type="dxa" w:w="2890"/>
          </w:tcPr>
          <w:p>
            <w:pPr>
              <w:spacing w:line="240" w:lineRule="auto" w:after="40"/>
            </w:pPr>
            <w:r/>
            <w:r>
              <w:rPr>
                <w:rFonts w:ascii="Times New Roman" w:hAnsi="Times New Roman"/>
                <w:b w:val="0"/>
                <w:sz w:val="22"/>
              </w:rPr>
              <w:t>0.7934</w:t>
            </w:r>
          </w:p>
        </w:tc>
      </w:tr>
      <w:tr>
        <w:tc>
          <w:tcPr>
            <w:tcW w:type="dxa" w:w="2890"/>
          </w:tcPr>
          <w:p>
            <w:pPr>
              <w:spacing w:line="240" w:lineRule="auto" w:after="40"/>
            </w:pPr>
            <w:r/>
            <w:r>
              <w:rPr>
                <w:rFonts w:ascii="Times New Roman" w:hAnsi="Times New Roman"/>
                <w:b w:val="0"/>
                <w:sz w:val="22"/>
              </w:rPr>
              <w:t>2</w:t>
            </w:r>
          </w:p>
        </w:tc>
        <w:tc>
          <w:tcPr>
            <w:tcW w:type="dxa" w:w="2890"/>
          </w:tcPr>
          <w:p>
            <w:pPr>
              <w:spacing w:line="240" w:lineRule="auto" w:after="40"/>
            </w:pPr>
            <w:r/>
            <w:r>
              <w:rPr>
                <w:rFonts w:ascii="Times New Roman" w:hAnsi="Times New Roman"/>
                <w:b w:val="0"/>
                <w:sz w:val="22"/>
              </w:rPr>
              <w:t>84.04%</w:t>
            </w:r>
          </w:p>
        </w:tc>
        <w:tc>
          <w:tcPr>
            <w:tcW w:type="dxa" w:w="2890"/>
          </w:tcPr>
          <w:p>
            <w:pPr>
              <w:spacing w:line="240" w:lineRule="auto" w:after="40"/>
            </w:pPr>
            <w:r/>
            <w:r>
              <w:rPr>
                <w:rFonts w:ascii="Times New Roman" w:hAnsi="Times New Roman"/>
                <w:b w:val="0"/>
                <w:sz w:val="22"/>
              </w:rPr>
              <w:t>0.7125</w:t>
            </w:r>
          </w:p>
        </w:tc>
      </w:tr>
      <w:tr>
        <w:tc>
          <w:tcPr>
            <w:tcW w:type="dxa" w:w="2890"/>
          </w:tcPr>
          <w:p>
            <w:pPr>
              <w:spacing w:line="240" w:lineRule="auto" w:after="40"/>
            </w:pPr>
            <w:r/>
            <w:r>
              <w:rPr>
                <w:rFonts w:ascii="Times New Roman" w:hAnsi="Times New Roman"/>
                <w:b w:val="0"/>
                <w:sz w:val="22"/>
              </w:rPr>
              <w:t>7</w:t>
            </w:r>
          </w:p>
        </w:tc>
        <w:tc>
          <w:tcPr>
            <w:tcW w:type="dxa" w:w="2890"/>
          </w:tcPr>
          <w:p>
            <w:pPr>
              <w:spacing w:line="240" w:lineRule="auto" w:after="40"/>
            </w:pPr>
            <w:r/>
            <w:r>
              <w:rPr>
                <w:rFonts w:ascii="Times New Roman" w:hAnsi="Times New Roman"/>
                <w:b w:val="0"/>
                <w:sz w:val="22"/>
              </w:rPr>
              <w:t>34.90%</w:t>
            </w:r>
          </w:p>
        </w:tc>
        <w:tc>
          <w:tcPr>
            <w:tcW w:type="dxa" w:w="2890"/>
          </w:tcPr>
          <w:p>
            <w:pPr>
              <w:spacing w:line="240" w:lineRule="auto" w:after="40"/>
            </w:pPr>
            <w:r/>
            <w:r>
              <w:rPr>
                <w:rFonts w:ascii="Times New Roman" w:hAnsi="Times New Roman"/>
                <w:b w:val="0"/>
                <w:sz w:val="22"/>
              </w:rPr>
              <w:t>0.6291</w:t>
            </w:r>
          </w:p>
        </w:tc>
      </w:tr>
      <w:tr>
        <w:tc>
          <w:tcPr>
            <w:tcW w:type="dxa" w:w="2890"/>
          </w:tcPr>
          <w:p>
            <w:pPr>
              <w:spacing w:line="240" w:lineRule="auto" w:after="40"/>
            </w:pPr>
            <w:r/>
            <w:r>
              <w:rPr>
                <w:rFonts w:ascii="Times New Roman" w:hAnsi="Times New Roman"/>
                <w:b w:val="0"/>
                <w:sz w:val="22"/>
              </w:rPr>
              <w:t>5</w:t>
            </w:r>
          </w:p>
        </w:tc>
        <w:tc>
          <w:tcPr>
            <w:tcW w:type="dxa" w:w="2890"/>
          </w:tcPr>
          <w:p>
            <w:pPr>
              <w:spacing w:line="240" w:lineRule="auto" w:after="40"/>
            </w:pPr>
            <w:r/>
            <w:r>
              <w:rPr>
                <w:rFonts w:ascii="Times New Roman" w:hAnsi="Times New Roman"/>
                <w:b w:val="0"/>
                <w:sz w:val="22"/>
              </w:rPr>
              <w:t>33.24%</w:t>
            </w:r>
          </w:p>
        </w:tc>
        <w:tc>
          <w:tcPr>
            <w:tcW w:type="dxa" w:w="2890"/>
          </w:tcPr>
          <w:p>
            <w:pPr>
              <w:spacing w:line="240" w:lineRule="auto" w:after="40"/>
            </w:pPr>
            <w:r/>
            <w:r>
              <w:rPr>
                <w:rFonts w:ascii="Times New Roman" w:hAnsi="Times New Roman"/>
                <w:b w:val="0"/>
                <w:sz w:val="22"/>
              </w:rPr>
              <w:t>0.5856</w:t>
            </w:r>
          </w:p>
        </w:tc>
      </w:tr>
      <w:tr>
        <w:tc>
          <w:tcPr>
            <w:tcW w:type="dxa" w:w="2890"/>
          </w:tcPr>
          <w:p>
            <w:pPr>
              <w:spacing w:line="240" w:lineRule="auto" w:after="40"/>
            </w:pPr>
            <w:r/>
            <w:r>
              <w:rPr>
                <w:rFonts w:ascii="Times New Roman" w:hAnsi="Times New Roman"/>
                <w:b w:val="0"/>
                <w:sz w:val="22"/>
              </w:rPr>
              <w:t>13</w:t>
            </w:r>
          </w:p>
        </w:tc>
        <w:tc>
          <w:tcPr>
            <w:tcW w:type="dxa" w:w="2890"/>
          </w:tcPr>
          <w:p>
            <w:pPr>
              <w:spacing w:line="240" w:lineRule="auto" w:after="40"/>
            </w:pPr>
            <w:r/>
            <w:r>
              <w:rPr>
                <w:rFonts w:ascii="Times New Roman" w:hAnsi="Times New Roman"/>
                <w:b w:val="0"/>
                <w:sz w:val="22"/>
              </w:rPr>
              <w:t>2.23%</w:t>
            </w:r>
          </w:p>
        </w:tc>
        <w:tc>
          <w:tcPr>
            <w:tcW w:type="dxa" w:w="2890"/>
          </w:tcPr>
          <w:p>
            <w:pPr>
              <w:spacing w:line="240" w:lineRule="auto" w:after="40"/>
            </w:pPr>
            <w:r/>
            <w:r>
              <w:rPr>
                <w:rFonts w:ascii="Times New Roman" w:hAnsi="Times New Roman"/>
                <w:b w:val="0"/>
                <w:sz w:val="22"/>
              </w:rPr>
              <w:t>0.4699</w:t>
            </w:r>
          </w:p>
        </w:tc>
      </w:tr>
      <w:tr>
        <w:tc>
          <w:tcPr>
            <w:tcW w:type="dxa" w:w="2890"/>
          </w:tcPr>
          <w:p>
            <w:pPr>
              <w:spacing w:line="240" w:lineRule="auto" w:after="40"/>
            </w:pPr>
            <w:r/>
            <w:r>
              <w:rPr>
                <w:rFonts w:ascii="Times New Roman" w:hAnsi="Times New Roman"/>
                <w:b w:val="0"/>
                <w:sz w:val="22"/>
              </w:rPr>
              <w:t>11</w:t>
            </w:r>
          </w:p>
        </w:tc>
        <w:tc>
          <w:tcPr>
            <w:tcW w:type="dxa" w:w="2890"/>
          </w:tcPr>
          <w:p>
            <w:pPr>
              <w:spacing w:line="240" w:lineRule="auto" w:after="40"/>
            </w:pPr>
            <w:r/>
            <w:r>
              <w:rPr>
                <w:rFonts w:ascii="Times New Roman" w:hAnsi="Times New Roman"/>
                <w:b w:val="0"/>
                <w:sz w:val="22"/>
              </w:rPr>
              <w:t>2.91%</w:t>
            </w:r>
          </w:p>
        </w:tc>
        <w:tc>
          <w:tcPr>
            <w:tcW w:type="dxa" w:w="2890"/>
          </w:tcPr>
          <w:p>
            <w:pPr>
              <w:spacing w:line="240" w:lineRule="auto" w:after="40"/>
            </w:pPr>
            <w:r/>
            <w:r>
              <w:rPr>
                <w:rFonts w:ascii="Times New Roman" w:hAnsi="Times New Roman"/>
                <w:b w:val="0"/>
                <w:sz w:val="22"/>
              </w:rPr>
              <w:t>0.4660</w:t>
            </w:r>
          </w:p>
        </w:tc>
      </w:tr>
    </w:tbl>
    <w:p/>
    <w:p>
      <w:pPr>
        <w:spacing w:line="360" w:lineRule="auto" w:after="120"/>
      </w:pPr>
      <w:r>
        <w:rPr>
          <w:rFonts w:ascii="Times New Roman" w:hAnsi="Times New Roman"/>
          <w:sz w:val="24"/>
        </w:rPr>
        <w:t xml:space="preserve">Twelve is the strongest, and the ordering of its divisors — 12 &gt; 6 &gt; 4 &gt; 3 &gt; 2 — is exactly the dilution pattern expected if multiples of twelve are the carrier: each coarser modulus admits more non-annual terms and loses discrimination in proportion. The moduli that do </w:t>
      </w:r>
      <w:r>
        <w:rPr>
          <w:rFonts w:ascii="Times New Roman" w:hAnsi="Times New Roman"/>
          <w:i/>
          <w:sz w:val="24"/>
        </w:rPr>
        <w:t>not</w:t>
      </w:r>
      <w:r>
        <w:rPr>
          <w:rFonts w:ascii="Times New Roman" w:hAnsi="Times New Roman"/>
          <w:sz w:val="24"/>
        </w:rPr>
        <w:t xml:space="preserve"> divide twelve behave quite differently. Eleven and thirteen sit at or below chance, at 0.4660 and 0.4699. It is not the case that any modulus would do.</w:t>
      </w:r>
    </w:p>
    <w:p>
      <w:pPr>
        <w:spacing w:line="360" w:lineRule="auto" w:after="120"/>
      </w:pPr>
      <w:r>
        <w:rPr>
          <w:rFonts w:ascii="Times New Roman" w:hAnsi="Times New Roman"/>
          <w:sz w:val="24"/>
        </w:rPr>
        <w:t xml:space="preserve">One qualification, and it refines rather than threatens the finding. Within the facilities that are </w:t>
      </w:r>
      <w:r>
        <w:rPr>
          <w:rFonts w:ascii="Times New Roman" w:hAnsi="Times New Roman"/>
          <w:i/>
          <w:sz w:val="24"/>
        </w:rPr>
        <w:t>not</w:t>
      </w:r>
      <w:r>
        <w:rPr>
          <w:rFonts w:ascii="Times New Roman" w:hAnsi="Times New Roman"/>
          <w:sz w:val="24"/>
        </w:rPr>
        <w:t xml:space="preserve"> multiples of twelve, "multiple of three" still reaches</w:t>
      </w:r>
    </w:p>
    <w:p>
      <w:pPr>
        <w:spacing w:line="360" w:lineRule="auto" w:after="120"/>
      </w:pPr>
      <w:r>
        <w:rPr>
          <w:rFonts w:ascii="Times New Roman" w:hAnsi="Times New Roman"/>
          <w:b/>
          <w:sz w:val="24"/>
        </w:rPr>
        <w:t>0.5888</w:t>
      </w:r>
      <w:r>
        <w:rPr>
          <w:rFonts w:ascii="Times New Roman" w:hAnsi="Times New Roman"/>
          <w:sz w:val="24"/>
        </w:rPr>
        <w:t xml:space="preserve"> and "multiple of six" </w:t>
      </w:r>
      <w:r>
        <w:rPr>
          <w:rFonts w:ascii="Times New Roman" w:hAnsi="Times New Roman"/>
          <w:b/>
          <w:sz w:val="24"/>
        </w:rPr>
        <w:t>0.5684</w:t>
      </w:r>
      <w:r>
        <w:rPr>
          <w:rFonts w:ascii="Times New Roman" w:hAnsi="Times New Roman"/>
          <w:sz w:val="24"/>
        </w:rPr>
        <w:t>. Some signal therefore attaches to quarter- and half-year terms independently of whole years. The pattern is roundness on a calendar grid rather than annual roundness alone, which is if anything the more natural reading of a contractual convention.</w:t>
      </w:r>
    </w:p>
    <w:p>
      <w:pPr>
        <w:spacing w:line="360" w:lineRule="auto" w:after="120"/>
      </w:pPr>
      <w:r>
        <w:rPr>
          <w:rFonts w:ascii="Times New Roman" w:hAnsi="Times New Roman"/>
          <w:sz w:val="24"/>
        </w:rPr>
        <w:t xml:space="preserve">(The 0.8859 here and the 0.8894 in §5.10.2 differ because this probe additionally excludes facilities with a term of zero; both are produced by code in </w:t>
      </w:r>
      <w:r>
        <w:rPr>
          <w:rFonts w:ascii="Times New Roman" w:hAnsi="Times New Roman"/>
          <w:sz w:val="24"/>
        </w:rPr>
        <w:t>research/src/</w:t>
      </w:r>
      <w:r>
        <w:rPr>
          <w:rFonts w:ascii="Times New Roman" w:hAnsi="Times New Roman"/>
          <w:sz w:val="24"/>
        </w:rPr>
        <w:t>.)</w:t>
      </w:r>
    </w:p>
    <w:p>
      <w:pPr>
        <w:pStyle w:val="Heading3"/>
        <w:spacing w:line="360" w:lineRule="auto" w:before="240" w:after="120"/>
      </w:pPr>
      <w:r>
        <w:rPr>
          <w:rFonts w:ascii="Times New Roman" w:hAnsi="Times New Roman"/>
          <w:b w:val="0"/>
          <w:sz w:val="24"/>
        </w:rPr>
        <w:t>5.10.6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pPr>
        <w:pStyle w:val="Caption"/>
        <w:spacing w:line="360" w:lineRule="auto" w:before="120" w:after="40"/>
      </w:pPr>
      <w:r>
        <w:rPr>
          <w:rFonts w:ascii="Times New Roman" w:hAnsi="Times New Roman"/>
          <w:b w:val="0"/>
          <w:i w:val="0"/>
          <w:sz w:val="24"/>
        </w:rPr>
        <w:t>Table 5.17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[0.308, 0.344] — fails</w:t>
            </w:r>
          </w:p>
        </w:tc>
        <w:tc>
          <w:tcPr>
            <w:tcW w:type="dxa" w:w="2890"/>
          </w:tcPr>
          <w:p>
            <w:pPr>
              <w:spacing w:line="240" w:lineRule="auto" w:after="40"/>
            </w:pPr>
            <w:r/>
            <w:r>
              <w:rPr>
                <w:rFonts w:ascii="Times New Roman" w:hAnsi="Times New Roman"/>
                <w:b w:val="0"/>
                <w:sz w:val="22"/>
              </w:rPr>
              <w:t>0.183 [0.170, 0.209]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[0.820, 0.838] — passes</w:t>
            </w:r>
          </w:p>
        </w:tc>
        <w:tc>
          <w:tcPr>
            <w:tcW w:type="dxa" w:w="2890"/>
          </w:tcPr>
          <w:p>
            <w:pPr>
              <w:spacing w:line="240" w:lineRule="auto" w:after="40"/>
            </w:pPr>
            <w:r/>
            <w:r>
              <w:rPr>
                <w:rFonts w:ascii="Times New Roman" w:hAnsi="Times New Roman"/>
                <w:b w:val="0"/>
                <w:sz w:val="22"/>
              </w:rPr>
              <w:t>0.729 [0.711, 0.746]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[0.989, 0.997] — passes</w:t>
            </w:r>
          </w:p>
        </w:tc>
        <w:tc>
          <w:tcPr>
            <w:tcW w:type="dxa" w:w="2890"/>
          </w:tcPr>
          <w:p>
            <w:pPr>
              <w:spacing w:line="240" w:lineRule="auto" w:after="40"/>
            </w:pPr>
            <w:r/>
            <w:r>
              <w:rPr>
                <w:rFonts w:ascii="Times New Roman" w:hAnsi="Times New Roman"/>
                <w:b w:val="0"/>
                <w:sz w:val="22"/>
              </w:rPr>
              <w:t>0.711 [0.707, 0.714]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[0.752, 0.783] — fails</w:t>
            </w:r>
          </w:p>
        </w:tc>
        <w:tc>
          <w:tcPr>
            <w:tcW w:type="dxa" w:w="2890"/>
          </w:tcPr>
          <w:p>
            <w:pPr>
              <w:spacing w:line="240" w:lineRule="auto" w:after="40"/>
            </w:pPr>
            <w:r/>
            <w:r>
              <w:rPr>
                <w:rFonts w:ascii="Times New Roman" w:hAnsi="Times New Roman"/>
                <w:b w:val="0"/>
                <w:sz w:val="22"/>
              </w:rPr>
              <w:t>0.731 [0.702, 0.758]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[0.785, 0.793] — fails</w:t>
            </w:r>
          </w:p>
        </w:tc>
        <w:tc>
          <w:tcPr>
            <w:tcW w:type="dxa" w:w="2890"/>
          </w:tcPr>
          <w:p>
            <w:pPr>
              <w:spacing w:line="240" w:lineRule="auto" w:after="40"/>
            </w:pPr>
            <w:r/>
            <w:r>
              <w:rPr>
                <w:rFonts w:ascii="Times New Roman" w:hAnsi="Times New Roman"/>
                <w:b w:val="0"/>
                <w:sz w:val="22"/>
              </w:rPr>
              <w:t>0.831 [0.828, 0.836] — passes</w:t>
            </w:r>
          </w:p>
        </w:tc>
      </w:tr>
    </w:tbl>
    <w:p/>
    <w:p>
      <w:pPr>
        <w:spacing w:line="360" w:lineRule="auto" w:after="120"/>
      </w:pPr>
      <w:r>
        <w:rPr>
          <w:rFonts w:ascii="Times New Roman" w:hAnsi="Times New Roman"/>
          <w:b/>
          <w:sz w:val="24"/>
        </w:rPr>
        <w:t>Both measures are ratios of a minimum to a maximum across groups, and that structure is biased.</w:t>
      </w:r>
      <w:r>
        <w:rPr>
          <w:rFonts w:ascii="Times New Roman" w:hAnsi="Times New Roman"/>
          <w:sz w:val="24"/>
        </w:rPr>
        <w:t xml:space="preserve"> Sampling noise pushes the observed minimum down and the maximum up, so a disparity ratio computed this way reads worse than reality even when no group is treated differently — and the smaller the groups, the worse it reads. This has to be quantified rather than asserted away, since one group here has only 752 members.</w:t>
      </w:r>
    </w:p>
    <w:p>
      <w:pPr>
        <w:spacing w:line="360" w:lineRule="auto" w:after="120"/>
      </w:pPr>
      <w:r>
        <w:rPr>
          <w:rFonts w:ascii="Times New Roman" w:hAnsi="Times New Roman"/>
          <w:sz w:val="24"/>
        </w:rPr>
        <w:t xml:space="preserve">It was quantified by permuting the decisions: assigning the same volume of declines at random, holding group sizes fixed, and re-measuring. </w:t>
      </w:r>
      <w:r>
        <w:rPr>
          <w:rFonts w:ascii="Times New Roman" w:hAnsi="Times New Roman"/>
          <w:b/>
          <w:sz w:val="24"/>
        </w:rPr>
        <w:t>Under random assignment the ratio reads 0.973 to 0.999</w:t>
      </w:r>
      <w:r>
        <w:rPr>
          <w:rFonts w:ascii="Times New Roman" w:hAnsi="Times New Roman"/>
          <w:sz w:val="24"/>
        </w:rPr>
        <w:t xml:space="preserve"> across the five attributes. That is the floor the measure produces with no disparity present. The observed values — 0.325, 0.711, 0.729, 0.773, 0.789 — are nowhere near it, so the bias is real but far too small to account for the findings.</w:t>
      </w:r>
    </w:p>
    <w:p>
      <w:pPr>
        <w:spacing w:line="360" w:lineRule="auto" w:after="120"/>
      </w:pPr>
      <w:r>
        <w:rPr>
          <w:rFonts w:ascii="Times New Roman" w:hAnsi="Times New Roman"/>
          <w:sz w:val="24"/>
        </w:rPr>
        <w:t xml:space="preserve">The identification is also stable. Resampling the cohort names the same group as worst-affected in </w:t>
      </w:r>
      <w:r>
        <w:rPr>
          <w:rFonts w:ascii="Times New Roman" w:hAnsi="Times New Roman"/>
          <w:b/>
          <w:sz w:val="24"/>
        </w:rPr>
        <w:t>89% to 100%</w:t>
      </w:r>
      <w:r>
        <w:rPr>
          <w:rFonts w:ascii="Times New Roman" w:hAnsi="Times New Roman"/>
          <w:sz w:val="24"/>
        </w:rPr>
        <w:t xml:space="preserve"> of draws, depending on the attribute; only sector under the gradient booster falls below 100%, at 89%. A disparity attached to a group that changed between resamples would be a statement about noise, and none of these are.</w:t>
      </w:r>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 xml:space="preserve">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 — decline the riskiest 20%, which on these applicants falls at a predicted default probability of </w:t>
      </w:r>
      <w:r>
        <w:rPr>
          <w:rFonts w:ascii="Times New Roman" w:hAnsi="Times New Roman"/>
          <w:b/>
          <w:sz w:val="24"/>
        </w:rPr>
        <w:t>0.2293</w:t>
      </w:r>
      <w:r>
        <w:rPr>
          <w:rFonts w:ascii="Times New Roman" w:hAnsi="Times New Roman"/>
          <w:sz w:val="24"/>
        </w:rPr>
        <w:t>. §5.19.3 shows the conclusion does not depend on that choice.</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w:t>
      </w:r>
      <w:r>
        <w:rPr>
          <w:rFonts w:ascii="Times New Roman" w:hAnsi="Times New Roman"/>
          <w:sz w:val="24"/>
        </w:rPr>
        <w:t xml:space="preserve"> — identical for every applicant, because nothing remains for the model to vary on.</w:t>
      </w:r>
    </w:p>
    <w:p>
      <w:pPr>
        <w:spacing w:line="360" w:lineRule="auto" w:after="120"/>
      </w:pPr>
      <w:r>
        <w:rPr>
          <w:rFonts w:ascii="Times New Roman" w:hAnsi="Times New Roman"/>
          <w:b/>
          <w:sz w:val="24"/>
        </w:rPr>
        <w:t>This does not depend on where the decline threshold is placed</w:t>
      </w:r>
      <w:r>
        <w:rPr>
          <w:rFonts w:ascii="Times New Roman" w:hAnsi="Times New Roman"/>
          <w:sz w:val="24"/>
        </w:rPr>
        <w:t xml:space="preserve">, which is the obvious objection to a result reported under a single policy. That score sits at the </w:t>
      </w:r>
      <w:r>
        <w:rPr>
          <w:rFonts w:ascii="Times New Roman" w:hAnsi="Times New Roman"/>
          <w:b/>
          <w:sz w:val="24"/>
        </w:rPr>
        <w:t>6.5th percentile</w:t>
      </w:r>
      <w:r>
        <w:rPr>
          <w:rFonts w:ascii="Times New Roman" w:hAnsi="Times New Roman"/>
          <w:sz w:val="24"/>
        </w:rPr>
        <w:t xml:space="preserve"> of real applicants' scores. Supplying nothing therefore beats 93.5% of genuine applications, and remains an approval under any policy declining less than </w:t>
      </w:r>
      <w:r>
        <w:rPr>
          <w:rFonts w:ascii="Times New Roman" w:hAnsi="Times New Roman"/>
          <w:b/>
          <w:sz w:val="24"/>
        </w:rPr>
        <w:t>93.5%</w:t>
      </w:r>
      <w:r>
        <w:rPr>
          <w:rFonts w:ascii="Times New Roman" w:hAnsi="Times New Roman"/>
          <w:sz w:val="24"/>
        </w:rPr>
        <w:t xml:space="preserve"> of the portfolio. The logistic regression is worse: its no-information score of 0.0669 sits at the </w:t>
      </w:r>
      <w:r>
        <w:rPr>
          <w:rFonts w:ascii="Times New Roman" w:hAnsi="Times New Roman"/>
          <w:b/>
          <w:sz w:val="24"/>
        </w:rPr>
        <w:t>3.9th percentile</w:t>
      </w:r>
      <w:r>
        <w:rPr>
          <w:rFonts w:ascii="Times New Roman" w:hAnsi="Times New Roman"/>
          <w:sz w:val="24"/>
        </w:rPr>
        <w:t xml:space="preserve">, giving a crossover at </w:t>
      </w:r>
      <w:r>
        <w:rPr>
          <w:rFonts w:ascii="Times New Roman" w:hAnsi="Times New Roman"/>
          <w:b/>
          <w:sz w:val="24"/>
        </w:rPr>
        <w:t>96.1%</w:t>
      </w:r>
      <w:r>
        <w:rPr>
          <w:rFonts w:ascii="Times New Roman" w:hAnsi="Times New Roman"/>
          <w:sz w:val="24"/>
        </w:rPr>
        <w:t>.</w:t>
      </w:r>
    </w:p>
    <w:p>
      <w:pPr>
        <w:spacing w:line="360" w:lineRule="auto" w:after="120"/>
      </w:pPr>
      <w:r>
        <w:rPr>
          <w:rFonts w:ascii="Times New Roman" w:hAnsi="Times New Roman"/>
          <w:sz w:val="24"/>
        </w:rPr>
        <w:t>No lender declines nine applicants in ten. Within the entire range of policies a bank might actually operate, an applicant who answers nothing is approved.</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