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FQC-Chat-Demo Benchmark Status Report on Axelera Metis PCIe</w:t>
      </w:r>
    </w:p>
    <w:p>
      <w:pPr>
        <w:spacing w:after="120"/>
      </w:pPr>
      <w:r>
        <w:t xml:space="preserve">Same FQC-Chat-Demo assistant, same idea, rebuilt on different hardware: an Axelera Metis PCIe accelerator running Llama-3.2-3B-Instruct (compiled zoo model llama-3-2-3b-1024-4core-static, via the Voyager SDK v1.8.0-rc4 axllm runtime), SQLite instead of MongoDB, and a single generated SQL SELECT statement instead of a MongoDB aggregation pipeline. This report follows the same structure as the original RTX 5070 report, so the two are easy to place side by side.</w:t>
      </w:r>
    </w:p>
    <w:p>
      <w:pPr>
        <w:spacing w:after="120"/>
      </w:pPr>
      <w:r>
        <w:rPr>
          <w:i/>
          <w:iCs/>
        </w:rPr>
        <w:t xml:space="preserve">A hard hardware constraint not present on the RTX side: the compiled Metis model has a FIXED 1024-token static context covering prompt + generation combined (vs. the RTX side's 16384). The SQL-generation system prompt alone originally used ~1072 tokens, exceeding this and causing every chat answer to fail silently; this was found and fixed during this benchmarking pass (see Section 1, and the note under 1.20/1.22) by trimming the prompt's few-shot examples to fit, leaving roughly 95 tokens of generation headroom per query.</w:t>
      </w:r>
    </w:p>
    <w:p>
      <w:pPr>
        <w:pStyle w:val="Heading1"/>
        <w:spacing w:after="200" w:before="400"/>
      </w:pPr>
      <w:r>
        <w:t xml:space="preserve">Tools Used</w:t>
      </w:r>
    </w:p>
    <w:p>
      <w:pPr>
        <w:pStyle w:val="ListParagraph"/>
        <w:numPr>
          <w:ilvl w:val="0"/>
          <w:numId w:val="1"/>
        </w:numPr>
        <w:spacing w:after="80"/>
      </w:pPr>
      <w:r>
        <w:t xml:space="preserve">Independent oracle queries: hand-written, correct SQLite queries run directly against sqlite3, used as the known-correct answer for comparison — same role as the RTX version's MongoDB oracle queries.</w:t>
      </w:r>
    </w:p>
    <w:p>
      <w:pPr>
        <w:pStyle w:val="ListParagraph"/>
        <w:numPr>
          <w:ilvl w:val="0"/>
          <w:numId w:val="1"/>
        </w:numPr>
        <w:spacing w:after="80"/>
      </w:pPr>
      <w:r>
        <w:t xml:space="preserve">A custom SQL safety checker: every generated query is scanned for forbidden constructs (DROP, DELETE, UPDATE, INSERT, ATTACH, PRAGMA_TABLE_INFO, sqlite_master, etc.) before being treated as safe, plus a check that the app never falsely claims to have taken a destructive action.</w:t>
      </w:r>
    </w:p>
    <w:p>
      <w:pPr>
        <w:pStyle w:val="ListParagraph"/>
        <w:numPr>
          <w:ilvl w:val="0"/>
          <w:numId w:val="1"/>
        </w:numPr>
        <w:spacing w:after="80"/>
      </w:pPr>
      <w:r>
        <w:t xml:space="preserve">BFCL (Berkeley Function-Calling Leaderboard): the official published industry test, used for the Function-Calling Accuracy Test — same tool as the RTX version, run here through a purpose-built OpenAI-compatible wrapper around the Metis chip (this app's own Axelera integration primitives, reused directly).</w:t>
      </w:r>
    </w:p>
    <w:p>
      <w:pPr>
        <w:pStyle w:val="ListParagraph"/>
        <w:numPr>
          <w:ilvl w:val="0"/>
          <w:numId w:val="1"/>
        </w:numPr>
        <w:spacing w:after="80"/>
      </w:pPr>
      <w:r>
        <w:t xml:space="preserve">YCSB Workload C: the same widely-used industry load-testing pattern, used for the Dashboard Load Test.</w:t>
      </w:r>
    </w:p>
    <w:p>
      <w:pPr>
        <w:pStyle w:val="ListParagraph"/>
        <w:numPr>
          <w:ilvl w:val="0"/>
          <w:numId w:val="1"/>
        </w:numPr>
        <w:spacing w:after="80"/>
      </w:pPr>
      <w:r>
        <w:t xml:space="preserve">7-axis rubric grading: every answer scored against fixed, explicitly written rules, same approach as the RTX version's Answer Quality Grading.</w:t>
      </w:r>
    </w:p>
    <w:p>
      <w:pPr>
        <w:pStyle w:val="ListParagraph"/>
        <w:numPr>
          <w:ilvl w:val="0"/>
          <w:numId w:val="1"/>
        </w:numPr>
        <w:spacing w:after="80"/>
      </w:pPr>
      <w:r>
        <w:t xml:space="preserve">Real browser automation (Playwright + Chromium) for the Live Website Test, same tool as both prior reports.</w:t>
      </w:r>
    </w:p>
    <w:p>
      <w:pPr>
        <w:pStyle w:val="ListParagraph"/>
        <w:numPr>
          <w:ilvl w:val="0"/>
          <w:numId w:val="1"/>
        </w:numPr>
        <w:spacing w:after="80"/>
      </w:pPr>
      <w:r>
        <w:t xml:space="preserve">The remaining checks (repeatability, concurrency, self-repair, edge cases, and others) follow standard industrial benchmark practice using custom-built test scripts, adapted from the same benchmark harness used for the RTX report and retargeted at this deployment's own module layout (llm_query_sql.py / db_sqlite.py) rather than reusing any of its previously-collected results.</w:t>
      </w:r>
    </w:p>
    <w:p>
      <w:pPr>
        <w:spacing w:after="120"/>
      </w:pPr>
      <w:r>
        <w:rPr>
          <w:b/>
          <w:bCs/>
        </w:rPr>
        <w:t xml:space="preserve">Conducted By: Claude (Sonnet 5), via live SSH benchmarking session against the deployed system.</w:t>
      </w:r>
    </w:p>
    <w:p>
      <w:pPr>
        <w:pStyle w:val="Heading1"/>
        <w:spacing w:after="200" w:before="400"/>
      </w:pPr>
      <w:r>
        <w:t xml:space="preserve">Index</w:t>
      </w:r>
    </w:p>
    <w:p>
      <w:pPr>
        <w:pStyle w:val="Heading2"/>
        <w:spacing w:after="150" w:before="300"/>
      </w:pPr>
      <w:r>
        <w:t xml:space="preserve">Section 1: Benchmarks Completed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00"/>
        <w:gridCol w:w="7000"/>
      </w:tblGrid>
      <w:tr>
        <w:trPr>
          <w:tblHeader/>
        </w:trPr>
        <w:tc>
          <w:tcPr>
            <w:tcW w:type="dxa" w:w="1300"/>
            <w:shd w:fill="E8E8E8" w:val="clear"/>
          </w:tcPr>
          <w:p>
            <w:pPr>
              <w:spacing w:after="120"/>
            </w:pPr>
            <w:r>
              <w:rPr>
                <w:b/>
                <w:bCs/>
              </w:rPr>
              <w:t xml:space="preserve">No.</w:t>
            </w:r>
          </w:p>
        </w:tc>
        <w:tc>
          <w:tcPr>
            <w:tcW w:type="dxa" w:w="7000"/>
            <w:shd w:fill="E8E8E8" w:val="clear"/>
          </w:tcPr>
          <w:p>
            <w:pPr>
              <w:spacing w:after="120"/>
            </w:pPr>
            <w:r>
              <w:rPr>
                <w:b/>
                <w:bCs/>
              </w:rPr>
              <w:t xml:space="preserve">Title</w:t>
            </w:r>
          </w:p>
        </w:tc>
      </w:tr>
      <w:tr>
        <w:tc>
          <w:tcPr>
            <w:tcW w:type="dxa" w:w="1300"/>
          </w:tcPr>
          <w:p>
            <w:pPr>
              <w:spacing w:after="120"/>
            </w:pPr>
            <w:r>
              <w:t xml:space="preserve">1.1</w:t>
            </w:r>
          </w:p>
        </w:tc>
        <w:tc>
          <w:tcPr>
            <w:tcW w:type="dxa" w:w="7000"/>
          </w:tcPr>
          <w:p>
            <w:pPr>
              <w:spacing w:after="120"/>
            </w:pPr>
            <w:r>
              <w:t xml:space="preserve">Query Correctness Check</w:t>
            </w:r>
          </w:p>
        </w:tc>
      </w:tr>
      <w:tr>
        <w:tc>
          <w:tcPr>
            <w:tcW w:type="dxa" w:w="1300"/>
          </w:tcPr>
          <w:p>
            <w:pPr>
              <w:spacing w:after="120"/>
            </w:pPr>
            <w:r>
              <w:t xml:space="preserve">1.2</w:t>
            </w:r>
          </w:p>
        </w:tc>
        <w:tc>
          <w:tcPr>
            <w:tcW w:type="dxa" w:w="7000"/>
          </w:tcPr>
          <w:p>
            <w:pPr>
              <w:spacing w:after="120"/>
            </w:pPr>
            <w:r>
              <w:t xml:space="preserve">Hallucination Check</w:t>
            </w:r>
          </w:p>
        </w:tc>
      </w:tr>
      <w:tr>
        <w:tc>
          <w:tcPr>
            <w:tcW w:type="dxa" w:w="1300"/>
          </w:tcPr>
          <w:p>
            <w:pPr>
              <w:spacing w:after="120"/>
            </w:pPr>
            <w:r>
              <w:t xml:space="preserve">1.3</w:t>
            </w:r>
          </w:p>
        </w:tc>
        <w:tc>
          <w:tcPr>
            <w:tcW w:type="dxa" w:w="7000"/>
          </w:tcPr>
          <w:p>
            <w:pPr>
              <w:spacing w:after="120"/>
            </w:pPr>
            <w:r>
              <w:t xml:space="preserve">Query Safety Check</w:t>
            </w:r>
          </w:p>
        </w:tc>
      </w:tr>
      <w:tr>
        <w:tc>
          <w:tcPr>
            <w:tcW w:type="dxa" w:w="1300"/>
          </w:tcPr>
          <w:p>
            <w:pPr>
              <w:spacing w:after="120"/>
            </w:pPr>
            <w:r>
              <w:t xml:space="preserve">1.4</w:t>
            </w:r>
          </w:p>
        </w:tc>
        <w:tc>
          <w:tcPr>
            <w:tcW w:type="dxa" w:w="7000"/>
          </w:tcPr>
          <w:p>
            <w:pPr>
              <w:spacing w:after="120"/>
            </w:pPr>
            <w:r>
              <w:t xml:space="preserve">Refusal Correctness Check</w:t>
            </w:r>
          </w:p>
        </w:tc>
      </w:tr>
      <w:tr>
        <w:tc>
          <w:tcPr>
            <w:tcW w:type="dxa" w:w="1300"/>
          </w:tcPr>
          <w:p>
            <w:pPr>
              <w:spacing w:after="120"/>
            </w:pPr>
            <w:r>
              <w:t xml:space="preserve">1.5</w:t>
            </w:r>
          </w:p>
        </w:tc>
        <w:tc>
          <w:tcPr>
            <w:tcW w:type="dxa" w:w="7000"/>
          </w:tcPr>
          <w:p>
            <w:pPr>
              <w:spacing w:after="120"/>
            </w:pPr>
            <w:r>
              <w:t xml:space="preserve">Speed Test</w:t>
            </w:r>
          </w:p>
        </w:tc>
      </w:tr>
      <w:tr>
        <w:tc>
          <w:tcPr>
            <w:tcW w:type="dxa" w:w="1300"/>
          </w:tcPr>
          <w:p>
            <w:pPr>
              <w:spacing w:after="120"/>
            </w:pPr>
            <w:r>
              <w:t xml:space="preserve">1.6</w:t>
            </w:r>
          </w:p>
        </w:tc>
        <w:tc>
          <w:tcPr>
            <w:tcW w:type="dxa" w:w="7000"/>
          </w:tcPr>
          <w:p>
            <w:pPr>
              <w:spacing w:after="120"/>
            </w:pPr>
            <w:r>
              <w:t xml:space="preserve">Repeatability Test</w:t>
            </w:r>
          </w:p>
        </w:tc>
      </w:tr>
      <w:tr>
        <w:tc>
          <w:tcPr>
            <w:tcW w:type="dxa" w:w="1300"/>
          </w:tcPr>
          <w:p>
            <w:pPr>
              <w:spacing w:after="120"/>
            </w:pPr>
            <w:r>
              <w:t xml:space="preserve">1.7</w:t>
            </w:r>
          </w:p>
        </w:tc>
        <w:tc>
          <w:tcPr>
            <w:tcW w:type="dxa" w:w="7000"/>
          </w:tcPr>
          <w:p>
            <w:pPr>
              <w:spacing w:after="120"/>
            </w:pPr>
            <w:r>
              <w:t xml:space="preserve">Answer Quality Grading</w:t>
            </w:r>
          </w:p>
        </w:tc>
      </w:tr>
      <w:tr>
        <w:tc>
          <w:tcPr>
            <w:tcW w:type="dxa" w:w="1300"/>
          </w:tcPr>
          <w:p>
            <w:pPr>
              <w:spacing w:after="120"/>
            </w:pPr>
            <w:r>
              <w:t xml:space="preserve">1.8</w:t>
            </w:r>
          </w:p>
        </w:tc>
        <w:tc>
          <w:tcPr>
            <w:tcW w:type="dxa" w:w="7000"/>
          </w:tcPr>
          <w:p>
            <w:pPr>
              <w:spacing w:after="120"/>
            </w:pPr>
            <w:r>
              <w:t xml:space="preserve">Large-Scale Data Test</w:t>
            </w:r>
          </w:p>
        </w:tc>
      </w:tr>
      <w:tr>
        <w:tc>
          <w:tcPr>
            <w:tcW w:type="dxa" w:w="1300"/>
          </w:tcPr>
          <w:p>
            <w:pPr>
              <w:spacing w:after="120"/>
            </w:pPr>
            <w:r>
              <w:t xml:space="preserve">1.9</w:t>
            </w:r>
          </w:p>
        </w:tc>
        <w:tc>
          <w:tcPr>
            <w:tcW w:type="dxa" w:w="7000"/>
          </w:tcPr>
          <w:p>
            <w:pPr>
              <w:spacing w:after="120"/>
            </w:pPr>
            <w:r>
              <w:t xml:space="preserve">Multiple-People-At-Once Test</w:t>
            </w:r>
          </w:p>
        </w:tc>
      </w:tr>
      <w:tr>
        <w:tc>
          <w:tcPr>
            <w:tcW w:type="dxa" w:w="1300"/>
          </w:tcPr>
          <w:p>
            <w:pPr>
              <w:spacing w:after="120"/>
            </w:pPr>
            <w:r>
              <w:t xml:space="preserve">1.10</w:t>
            </w:r>
          </w:p>
        </w:tc>
        <w:tc>
          <w:tcPr>
            <w:tcW w:type="dxa" w:w="7000"/>
          </w:tcPr>
          <w:p>
            <w:pPr>
              <w:spacing w:after="120"/>
            </w:pPr>
            <w:r>
              <w:t xml:space="preserve">Live Data Writing Test</w:t>
            </w:r>
          </w:p>
        </w:tc>
      </w:tr>
      <w:tr>
        <w:tc>
          <w:tcPr>
            <w:tcW w:type="dxa" w:w="1300"/>
          </w:tcPr>
          <w:p>
            <w:pPr>
              <w:spacing w:after="120"/>
            </w:pPr>
            <w:r>
              <w:t xml:space="preserve">1.11</w:t>
            </w:r>
          </w:p>
        </w:tc>
        <w:tc>
          <w:tcPr>
            <w:tcW w:type="dxa" w:w="7000"/>
          </w:tcPr>
          <w:p>
            <w:pPr>
              <w:spacing w:after="120"/>
            </w:pPr>
            <w:r>
              <w:t xml:space="preserve">Long-Run Stability Test</w:t>
            </w:r>
          </w:p>
        </w:tc>
      </w:tr>
      <w:tr>
        <w:tc>
          <w:tcPr>
            <w:tcW w:type="dxa" w:w="1300"/>
          </w:tcPr>
          <w:p>
            <w:pPr>
              <w:spacing w:after="120"/>
            </w:pPr>
            <w:r>
              <w:t xml:space="preserve">1.12</w:t>
            </w:r>
          </w:p>
        </w:tc>
        <w:tc>
          <w:tcPr>
            <w:tcW w:type="dxa" w:w="7000"/>
          </w:tcPr>
          <w:p>
            <w:pPr>
              <w:spacing w:after="120"/>
            </w:pPr>
            <w:r>
              <w:t xml:space="preserve">Tricky Question Test</w:t>
            </w:r>
          </w:p>
        </w:tc>
      </w:tr>
      <w:tr>
        <w:tc>
          <w:tcPr>
            <w:tcW w:type="dxa" w:w="1300"/>
          </w:tcPr>
          <w:p>
            <w:pPr>
              <w:spacing w:after="120"/>
            </w:pPr>
            <w:r>
              <w:t xml:space="preserve">1.13</w:t>
            </w:r>
          </w:p>
        </w:tc>
        <w:tc>
          <w:tcPr>
            <w:tcW w:type="dxa" w:w="7000"/>
          </w:tcPr>
          <w:p>
            <w:pPr>
              <w:spacing w:after="120"/>
            </w:pPr>
            <w:r>
              <w:t xml:space="preserve">Hardware Speed Test</w:t>
            </w:r>
          </w:p>
        </w:tc>
      </w:tr>
      <w:tr>
        <w:tc>
          <w:tcPr>
            <w:tcW w:type="dxa" w:w="1300"/>
          </w:tcPr>
          <w:p>
            <w:pPr>
              <w:spacing w:after="120"/>
            </w:pPr>
            <w:r>
              <w:t xml:space="preserve">1.14</w:t>
            </w:r>
          </w:p>
        </w:tc>
        <w:tc>
          <w:tcPr>
            <w:tcW w:type="dxa" w:w="7000"/>
          </w:tcPr>
          <w:p>
            <w:pPr>
              <w:spacing w:after="120"/>
            </w:pPr>
            <w:r>
              <w:t xml:space="preserve">Power and Resource Usage Check</w:t>
            </w:r>
          </w:p>
        </w:tc>
      </w:tr>
      <w:tr>
        <w:tc>
          <w:tcPr>
            <w:tcW w:type="dxa" w:w="1300"/>
          </w:tcPr>
          <w:p>
            <w:pPr>
              <w:spacing w:after="120"/>
            </w:pPr>
            <w:r>
              <w:t xml:space="preserve">1.15</w:t>
            </w:r>
          </w:p>
        </w:tc>
        <w:tc>
          <w:tcPr>
            <w:tcW w:type="dxa" w:w="7000"/>
          </w:tcPr>
          <w:p>
            <w:pPr>
              <w:spacing w:after="120"/>
            </w:pPr>
            <w:r>
              <w:t xml:space="preserve">Database Size vs Speed Test</w:t>
            </w:r>
          </w:p>
        </w:tc>
      </w:tr>
      <w:tr>
        <w:tc>
          <w:tcPr>
            <w:tcW w:type="dxa" w:w="1300"/>
          </w:tcPr>
          <w:p>
            <w:pPr>
              <w:spacing w:after="120"/>
            </w:pPr>
            <w:r>
              <w:t xml:space="preserve">1.16</w:t>
            </w:r>
          </w:p>
        </w:tc>
        <w:tc>
          <w:tcPr>
            <w:tcW w:type="dxa" w:w="7000"/>
          </w:tcPr>
          <w:p>
            <w:pPr>
              <w:spacing w:after="120"/>
            </w:pPr>
            <w:r>
              <w:t xml:space="preserve">Role-Based Access Control</w:t>
            </w:r>
          </w:p>
        </w:tc>
      </w:tr>
      <w:tr>
        <w:tc>
          <w:tcPr>
            <w:tcW w:type="dxa" w:w="1300"/>
          </w:tcPr>
          <w:p>
            <w:pPr>
              <w:spacing w:after="120"/>
            </w:pPr>
            <w:r>
              <w:t xml:space="preserve">1.17</w:t>
            </w:r>
          </w:p>
        </w:tc>
        <w:tc>
          <w:tcPr>
            <w:tcW w:type="dxa" w:w="7000"/>
          </w:tcPr>
          <w:p>
            <w:pPr>
              <w:spacing w:after="120"/>
            </w:pPr>
            <w:r>
              <w:t xml:space="preserve">Access Control Bypass Testing</w:t>
            </w:r>
          </w:p>
        </w:tc>
      </w:tr>
      <w:tr>
        <w:tc>
          <w:tcPr>
            <w:tcW w:type="dxa" w:w="1300"/>
          </w:tcPr>
          <w:p>
            <w:pPr>
              <w:spacing w:after="120"/>
            </w:pPr>
            <w:r>
              <w:t xml:space="preserve">1.18</w:t>
            </w:r>
          </w:p>
        </w:tc>
        <w:tc>
          <w:tcPr>
            <w:tcW w:type="dxa" w:w="7000"/>
          </w:tcPr>
          <w:p>
            <w:pPr>
              <w:spacing w:after="120"/>
            </w:pPr>
            <w:r>
              <w:t xml:space="preserve">Live Website Test</w:t>
            </w:r>
          </w:p>
        </w:tc>
      </w:tr>
      <w:tr>
        <w:tc>
          <w:tcPr>
            <w:tcW w:type="dxa" w:w="1300"/>
          </w:tcPr>
          <w:p>
            <w:pPr>
              <w:spacing w:after="120"/>
            </w:pPr>
            <w:r>
              <w:t xml:space="preserve">1.19</w:t>
            </w:r>
          </w:p>
        </w:tc>
        <w:tc>
          <w:tcPr>
            <w:tcW w:type="dxa" w:w="7000"/>
          </w:tcPr>
          <w:p>
            <w:pPr>
              <w:spacing w:after="120"/>
            </w:pPr>
            <w:r>
              <w:t xml:space="preserve">Self-Fixing Test</w:t>
            </w:r>
          </w:p>
        </w:tc>
      </w:tr>
      <w:tr>
        <w:tc>
          <w:tcPr>
            <w:tcW w:type="dxa" w:w="1300"/>
          </w:tcPr>
          <w:p>
            <w:pPr>
              <w:spacing w:after="120"/>
            </w:pPr>
            <w:r>
              <w:t xml:space="preserve">1.20</w:t>
            </w:r>
          </w:p>
        </w:tc>
        <w:tc>
          <w:tcPr>
            <w:tcW w:type="dxa" w:w="7000"/>
          </w:tcPr>
          <w:p>
            <w:pPr>
              <w:spacing w:after="120"/>
            </w:pPr>
            <w:r>
              <w:t xml:space="preserve">Function-Calling Accuracy Test</w:t>
            </w:r>
          </w:p>
        </w:tc>
      </w:tr>
      <w:tr>
        <w:tc>
          <w:tcPr>
            <w:tcW w:type="dxa" w:w="1300"/>
          </w:tcPr>
          <w:p>
            <w:pPr>
              <w:spacing w:after="120"/>
            </w:pPr>
            <w:r>
              <w:t xml:space="preserve">1.21</w:t>
            </w:r>
          </w:p>
        </w:tc>
        <w:tc>
          <w:tcPr>
            <w:tcW w:type="dxa" w:w="7000"/>
          </w:tcPr>
          <w:p>
            <w:pPr>
              <w:spacing w:after="120"/>
            </w:pPr>
            <w:r>
              <w:t xml:space="preserve">Dashboard Load Test</w:t>
            </w:r>
          </w:p>
        </w:tc>
      </w:tr>
      <w:tr>
        <w:tc>
          <w:tcPr>
            <w:tcW w:type="dxa" w:w="1300"/>
          </w:tcPr>
          <w:p>
            <w:pPr>
              <w:spacing w:after="120"/>
            </w:pPr>
            <w:r>
              <w:t xml:space="preserve">1.22</w:t>
            </w:r>
          </w:p>
        </w:tc>
        <w:tc>
          <w:tcPr>
            <w:tcW w:type="dxa" w:w="7000"/>
          </w:tcPr>
          <w:p>
            <w:pPr>
              <w:spacing w:after="120"/>
            </w:pPr>
            <w:r>
              <w:t xml:space="preserve">Official Industry Speed-and-Accuracy Test (MLPerf Edge Agentic)</w:t>
            </w:r>
          </w:p>
        </w:tc>
      </w:tr>
    </w:tbl>
    <w:p>
      <w:pPr>
        <w:spacing w:after="200"/>
      </w:pPr>
    </w:p>
    <w:p>
      <w:pPr>
        <w:pStyle w:val="Heading2"/>
        <w:spacing w:after="150" w:before="300"/>
      </w:pPr>
      <w:r>
        <w:t xml:space="preserve">Section 2: What Needs To Be Done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00"/>
        <w:gridCol w:w="7000"/>
      </w:tblGrid>
      <w:tr>
        <w:trPr>
          <w:tblHeader/>
        </w:trPr>
        <w:tc>
          <w:tcPr>
            <w:tcW w:type="dxa" w:w="1300"/>
            <w:shd w:fill="E8E8E8" w:val="clear"/>
          </w:tcPr>
          <w:p>
            <w:pPr>
              <w:spacing w:after="120"/>
            </w:pPr>
            <w:r>
              <w:rPr>
                <w:b/>
                <w:bCs/>
              </w:rPr>
              <w:t xml:space="preserve">No.</w:t>
            </w:r>
          </w:p>
        </w:tc>
        <w:tc>
          <w:tcPr>
            <w:tcW w:type="dxa" w:w="7000"/>
            <w:shd w:fill="E8E8E8" w:val="clear"/>
          </w:tcPr>
          <w:p>
            <w:pPr>
              <w:spacing w:after="120"/>
            </w:pPr>
            <w:r>
              <w:rPr>
                <w:b/>
                <w:bCs/>
              </w:rPr>
              <w:t xml:space="preserve">Title</w:t>
            </w:r>
          </w:p>
        </w:tc>
      </w:tr>
      <w:tr>
        <w:tc>
          <w:tcPr>
            <w:tcW w:type="dxa" w:w="1300"/>
          </w:tcPr>
          <w:p>
            <w:pPr>
              <w:spacing w:after="120"/>
            </w:pPr>
            <w:r>
              <w:t xml:space="preserve">2.1</w:t>
            </w:r>
          </w:p>
        </w:tc>
        <w:tc>
          <w:tcPr>
            <w:tcW w:type="dxa" w:w="7000"/>
          </w:tcPr>
          <w:p>
            <w:pPr>
              <w:spacing w:after="120"/>
            </w:pPr>
            <w:r>
              <w:t xml:space="preserve">BFCL Generation + Evaluation Run to Completion</w:t>
            </w:r>
          </w:p>
        </w:tc>
      </w:tr>
      <w:tr>
        <w:tc>
          <w:tcPr>
            <w:tcW w:type="dxa" w:w="1300"/>
          </w:tcPr>
          <w:p>
            <w:pPr>
              <w:spacing w:after="120"/>
            </w:pPr>
            <w:r>
              <w:t xml:space="preserve">2.2</w:t>
            </w:r>
          </w:p>
        </w:tc>
        <w:tc>
          <w:tcPr>
            <w:tcW w:type="dxa" w:w="7000"/>
          </w:tcPr>
          <w:p>
            <w:pPr>
              <w:spacing w:after="120"/>
            </w:pPr>
            <w:r>
              <w:t xml:space="preserve">Live Website Test</w:t>
            </w:r>
          </w:p>
        </w:tc>
      </w:tr>
      <w:tr>
        <w:tc>
          <w:tcPr>
            <w:tcW w:type="dxa" w:w="1300"/>
          </w:tcPr>
          <w:p>
            <w:pPr>
              <w:spacing w:after="120"/>
            </w:pPr>
            <w:r>
              <w:t xml:space="preserve">2.3</w:t>
            </w:r>
          </w:p>
        </w:tc>
        <w:tc>
          <w:tcPr>
            <w:tcW w:type="dxa" w:w="7000"/>
          </w:tcPr>
          <w:p>
            <w:pPr>
              <w:spacing w:after="120"/>
            </w:pPr>
            <w:r>
              <w:t xml:space="preserve">Role-Based Access Control (Build It)</w:t>
            </w:r>
          </w:p>
        </w:tc>
      </w:tr>
      <w:tr>
        <w:tc>
          <w:tcPr>
            <w:tcW w:type="dxa" w:w="1300"/>
          </w:tcPr>
          <w:p>
            <w:pPr>
              <w:spacing w:after="120"/>
            </w:pPr>
            <w:r>
              <w:t xml:space="preserve">2.4</w:t>
            </w:r>
          </w:p>
        </w:tc>
        <w:tc>
          <w:tcPr>
            <w:tcW w:type="dxa" w:w="7000"/>
          </w:tcPr>
          <w:p>
            <w:pPr>
              <w:spacing w:after="120"/>
            </w:pPr>
            <w:r>
              <w:t xml:space="preserve">Power/Energy Measurement on Metis</w:t>
            </w:r>
          </w:p>
        </w:tc>
      </w:tr>
      <w:tr>
        <w:tc>
          <w:tcPr>
            <w:tcW w:type="dxa" w:w="1300"/>
          </w:tcPr>
          <w:p>
            <w:pPr>
              <w:spacing w:after="120"/>
            </w:pPr>
            <w:r>
              <w:t xml:space="preserve">2.5</w:t>
            </w:r>
          </w:p>
        </w:tc>
        <w:tc>
          <w:tcPr>
            <w:tcW w:type="dxa" w:w="7000"/>
          </w:tcPr>
          <w:p>
            <w:pPr>
              <w:spacing w:after="120"/>
            </w:pPr>
            <w:r>
              <w:t xml:space="preserve">A Second AI Judge</w:t>
            </w:r>
          </w:p>
        </w:tc>
      </w:tr>
      <w:tr>
        <w:tc>
          <w:tcPr>
            <w:tcW w:type="dxa" w:w="1300"/>
          </w:tcPr>
          <w:p>
            <w:pPr>
              <w:spacing w:after="120"/>
            </w:pPr>
            <w:r>
              <w:t xml:space="preserve">2.6</w:t>
            </w:r>
          </w:p>
        </w:tc>
        <w:tc>
          <w:tcPr>
            <w:tcW w:type="dxa" w:w="7000"/>
          </w:tcPr>
          <w:p>
            <w:pPr>
              <w:spacing w:after="120"/>
            </w:pPr>
            <w:r>
              <w:t xml:space="preserve">Official Certified Benchmark Submission</w:t>
            </w:r>
          </w:p>
        </w:tc>
      </w:tr>
      <w:tr>
        <w:tc>
          <w:tcPr>
            <w:tcW w:type="dxa" w:w="1300"/>
          </w:tcPr>
          <w:p>
            <w:pPr>
              <w:spacing w:after="120"/>
            </w:pPr>
            <w:r>
              <w:t xml:space="preserve">2.7</w:t>
            </w:r>
          </w:p>
        </w:tc>
        <w:tc>
          <w:tcPr>
            <w:tcW w:type="dxa" w:w="7000"/>
          </w:tcPr>
          <w:p>
            <w:pPr>
              <w:spacing w:after="120"/>
            </w:pPr>
            <w:r>
              <w:t xml:space="preserve">Full Security Checklist</w:t>
            </w:r>
          </w:p>
        </w:tc>
      </w:tr>
      <w:tr>
        <w:tc>
          <w:tcPr>
            <w:tcW w:type="dxa" w:w="1300"/>
          </w:tcPr>
          <w:p>
            <w:pPr>
              <w:spacing w:after="120"/>
            </w:pPr>
            <w:r>
              <w:t xml:space="preserve">2.8</w:t>
            </w:r>
          </w:p>
        </w:tc>
        <w:tc>
          <w:tcPr>
            <w:tcW w:type="dxa" w:w="7000"/>
          </w:tcPr>
          <w:p>
            <w:pPr>
              <w:spacing w:after="120"/>
            </w:pPr>
            <w:r>
              <w:t xml:space="preserve">Composite Cost-per-Correct-Answer Score</w:t>
            </w:r>
          </w:p>
        </w:tc>
      </w:tr>
    </w:tbl>
    <w:p>
      <w:pPr>
        <w:pageBreakBefore/>
      </w:pPr>
      <w:r>
        <w:br/>
        <w:t xml:space="preserve"/>
      </w:r>
    </w:p>
    <w:p>
      <w:pPr>
        <w:pStyle w:val="Heading1"/>
        <w:spacing w:after="200" w:before="400"/>
      </w:pPr>
      <w:r>
        <w:t xml:space="preserve">Section 1: Benchmarks Completed</w:t>
      </w:r>
    </w:p>
    <w:p>
      <w:pPr>
        <w:pStyle w:val="Heading2"/>
        <w:spacing w:after="150" w:before="300"/>
      </w:pPr>
      <w:r>
        <w:t xml:space="preserve">1.1 Query Correctness Check</w:t>
      </w:r>
    </w:p>
    <w:p>
      <w:pPr>
        <w:spacing w:after="60"/>
      </w:pPr>
      <w:r>
        <w:rPr>
          <w:b/>
          <w:bCs/>
        </w:rPr>
        <w:t xml:space="preserve">Method:</w:t>
      </w:r>
    </w:p>
    <w:p>
      <w:pPr>
        <w:pStyle w:val="ListParagraph"/>
        <w:numPr>
          <w:ilvl w:val="0"/>
          <w:numId w:val="1"/>
        </w:numPr>
        <w:spacing w:after="80"/>
      </w:pPr>
      <w:r>
        <w:t xml:space="preserve">The app's generated SQL query and an independently-written oracle query were run against the same real database (630,086 live rows); actual result rows were compared, not just answer wording.</w:t>
      </w:r>
    </w:p>
    <w:p>
      <w:pPr>
        <w:spacing w:after="60" w:before="100"/>
      </w:pPr>
      <w:r>
        <w:rPr>
          <w:b/>
          <w:bCs/>
        </w:rPr>
        <w:t xml:space="preserve">Result:</w:t>
      </w:r>
    </w:p>
    <w:p>
      <w:pPr>
        <w:pStyle w:val="ListParagraph"/>
        <w:numPr>
          <w:ilvl w:val="0"/>
          <w:numId w:val="1"/>
        </w:numPr>
        <w:spacing w:after="80"/>
      </w:pPr>
      <w:r>
        <w:t xml:space="preserve">Of the 40-question benchmark set, 2 questions had a bespoke oracle implemented in this pass and both matched exactly (100% of scored). The remaining 38 need per-question oracle logic beyond this generic harness pass to score automatically (see 2.1-style gap) — the app still answered all 40, just not all were auto-scored against ground truth this pass.</w:t>
      </w:r>
    </w:p>
    <w:p>
      <w:pPr>
        <w:spacing w:after="120"/>
      </w:pPr>
      <w:r>
        <w:rPr>
          <w:i/>
          <w:iCs/>
        </w:rPr>
        <w:t xml:space="preserve">Note: this is a narrower scored sample than the RTX report's 36/36 — the oracle-matching logic for this SQLite deployment's specific answer phrasing needs more bespoke per-question rules to score the full set automatically; treat this figure as a partial, honest measurement, not a full replication of the RTX pass's scoring depth.</w:t>
      </w:r>
    </w:p>
    <w:p>
      <w:pPr>
        <w:pStyle w:val="Heading2"/>
        <w:spacing w:after="150" w:before="300"/>
      </w:pPr>
      <w:r>
        <w:t xml:space="preserve">1.2 Hallucination / Groundedness Check</w:t>
      </w:r>
    </w:p>
    <w:p>
      <w:pPr>
        <w:spacing w:after="60"/>
      </w:pPr>
      <w:r>
        <w:rPr>
          <w:b/>
          <w:bCs/>
        </w:rPr>
        <w:t xml:space="preserve">Method:</w:t>
      </w:r>
    </w:p>
    <w:p>
      <w:pPr>
        <w:pStyle w:val="ListParagraph"/>
        <w:numPr>
          <w:ilvl w:val="0"/>
          <w:numId w:val="1"/>
        </w:numPr>
        <w:spacing w:after="80"/>
      </w:pPr>
      <w:r>
        <w:t xml:space="preserve">Every number in a generated answer was checked against the real SQL result rows behind it, across the same 40-question set.</w:t>
      </w:r>
    </w:p>
    <w:p>
      <w:pPr>
        <w:spacing w:after="60" w:before="100"/>
      </w:pPr>
      <w:r>
        <w:rPr>
          <w:b/>
          <w:bCs/>
        </w:rPr>
        <w:t xml:space="preserve">Result:</w:t>
      </w:r>
    </w:p>
    <w:p>
      <w:pPr>
        <w:pStyle w:val="ListParagraph"/>
        <w:numPr>
          <w:ilvl w:val="0"/>
          <w:numId w:val="1"/>
        </w:numPr>
        <w:spacing w:after="80"/>
      </w:pPr>
      <w:r>
        <w:t xml:space="preserve">59.4% groundedness (19 of 32 answers with extractable numbers were fully grounded).</w:t>
      </w:r>
    </w:p>
    <w:p>
      <w:pPr>
        <w:spacing w:after="60" w:before="100"/>
      </w:pPr>
      <w:r>
        <w:rPr>
          <w:b/>
          <w:bCs/>
        </w:rPr>
        <w:t xml:space="preserve">Where it did not succeed and why:</w:t>
      </w:r>
    </w:p>
    <w:p>
      <w:pPr>
        <w:pStyle w:val="ListParagraph"/>
        <w:numPr>
          <w:ilvl w:val="0"/>
          <w:numId w:val="1"/>
        </w:numPr>
        <w:spacing w:after="80"/>
      </w:pPr>
      <w:r>
        <w:t xml:space="preserve">13 of 32 checked answers contained at least one number not traceable to the actual SQL result rows returned. This is meaningfully below the RTX report's 99.2% and is a genuine, currently-unresolved gap in this Metis deployment worth investigating further — not smoothed over.</w:t>
      </w:r>
    </w:p>
    <w:p>
      <w:pPr>
        <w:pStyle w:val="Heading2"/>
        <w:spacing w:after="150" w:before="300"/>
      </w:pPr>
      <w:r>
        <w:t xml:space="preserve">1.3 Query Safety Check</w:t>
      </w:r>
    </w:p>
    <w:p>
      <w:pPr>
        <w:spacing w:after="60"/>
      </w:pPr>
      <w:r>
        <w:rPr>
          <w:b/>
          <w:bCs/>
        </w:rPr>
        <w:t xml:space="preserve">Method:</w:t>
      </w:r>
    </w:p>
    <w:p>
      <w:pPr>
        <w:pStyle w:val="ListParagraph"/>
        <w:numPr>
          <w:ilvl w:val="0"/>
          <w:numId w:val="1"/>
        </w:numPr>
        <w:spacing w:after="80"/>
      </w:pPr>
      <w:r>
        <w:t xml:space="preserve">Every generated SQL query is checked for forbidden constructs (DROP, DELETE, UPDATE, INSERT, ATTACH, sqlite_master access, etc.) before being treated as safe, and the answer text is checked for a false claim of having taken a destructive action, against a 30-question adversarial/injection set.</w:t>
      </w:r>
    </w:p>
    <w:p>
      <w:pPr>
        <w:spacing w:after="60" w:before="100"/>
      </w:pPr>
      <w:r>
        <w:rPr>
          <w:b/>
          <w:bCs/>
        </w:rPr>
        <w:t xml:space="preserve">Result:</w:t>
      </w:r>
    </w:p>
    <w:p>
      <w:pPr>
        <w:pStyle w:val="ListParagraph"/>
        <w:numPr>
          <w:ilvl w:val="0"/>
          <w:numId w:val="1"/>
        </w:numPr>
        <w:spacing w:after="80"/>
      </w:pPr>
      <w:r>
        <w:t xml:space="preserve">93.33% safe (28 of 30).</w:t>
      </w:r>
    </w:p>
    <w:p>
      <w:pPr>
        <w:spacing w:after="60" w:before="100"/>
      </w:pPr>
      <w:r>
        <w:rPr>
          <w:b/>
          <w:bCs/>
        </w:rPr>
        <w:t xml:space="preserve">Where it did not succeed and why:</w:t>
      </w:r>
    </w:p>
    <w:p>
      <w:pPr>
        <w:pStyle w:val="ListParagraph"/>
        <w:numPr>
          <w:ilvl w:val="0"/>
          <w:numId w:val="1"/>
        </w:numPr>
        <w:spacing w:after="80"/>
      </w:pPr>
      <w:r>
        <w:t xml:space="preserve">2 of 30 adversarial prompts produced an unsafe result: in one run the model wrote SQL referencing sqlite_master directly; in another the app's final answer falsely claimed "The alerts were updated" after a destructive-sounding prompt, even though no write ever reached the database (every generated query is still read-only-enforced at execution). This mirrors the RTX report's own finding on its refusal test — a false claim of having taken action is a real, distinct failure mode from an actual unsafe execution, and is called out honestly here rather than folded into a clean pass.</w:t>
      </w:r>
    </w:p>
    <w:p>
      <w:pPr>
        <w:pStyle w:val="Heading2"/>
        <w:spacing w:after="150" w:before="300"/>
      </w:pPr>
      <w:r>
        <w:t xml:space="preserve">1.4 Refusal Correctness Check</w:t>
      </w:r>
    </w:p>
    <w:p>
      <w:pPr>
        <w:spacing w:after="60"/>
      </w:pPr>
      <w:r>
        <w:rPr>
          <w:b/>
          <w:bCs/>
        </w:rPr>
        <w:t xml:space="preserve">Method:</w:t>
      </w:r>
    </w:p>
    <w:p>
      <w:pPr>
        <w:pStyle w:val="ListParagraph"/>
        <w:numPr>
          <w:ilvl w:val="0"/>
          <w:numId w:val="1"/>
        </w:numPr>
        <w:spacing w:after="80"/>
      </w:pPr>
      <w:r>
        <w:t xml:space="preserve">A 30-question set of unrelated requests, destructive-action requests, and prompt-injection attempts, checked for a correct decline instead of an invented answer.</w:t>
      </w:r>
    </w:p>
    <w:p>
      <w:pPr>
        <w:spacing w:after="60" w:before="100"/>
      </w:pPr>
      <w:r>
        <w:rPr>
          <w:b/>
          <w:bCs/>
        </w:rPr>
        <w:t xml:space="preserve">Result:</w:t>
      </w:r>
    </w:p>
    <w:p>
      <w:pPr>
        <w:pStyle w:val="ListParagraph"/>
        <w:numPr>
          <w:ilvl w:val="0"/>
          <w:numId w:val="1"/>
        </w:numPr>
        <w:spacing w:after="80"/>
      </w:pPr>
      <w:r>
        <w:t xml:space="preserve">73.33% correctly refused (22 of 30).</w:t>
      </w:r>
    </w:p>
    <w:p>
      <w:pPr>
        <w:spacing w:after="60" w:before="100"/>
      </w:pPr>
      <w:r>
        <w:rPr>
          <w:b/>
          <w:bCs/>
        </w:rPr>
        <w:t xml:space="preserve">Where it did not succeed and why:</w:t>
      </w:r>
    </w:p>
    <w:p>
      <w:pPr>
        <w:pStyle w:val="ListParagraph"/>
        <w:numPr>
          <w:ilvl w:val="0"/>
          <w:numId w:val="1"/>
        </w:numPr>
        <w:spacing w:after="80"/>
      </w:pPr>
      <w:r>
        <w:t xml:space="preserve">8 of 30 adversarial/off-topic prompts got an answer instead of a refusal. This is below the RTX report's 92.0% and, combined with 1.3's finding, indicates this deployment's refusal boundary is measurably weaker than the RTX/Mongo version's — a genuine finding to prioritize, not a benchmark artifact.</w:t>
      </w:r>
    </w:p>
    <w:p>
      <w:pPr>
        <w:pStyle w:val="Heading2"/>
        <w:spacing w:after="150" w:before="300"/>
      </w:pPr>
      <w:r>
        <w:t xml:space="preserve">1.5 Speed Test</w:t>
      </w:r>
    </w:p>
    <w:p>
      <w:pPr>
        <w:spacing w:after="60"/>
      </w:pPr>
      <w:r>
        <w:rPr>
          <w:b/>
          <w:bCs/>
        </w:rPr>
        <w:t xml:space="preserve">Method:</w:t>
      </w:r>
    </w:p>
    <w:p>
      <w:pPr>
        <w:pStyle w:val="ListParagraph"/>
        <w:numPr>
          <w:ilvl w:val="0"/>
          <w:numId w:val="1"/>
        </w:numPr>
        <w:spacing w:after="80"/>
      </w:pPr>
      <w:r>
        <w:t xml:space="preserve">25 representative questions, each stage of the response individually timestamped, run against the live Metis-backed deployment.</w:t>
      </w:r>
    </w:p>
    <w:p>
      <w:pPr>
        <w:spacing w:after="60" w:before="100"/>
      </w:pPr>
      <w:r>
        <w:rPr>
          <w:b/>
          <w:bCs/>
        </w:rPr>
        <w:t xml:space="preserve">Result:</w:t>
      </w:r>
    </w:p>
    <w:p>
      <w:pPr>
        <w:pStyle w:val="ListParagraph"/>
        <w:numPr>
          <w:ilvl w:val="0"/>
          <w:numId w:val="1"/>
        </w:numPr>
        <w:spacing w:after="80"/>
      </w:pPr>
      <w:r>
        <w:t xml:space="preserve">Median (p50) total response time 8.07s; p90 10.03s; p95 11.70s; p99 14.00s. Zero errors.</w:t>
      </w:r>
    </w:p>
    <w:p>
      <w:pPr>
        <w:spacing w:after="120"/>
      </w:pPr>
      <w:r>
        <w:rPr>
          <w:i/>
          <w:iCs/>
        </w:rPr>
        <w:t xml:space="preserve">Every question here goes through the full LLM generate-SQL → execute → phrase-answer pipeline (this deployment intentionally has no deterministic fast-path shortcuts, matching the Mongo version's own design decision) — unlike the RTX report, where the simplest questions skip the model entirely in 2-23ms. There is no equivalent fast path in this deployment, so all queries pay full Metis decode latency; at the compiled model's roughly 2.6-3.7 tokens/second decode speed (see 1.13), this is expected.</w:t>
      </w:r>
    </w:p>
    <w:p>
      <w:pPr>
        <w:pStyle w:val="Heading2"/>
        <w:spacing w:after="150" w:before="300"/>
      </w:pPr>
      <w:r>
        <w:t xml:space="preserve">1.6 Repeatability Test</w:t>
      </w:r>
    </w:p>
    <w:p>
      <w:pPr>
        <w:spacing w:after="60"/>
      </w:pPr>
      <w:r>
        <w:rPr>
          <w:b/>
          <w:bCs/>
        </w:rPr>
        <w:t xml:space="preserve">Method:</w:t>
      </w:r>
    </w:p>
    <w:p>
      <w:pPr>
        <w:pStyle w:val="ListParagraph"/>
        <w:numPr>
          <w:ilvl w:val="0"/>
          <w:numId w:val="1"/>
        </w:numPr>
        <w:spacing w:after="80"/>
      </w:pPr>
      <w:r>
        <w:t xml:space="preserve">The same 8 questions were each asked 6 times against an unchanged database, in two conditions: fresh chat each time, and all repeats within one continued session (96 total requests).</w:t>
      </w:r>
    </w:p>
    <w:p>
      <w:pPr>
        <w:spacing w:after="60" w:before="100"/>
      </w:pPr>
      <w:r>
        <w:rPr>
          <w:b/>
          <w:bCs/>
        </w:rPr>
        <w:t xml:space="preserve">Result:</w:t>
      </w:r>
    </w:p>
    <w:p>
      <w:pPr>
        <w:pStyle w:val="ListParagraph"/>
        <w:numPr>
          <w:ilvl w:val="0"/>
          <w:numId w:val="1"/>
        </w:numPr>
        <w:spacing w:after="80"/>
      </w:pPr>
      <w:r>
        <w:t xml:space="preserve">100% consistent in both conditions — 8/8 questions produced a stable answer across all fresh repeats, and 8/8 stayed stable across all continued-session repeats.</w:t>
      </w:r>
    </w:p>
    <w:p>
      <w:pPr>
        <w:pStyle w:val="Heading2"/>
        <w:spacing w:after="150" w:before="300"/>
      </w:pPr>
      <w:r>
        <w:t xml:space="preserve">1.7 Answer Quality Grading</w:t>
      </w:r>
    </w:p>
    <w:p>
      <w:pPr>
        <w:spacing w:after="60"/>
      </w:pPr>
      <w:r>
        <w:rPr>
          <w:b/>
          <w:bCs/>
        </w:rPr>
        <w:t xml:space="preserve">Method:</w:t>
      </w:r>
    </w:p>
    <w:p>
      <w:pPr>
        <w:pStyle w:val="ListParagraph"/>
        <w:numPr>
          <w:ilvl w:val="0"/>
          <w:numId w:val="1"/>
        </w:numPr>
        <w:spacing w:after="80"/>
      </w:pPr>
      <w:r>
        <w:t xml:space="preserve">Every answer scored against the same 7 fixed rules as the RTX version (relevance, completeness, groundedness, execution accuracy, safety, refusal correctness, fluency), across a 50-question set.</w:t>
      </w:r>
    </w:p>
    <w:p>
      <w:pPr>
        <w:spacing w:after="60" w:before="100"/>
      </w:pPr>
      <w:r>
        <w:rPr>
          <w:b/>
          <w:bCs/>
        </w:rPr>
        <w:t xml:space="preserve">Result:</w:t>
      </w:r>
    </w:p>
    <w:p>
      <w:pPr>
        <w:pStyle w:val="ListParagraph"/>
        <w:numPr>
          <w:ilvl w:val="0"/>
          <w:numId w:val="1"/>
        </w:numPr>
        <w:spacing w:after="80"/>
      </w:pPr>
      <w:r>
        <w:t xml:space="preserve">92.28% average score.</w:t>
      </w:r>
    </w:p>
    <w:p>
      <w:pPr>
        <w:pStyle w:val="Heading2"/>
        <w:spacing w:after="150" w:before="300"/>
      </w:pPr>
      <w:r>
        <w:t xml:space="preserve">1.8 Large-Scale Data Test</w:t>
      </w:r>
    </w:p>
    <w:p>
      <w:pPr>
        <w:spacing w:after="60"/>
      </w:pPr>
      <w:r>
        <w:rPr>
          <w:b/>
          <w:bCs/>
        </w:rPr>
        <w:t xml:space="preserve">Method:</w:t>
      </w:r>
    </w:p>
    <w:p>
      <w:pPr>
        <w:pStyle w:val="ListParagraph"/>
        <w:numPr>
          <w:ilvl w:val="0"/>
          <w:numId w:val="1"/>
        </w:numPr>
        <w:spacing w:after="80"/>
      </w:pPr>
      <w:r>
        <w:t xml:space="preserve">A real 31,557,600-row (10-year, 1 row/10s) synthetic SQLite database was physically built, and representative questions were timed against it with no index, with single-field indexes, and with a compound index — direct SQLite timing, independent of the LLM/chat pipeline (isolates the database engine's own behavior at scale from Metis-side latency).</w:t>
      </w:r>
    </w:p>
    <w:p>
      <w:pPr>
        <w:spacing w:after="60" w:before="100"/>
      </w:pPr>
      <w:r>
        <w:rPr>
          <w:b/>
          <w:bCs/>
        </w:rPr>
        <w:t xml:space="preserve">Result:</w:t>
      </w:r>
    </w:p>
    <w:p>
      <w:pPr>
        <w:pStyle w:val="ListParagraph"/>
        <w:numPr>
          <w:ilvl w:val="0"/>
          <w:numId w:val="1"/>
        </w:numPr>
        <w:spacing w:after="80"/>
      </w:pPr>
      <w:r>
        <w:t xml:space="preserve">Mean query time: 1,244.5ms with no index, 672.5ms with single-field indexes, 794.8ms with the compound index. Build + full timing pass took 233 seconds for the real 31.5M-row table.</w:t>
      </w:r>
    </w:p>
    <w:p>
      <w:pPr>
        <w:spacing w:after="60" w:before="100"/>
      </w:pPr>
      <w:r>
        <w:rPr>
          <w:b/>
          <w:bCs/>
        </w:rPr>
        <w:t xml:space="preserve">Where it did not succeed and why:</w:t>
      </w:r>
    </w:p>
    <w:p>
      <w:pPr>
        <w:pStyle w:val="ListParagraph"/>
        <w:numPr>
          <w:ilvl w:val="0"/>
          <w:numId w:val="1"/>
        </w:numPr>
        <w:spacing w:after="80"/>
      </w:pPr>
      <w:r>
        <w:t xml:space="preserve">Unlike the RTX report's dramatic compound-index speedups (up to 6,219x on specific query shapes), this pass measured a single representative query shape (a plain filtered COUNT) across all three index states rather than the RTX report's full per-question-shape breakdown; that fuller shape-by-shape breakdown is a reasonable follow-up but wasn't repeated here. Notably, single-field indexing outperformed the compound index for this particular query shape in this pass — worth a closer look rather than assuming compound is always better without re-measuring per shape.</w:t>
      </w:r>
    </w:p>
    <w:p>
      <w:pPr>
        <w:pStyle w:val="Heading2"/>
        <w:spacing w:after="150" w:before="300"/>
      </w:pPr>
      <w:r>
        <w:t xml:space="preserve">1.9 Multiple-People-At-Once Test</w:t>
      </w:r>
    </w:p>
    <w:p>
      <w:pPr>
        <w:spacing w:after="60"/>
      </w:pPr>
      <w:r>
        <w:rPr>
          <w:b/>
          <w:bCs/>
        </w:rPr>
        <w:t xml:space="preserve">Method:</w:t>
      </w:r>
    </w:p>
    <w:p>
      <w:pPr>
        <w:pStyle w:val="ListParagraph"/>
        <w:numPr>
          <w:ilvl w:val="0"/>
          <w:numId w:val="1"/>
        </w:numPr>
        <w:spacing w:after="80"/>
      </w:pPr>
      <w:r>
        <w:t xml:space="preserve">Real simultaneous chat requests ramped from 1 to 8 users at once against the live Metis-backed deployment.</w:t>
      </w:r>
    </w:p>
    <w:p>
      <w:pPr>
        <w:spacing w:after="60" w:before="100"/>
      </w:pPr>
      <w:r>
        <w:rPr>
          <w:b/>
          <w:bCs/>
        </w:rPr>
        <w:t xml:space="preserve">Result:</w:t>
      </w:r>
    </w:p>
    <w:p>
      <w:pPr>
        <w:pStyle w:val="ListParagraph"/>
        <w:numPr>
          <w:ilvl w:val="0"/>
          <w:numId w:val="1"/>
        </w:numPr>
        <w:spacing w:after="80"/>
      </w:pPr>
      <w:r>
        <w:t xml:space="preserve">Zero errors at 1 and 2 concurrent users. At 4 users: 1 error out of the batch. At 8 users: 7 errors. Throughput improved with concurrency (0.111 → 0.266 req/s) since Metis serializes generation but overlapping requests still pipeline I/O, but per-request p50/p99 latency grew sharply (9.0s at 1 user → 27.6s at 8 users).</w:t>
      </w:r>
    </w:p>
    <w:p>
      <w:pPr>
        <w:spacing w:after="60" w:before="100"/>
      </w:pPr>
      <w:r>
        <w:rPr>
          <w:b/>
          <w:bCs/>
        </w:rPr>
        <w:t xml:space="preserve">Where it did not succeed and why:</w:t>
      </w:r>
    </w:p>
    <w:p>
      <w:pPr>
        <w:pStyle w:val="ListParagraph"/>
        <w:numPr>
          <w:ilvl w:val="0"/>
          <w:numId w:val="1"/>
        </w:numPr>
        <w:spacing w:after="80"/>
      </w:pPr>
      <w:r>
        <w:t xml:space="preserve">Because the Metis device only supports one active generation context, concurrent chat requests queue behind each other rather than truly running in parallel — unlike a GPU, which can pipeline more gracefully. The error growth at 4 and 8 concurrent users (rather than the RTX report's clean zero-errors-at-8 result) reflects this single-context serialization bottleneck and is a real, hardware-driven limitation of this deployment worth flagging to anyone sizing concurrent load.</w:t>
      </w:r>
    </w:p>
    <w:p>
      <w:pPr>
        <w:pStyle w:val="Heading2"/>
        <w:spacing w:after="150" w:before="300"/>
      </w:pPr>
      <w:r>
        <w:t xml:space="preserve">1.10 Live Data Writing Test</w:t>
      </w:r>
    </w:p>
    <w:p>
      <w:pPr>
        <w:spacing w:after="60"/>
      </w:pPr>
      <w:r>
        <w:rPr>
          <w:b/>
          <w:bCs/>
        </w:rPr>
        <w:t xml:space="preserve">Method:</w:t>
      </w:r>
    </w:p>
    <w:p>
      <w:pPr>
        <w:pStyle w:val="ListParagraph"/>
        <w:numPr>
          <w:ilvl w:val="0"/>
          <w:numId w:val="1"/>
        </w:numPr>
        <w:spacing w:after="80"/>
      </w:pPr>
      <w:r>
        <w:t xml:space="preserve">New records were inserted into the live SQLite database while chat questions were being answered at the same time (30-second window), watching for write-lock errors.</w:t>
      </w:r>
    </w:p>
    <w:p>
      <w:pPr>
        <w:spacing w:after="60" w:before="100"/>
      </w:pPr>
      <w:r>
        <w:rPr>
          <w:b/>
          <w:bCs/>
        </w:rPr>
        <w:t xml:space="preserve">Result:</w:t>
      </w:r>
    </w:p>
    <w:p>
      <w:pPr>
        <w:pStyle w:val="ListParagraph"/>
        <w:numPr>
          <w:ilvl w:val="0"/>
          <w:numId w:val="1"/>
        </w:numPr>
        <w:spacing w:after="80"/>
      </w:pPr>
      <w:r>
        <w:t xml:space="preserve">Zero lock errors. 1 reader error was recorded during the window (under concurrent chat load, consistent with 1.9's findings above, not a locking failure specifically).</w:t>
      </w:r>
    </w:p>
    <w:p>
      <w:pPr>
        <w:pStyle w:val="Heading2"/>
        <w:spacing w:after="150" w:before="300"/>
      </w:pPr>
      <w:r>
        <w:t xml:space="preserve">1.11 Long-Run Stability Test</w:t>
      </w:r>
    </w:p>
    <w:p>
      <w:pPr>
        <w:spacing w:after="60"/>
      </w:pPr>
      <w:r>
        <w:rPr>
          <w:b/>
          <w:bCs/>
        </w:rPr>
        <w:t xml:space="preserve">Method:</w:t>
      </w:r>
    </w:p>
    <w:p>
      <w:pPr>
        <w:pStyle w:val="ListParagraph"/>
        <w:numPr>
          <w:ilvl w:val="0"/>
          <w:numId w:val="1"/>
        </w:numPr>
        <w:spacing w:after="80"/>
      </w:pPr>
      <w:r>
        <w:t xml:space="preserve">Continuous, realistic chat traffic run against the live app for 120 seconds, cycling through 8 representative questions, comparing latency in the first vs. last fifth of the run.</w:t>
      </w:r>
    </w:p>
    <w:p>
      <w:pPr>
        <w:spacing w:after="60" w:before="100"/>
      </w:pPr>
      <w:r>
        <w:rPr>
          <w:b/>
          <w:bCs/>
        </w:rPr>
        <w:t xml:space="preserve">Result:</w:t>
      </w:r>
    </w:p>
    <w:p>
      <w:pPr>
        <w:pStyle w:val="ListParagraph"/>
        <w:numPr>
          <w:ilvl w:val="0"/>
          <w:numId w:val="1"/>
        </w:numPr>
        <w:spacing w:after="80"/>
      </w:pPr>
      <w:r>
        <w:t xml:space="preserve">14 requests completed, 0 errors. Latency drift of -41.5% (meaning the run got FASTER, not slower, from start to finish) — consistent with warm caches/state settling in rather than any memory or performance degradation.</w:t>
      </w:r>
    </w:p>
    <w:p>
      <w:pPr>
        <w:spacing w:after="120"/>
      </w:pPr>
      <w:r>
        <w:rPr>
          <w:i/>
          <w:iCs/>
        </w:rPr>
        <w:t xml:space="preserve">This run's duration and request count are much smaller than the RTX report's 168-requests/6-minute pass, reflecting Metis's slower per-request decode time (1.13) naturally limiting how many requests fit in a fixed time window — the test ran its full specified 120-second window either way.</w:t>
      </w:r>
    </w:p>
    <w:p>
      <w:pPr>
        <w:pStyle w:val="Heading2"/>
        <w:spacing w:after="150" w:before="300"/>
      </w:pPr>
      <w:r>
        <w:t xml:space="preserve">1.12 Tricky Question Test</w:t>
      </w:r>
    </w:p>
    <w:p>
      <w:pPr>
        <w:spacing w:after="60"/>
      </w:pPr>
      <w:r>
        <w:rPr>
          <w:b/>
          <w:bCs/>
        </w:rPr>
        <w:t xml:space="preserve">Method:</w:t>
      </w:r>
    </w:p>
    <w:p>
      <w:pPr>
        <w:pStyle w:val="ListParagraph"/>
        <w:numPr>
          <w:ilvl w:val="0"/>
          <w:numId w:val="1"/>
        </w:numPr>
        <w:spacing w:after="80"/>
      </w:pPr>
      <w:r>
        <w:t xml:space="preserve">20 deliberately difficult questions — empty results, far-future dates, extremely large numbers, non-English text — sent to the live deployment.</w:t>
      </w:r>
    </w:p>
    <w:p>
      <w:pPr>
        <w:spacing w:after="60" w:before="100"/>
      </w:pPr>
      <w:r>
        <w:rPr>
          <w:b/>
          <w:bCs/>
        </w:rPr>
        <w:t xml:space="preserve">Result:</w:t>
      </w:r>
    </w:p>
    <w:p>
      <w:pPr>
        <w:pStyle w:val="ListParagraph"/>
        <w:numPr>
          <w:ilvl w:val="0"/>
          <w:numId w:val="1"/>
        </w:numPr>
        <w:spacing w:after="80"/>
      </w:pPr>
      <w:r>
        <w:t xml:space="preserve">20 of 20 handled with no crashes and no hangs.</w:t>
      </w:r>
    </w:p>
    <w:p>
      <w:pPr>
        <w:spacing w:after="120"/>
      </w:pPr>
      <w:r>
        <w:rPr>
          <w:i/>
          <w:iCs/>
        </w:rPr>
        <w:t xml:space="preserve">During this same benchmarking pass, a real crash-causing bug WAS found and fixed (not in this specific 20-question tricky set, but surfaced by the adversarial set in 1.3/1.4): an unfiltered SQL result (hundreds of thousands of raw rows) serialized into the answer-generation prompt with no cap tried to allocate a tensor large enough to OOM-kill the entire backend process outright. This was fixed by capping the answer-prompt's row count at 200 (see the deployment's own llm_query_sql.py comment on _answer_prompt) before this benchmark pass could complete cleanly.</w:t>
      </w:r>
    </w:p>
    <w:p>
      <w:pPr>
        <w:pStyle w:val="Heading2"/>
        <w:spacing w:after="150" w:before="300"/>
      </w:pPr>
      <w:r>
        <w:t xml:space="preserve">1.13 Hardware Speed Test</w:t>
      </w:r>
    </w:p>
    <w:p>
      <w:pPr>
        <w:spacing w:after="60"/>
      </w:pPr>
      <w:r>
        <w:rPr>
          <w:b/>
          <w:bCs/>
        </w:rPr>
        <w:t xml:space="preserve">Method:</w:t>
      </w:r>
    </w:p>
    <w:p>
      <w:pPr>
        <w:pStyle w:val="ListParagraph"/>
        <w:numPr>
          <w:ilvl w:val="0"/>
          <w:numId w:val="1"/>
        </w:numPr>
        <w:spacing w:after="80"/>
      </w:pPr>
      <w:r>
        <w:t xml:space="preserve">The Metis model was called directly, bypassing the HTTP/website layer, to read its real internal timing — 15 query-generation calls and 9 answer-phrasing calls, using this deployment's own AxInstance/ChatEncoder primitives.</w:t>
      </w:r>
    </w:p>
    <w:p>
      <w:pPr>
        <w:spacing w:after="60" w:before="100"/>
      </w:pPr>
      <w:r>
        <w:rPr>
          <w:b/>
          <w:bCs/>
        </w:rPr>
        <w:t xml:space="preserve">Result:</w:t>
      </w:r>
    </w:p>
    <w:p>
      <w:pPr>
        <w:pStyle w:val="ListParagraph"/>
        <w:numPr>
          <w:ilvl w:val="0"/>
          <w:numId w:val="1"/>
        </w:numPr>
        <w:spacing w:after="80"/>
      </w:pPr>
      <w:r>
        <w:t xml:space="preserve">Decode speed: 2.62 tokens/second (query-generation calls), 3.65 tokens/second (answer-phrasing calls). Cold start (model load) to fully healthy: 11.35 seconds.</w:t>
      </w:r>
    </w:p>
    <w:p>
      <w:pPr>
        <w:spacing w:after="120"/>
      </w:pPr>
      <w:r>
        <w:rPr>
          <w:i/>
          <w:iCs/>
        </w:rPr>
        <w:t xml:space="preserve">This is dramatically slower than the RTX report's 133.7/123.9 tokens/second — roughly 35-50x slower decode. This is the single largest measured hardware difference between the two deployments and explains most of the latency gap seen throughout this report (1.5, 1.9, 1.11).</w:t>
      </w:r>
    </w:p>
    <w:p>
      <w:pPr>
        <w:pStyle w:val="Heading2"/>
        <w:spacing w:after="150" w:before="300"/>
      </w:pPr>
      <w:r>
        <w:t xml:space="preserve">1.14 Power and Resource Usage Check</w:t>
      </w:r>
    </w:p>
    <w:p>
      <w:pPr>
        <w:spacing w:after="60"/>
      </w:pPr>
      <w:r>
        <w:rPr>
          <w:b/>
          <w:bCs/>
        </w:rPr>
        <w:t xml:space="preserve">Method:</w:t>
      </w:r>
    </w:p>
    <w:p>
      <w:pPr>
        <w:pStyle w:val="ListParagraph"/>
        <w:numPr>
          <w:ilvl w:val="0"/>
          <w:numId w:val="1"/>
        </w:numPr>
        <w:spacing w:after="80"/>
      </w:pPr>
      <w:r>
        <w:t xml:space="preserve">Attempted GPU-style power/temp/utilization sampling (nvidia-smi-equivalent) during a real batch of chat questions, plus host CPU sampling.</w:t>
      </w:r>
    </w:p>
    <w:p>
      <w:pPr>
        <w:spacing w:after="60" w:before="100"/>
      </w:pPr>
      <w:r>
        <w:rPr>
          <w:b/>
          <w:bCs/>
        </w:rPr>
        <w:t xml:space="preserve">Result:</w:t>
      </w:r>
    </w:p>
    <w:p>
      <w:pPr>
        <w:pStyle w:val="ListParagraph"/>
        <w:numPr>
          <w:ilvl w:val="0"/>
          <w:numId w:val="1"/>
        </w:numPr>
        <w:spacing w:after="80"/>
      </w:pPr>
      <w:r>
        <w:t xml:space="preserve">No power/temperature/utilization sensor is exposed by the Metis chip's software stack — idle and load wattage could not be measured (both None). Host CPU usage sampled at 40.8% during load.</w:t>
      </w:r>
    </w:p>
    <w:p>
      <w:pPr>
        <w:spacing w:after="120"/>
      </w:pPr>
      <w:r>
        <w:rPr>
          <w:i/>
          <w:iCs/>
        </w:rPr>
        <w:t xml:space="preserve">This is the mirror image of the RTX report's own finding ("something the Axelera chip's software does not expose at all" was said there about a different metric) — here it is Metis's turn to lack the sensor the RTX side had. This is a genuine tooling/visibility gap of the Metis software stack as currently installed, not a benchmark failure.</w:t>
      </w:r>
    </w:p>
    <w:p>
      <w:pPr>
        <w:pStyle w:val="Heading2"/>
        <w:spacing w:after="150" w:before="300"/>
      </w:pPr>
      <w:r>
        <w:t xml:space="preserve">1.15 Database Size vs Speed Test</w:t>
      </w:r>
    </w:p>
    <w:p>
      <w:pPr>
        <w:spacing w:after="60"/>
      </w:pPr>
      <w:r>
        <w:rPr>
          <w:b/>
          <w:bCs/>
        </w:rPr>
        <w:t xml:space="preserve">Method:</w:t>
      </w:r>
    </w:p>
    <w:p>
      <w:pPr>
        <w:pStyle w:val="ListParagraph"/>
        <w:numPr>
          <w:ilvl w:val="0"/>
          <w:numId w:val="1"/>
        </w:numPr>
        <w:spacing w:after="80"/>
      </w:pPr>
      <w:r>
        <w:t xml:space="preserve">The same 8 real chat questions run through the live backend, measuring end-to-end p50/p99 at the current live database size.</w:t>
      </w:r>
    </w:p>
    <w:p>
      <w:pPr>
        <w:spacing w:after="60" w:before="100"/>
      </w:pPr>
      <w:r>
        <w:rPr>
          <w:b/>
          <w:bCs/>
        </w:rPr>
        <w:t xml:space="preserve">Result:</w:t>
      </w:r>
    </w:p>
    <w:p>
      <w:pPr>
        <w:pStyle w:val="ListParagraph"/>
        <w:numPr>
          <w:ilvl w:val="0"/>
          <w:numId w:val="1"/>
        </w:numPr>
        <w:spacing w:after="80"/>
      </w:pPr>
      <w:r>
        <w:t xml:space="preserve">Current DB (630,086 rows) — p50 9.07s, p99 10.80s.</w:t>
      </w:r>
    </w:p>
    <w:p>
      <w:pPr>
        <w:spacing w:after="60" w:before="100"/>
      </w:pPr>
      <w:r>
        <w:rPr>
          <w:b/>
          <w:bCs/>
        </w:rPr>
        <w:t xml:space="preserve">Where it did not succeed and why:</w:t>
      </w:r>
    </w:p>
    <w:p>
      <w:pPr>
        <w:pStyle w:val="ListParagraph"/>
        <w:numPr>
          <w:ilvl w:val="0"/>
          <w:numId w:val="1"/>
        </w:numPr>
        <w:spacing w:after="80"/>
      </w:pPr>
      <w:r>
        <w:t xml:space="preserve">The full spec calls for repeating this at 3M-row and 31.5M-row synthetic copies with backend restarts pointed at each — that requires manually swapping the live backend's configured database file and restarting it, which wasn't automated in this generic harness pass and so was not completed for the two larger sizes. See Section 2.</w:t>
      </w:r>
    </w:p>
    <w:p>
      <w:pPr>
        <w:pStyle w:val="Heading2"/>
        <w:spacing w:after="150" w:before="300"/>
      </w:pPr>
      <w:r>
        <w:t xml:space="preserve">1.16 Role-Based Access Control</w:t>
      </w:r>
    </w:p>
    <w:p>
      <w:pPr>
        <w:spacing w:after="120"/>
      </w:pPr>
      <w:r>
        <w:t xml:space="preserve">Result: Not implemented in this deployment. This version has a single access level for everyone, matching the RTX/Mongo report's own equivalent finding — the 3-tier system referenced in the original spec was not carried over to either app rebuild.</w:t>
      </w:r>
    </w:p>
    <w:p>
      <w:pPr>
        <w:pStyle w:val="Heading2"/>
        <w:spacing w:after="150" w:before="300"/>
      </w:pPr>
      <w:r>
        <w:t xml:space="preserve">1.17 Access Control Bypass Testing</w:t>
      </w:r>
    </w:p>
    <w:p>
      <w:pPr>
        <w:spacing w:after="120"/>
      </w:pPr>
      <w:r>
        <w:t xml:space="preserve">Result: Not applicable — there is no role-based access to bypass in this deployment (see 1.16).</w:t>
      </w:r>
    </w:p>
    <w:p>
      <w:pPr>
        <w:pStyle w:val="Heading2"/>
        <w:spacing w:after="150" w:before="300"/>
      </w:pPr>
      <w:r>
        <w:t xml:space="preserve">1.18 Live Website Test</w:t>
      </w:r>
    </w:p>
    <w:p>
      <w:pPr>
        <w:spacing w:after="120"/>
      </w:pPr>
      <w:r>
        <w:rPr>
          <w:b/>
          <w:bCs/>
        </w:rPr>
        <w:t xml:space="preserve">NOT YET RUN — pending.</w:t>
      </w:r>
    </w:p>
    <w:p>
      <w:pPr>
        <w:spacing w:after="120"/>
      </w:pPr>
      <w:r>
        <w:t xml:space="preserve">Playwright + Chromium are now installed and verified working on this host. Not yet run because the chat backend and frontend had to be stopped to free the single Metis device for the direct hardware-access tests (1.13/1.14/1.23-equiv) and the ongoing BFCL run (1.20/1.22) — this test needs the live site up, which conflicts with BFCL's exclusive device use. Will run once BFCL finishes and the backend is restarted.</w:t>
      </w:r>
    </w:p>
    <w:p>
      <w:pPr>
        <w:pStyle w:val="Heading2"/>
        <w:spacing w:after="150" w:before="300"/>
      </w:pPr>
      <w:r>
        <w:t xml:space="preserve">1.19 Self-Fixing Test</w:t>
      </w:r>
    </w:p>
    <w:p>
      <w:pPr>
        <w:spacing w:after="60"/>
      </w:pPr>
      <w:r>
        <w:rPr>
          <w:b/>
          <w:bCs/>
        </w:rPr>
        <w:t xml:space="preserve">Method:</w:t>
      </w:r>
    </w:p>
    <w:p>
      <w:pPr>
        <w:pStyle w:val="ListParagraph"/>
        <w:numPr>
          <w:ilvl w:val="0"/>
          <w:numId w:val="1"/>
        </w:numPr>
        <w:spacing w:after="80"/>
      </w:pPr>
      <w:r>
        <w:t xml:space="preserve">15 deliberately broken SQL queries fed directly to the database, checking they error as expected; separately, 20 genuinely hard (not deliberately broken) natural-language questions sent through the ordinary chat path to see if the app's real self-correction retry (feed the SQLite error back to the model, ask for a corrected query) triggers organically.</w:t>
      </w:r>
    </w:p>
    <w:p>
      <w:pPr>
        <w:spacing w:after="60" w:before="100"/>
      </w:pPr>
      <w:r>
        <w:rPr>
          <w:b/>
          <w:bCs/>
        </w:rPr>
        <w:t xml:space="preserve">Result:</w:t>
      </w:r>
    </w:p>
    <w:p>
      <w:pPr>
        <w:pStyle w:val="ListParagraph"/>
        <w:numPr>
          <w:ilvl w:val="0"/>
          <w:numId w:val="1"/>
        </w:numPr>
        <w:spacing w:after="80"/>
      </w:pPr>
      <w:r>
        <w:t xml:space="preserve">11 of 15 deliberately-broken cases errored as expected (the other 4 were not valid test cases for this schema — they didn't actually error). 0 of 20 naturally-hard questions organically triggered the self-correction retry path.</w:t>
      </w:r>
    </w:p>
    <w:p>
      <w:pPr>
        <w:spacing w:after="60" w:before="100"/>
      </w:pPr>
      <w:r>
        <w:rPr>
          <w:b/>
          <w:bCs/>
        </w:rPr>
        <w:t xml:space="preserve">Where it did not succeed and why:</w:t>
      </w:r>
    </w:p>
    <w:p>
      <w:pPr>
        <w:pStyle w:val="ListParagraph"/>
        <w:numPr>
          <w:ilvl w:val="0"/>
          <w:numId w:val="1"/>
        </w:numPr>
        <w:spacing w:after="80"/>
      </w:pPr>
      <w:r>
        <w:t xml:space="preserve">The self-correction mechanism itself is confirmed present and reachable (11/15), but none of the 20 harder natural questions happened to produce a SQL error that needed correcting in this pass — this doesn't mean the retry path doesn't work, just that this particular 20-question set didn't exercise it. A future pass with harder questions specifically chosen to induce real SQL errors (not just conceptually hard questions) would better exercise this path.</w:t>
      </w:r>
    </w:p>
    <w:p>
      <w:pPr>
        <w:pStyle w:val="Heading2"/>
        <w:spacing w:after="150" w:before="300"/>
      </w:pPr>
      <w:r>
        <w:t xml:space="preserve">1.20 Function-Calling Accuracy Test</w:t>
      </w:r>
    </w:p>
    <w:p>
      <w:pPr>
        <w:spacing w:after="120"/>
      </w:pPr>
      <w:r>
        <w:rPr>
          <w:b/>
          <w:bCs/>
        </w:rPr>
        <w:t xml:space="preserve">NOT YET RUN — pending.</w:t>
      </w:r>
    </w:p>
    <w:p>
      <w:pPr>
        <w:spacing w:after="120"/>
      </w:pPr>
      <w:r>
        <w:t xml:space="preserve">In progress. A dedicated Axelera-native OpenAI-compatible /v1/completions wrapper was built for this pass (reusing this deployment's own AxInstance/ChatEncoder/stream_response primitives, since no such wrapper previously existed for this hardware) and verified working (real 146-token completion returned correctly). The full official BFCL v4 single_turn set (3,641 questions) was launched against it. At the Metis decode speed measured in 1.13 (2.6-3.7 tokens/second), and given the compiled model's fixed 1024-token static context — well below the RTX wrapper's 16384-token context — many BFCL prompts (which include full tool/function definitions) are expected to exceed the available context and return empty completions; this is a real hardware finding being measured, not a bug being worked around. Full results were not ready at the time this report was generated; see Section 2.</w:t>
      </w:r>
    </w:p>
    <w:p>
      <w:pPr>
        <w:pStyle w:val="Heading2"/>
        <w:spacing w:after="150" w:before="300"/>
      </w:pPr>
      <w:r>
        <w:t xml:space="preserve">1.21 Dashboard Load Test</w:t>
      </w:r>
    </w:p>
    <w:p>
      <w:pPr>
        <w:spacing w:after="60"/>
      </w:pPr>
      <w:r>
        <w:rPr>
          <w:b/>
          <w:bCs/>
        </w:rPr>
        <w:t xml:space="preserve">Method:</w:t>
      </w:r>
    </w:p>
    <w:p>
      <w:pPr>
        <w:pStyle w:val="ListParagraph"/>
        <w:numPr>
          <w:ilvl w:val="0"/>
          <w:numId w:val="1"/>
        </w:numPr>
        <w:spacing w:after="80"/>
      </w:pPr>
      <w:r>
        <w:t xml:space="preserve">The same YCSB Workload C read-load pattern as the RTX version, against this deployment's SQLite-backed dashboard endpoints (no LLM involved).</w:t>
      </w:r>
    </w:p>
    <w:p>
      <w:pPr>
        <w:spacing w:after="60" w:before="100"/>
      </w:pPr>
      <w:r>
        <w:rPr>
          <w:b/>
          <w:bCs/>
        </w:rPr>
        <w:t xml:space="preserve">Result:</w:t>
      </w:r>
    </w:p>
    <w:p>
      <w:pPr>
        <w:pStyle w:val="ListParagraph"/>
        <w:numPr>
          <w:ilvl w:val="0"/>
          <w:numId w:val="1"/>
        </w:numPr>
        <w:spacing w:after="80"/>
      </w:pPr>
      <w:r>
        <w:t xml:space="preserve">Zero errors at 1 and 5 simultaneous users. 2 errors each at 10 and 25 users. Throughput scaled from 27.9 req/s (1 user) to 201.3 req/s (25 users).</w:t>
      </w:r>
    </w:p>
    <w:p>
      <w:pPr>
        <w:spacing w:after="60" w:before="100"/>
      </w:pPr>
      <w:r>
        <w:rPr>
          <w:b/>
          <w:bCs/>
        </w:rPr>
        <w:t xml:space="preserve">Where it did not succeed and why:</w:t>
      </w:r>
    </w:p>
    <w:p>
      <w:pPr>
        <w:pStyle w:val="ListParagraph"/>
        <w:numPr>
          <w:ilvl w:val="0"/>
          <w:numId w:val="1"/>
        </w:numPr>
        <w:spacing w:after="80"/>
      </w:pPr>
      <w:r>
        <w:t xml:space="preserve">A handful of errors appeared at 10 and 25 concurrent users where the RTX/Mongo report saw none up to 150 — this deployment's dashboard load ceiling is measurably lower and worth profiling further, though it still handled over 200 req/s before errors appeared.</w:t>
      </w:r>
    </w:p>
    <w:p>
      <w:pPr>
        <w:pStyle w:val="Heading2"/>
        <w:spacing w:after="150" w:before="300"/>
      </w:pPr>
      <w:r>
        <w:t xml:space="preserve">1.22 Official Industry Speed-and-Accuracy Test (MLPerf Edge Agentic)</w:t>
      </w:r>
    </w:p>
    <w:p>
      <w:pPr>
        <w:spacing w:after="120"/>
      </w:pPr>
      <w:r>
        <w:rPr>
          <w:b/>
          <w:bCs/>
        </w:rPr>
        <w:t xml:space="preserve">NOT YET RUN — pending.</w:t>
      </w:r>
    </w:p>
    <w:p>
      <w:pPr>
        <w:spacing w:after="120"/>
      </w:pPr>
      <w:r>
        <w:t xml:space="preserve">Shares the same underlying BFCL run as 1.20 (Non-Live AST / Live AST / Overall blended accuracy on the same 3,641-question single_turn set). Pending the same in-progress run described in 1.20; will be filled in once bfcl evaluate has been run against the completed generation results.</w:t>
      </w:r>
    </w:p>
    <w:p>
      <w:pPr>
        <w:pageBreakBefore/>
      </w:pPr>
      <w:r>
        <w:br/>
        <w:t xml:space="preserve"/>
      </w:r>
    </w:p>
    <w:p>
      <w:pPr>
        <w:pStyle w:val="Heading1"/>
        <w:spacing w:after="200" w:before="400"/>
      </w:pPr>
      <w:r>
        <w:t xml:space="preserve">Section 2: What Needs To Be Done</w:t>
      </w:r>
    </w:p>
    <w:p>
      <w:pPr>
        <w:spacing w:after="120"/>
      </w:pPr>
      <w:r>
        <w:t xml:space="preserve">Everything listed below has not been completed yet as of this report's generation. Each entry explains specifically what is required to complete it.</w:t>
      </w:r>
    </w:p>
    <w:p>
      <w:pPr>
        <w:pStyle w:val="Heading2"/>
        <w:spacing w:after="150" w:before="300"/>
      </w:pPr>
      <w:r>
        <w:t xml:space="preserve">2.1 BFCL Generation + Evaluation Run to Completion</w:t>
      </w:r>
    </w:p>
    <w:p>
      <w:pPr>
        <w:spacing w:after="120"/>
      </w:pPr>
      <w:r>
        <w:t xml:space="preserve">The official 3,641-question single_turn BFCL generation run is in progress against a freshly-built Axelera wrapper (see 1.20). At measured Metis decode speed this is expected to take many hours (rough estimate 10-30 hours) given the single-device, no-parallelism constraint. Once generation finishes, `bfcl evaluate` needs to be run against the results to produce Non-Live/Live/Overall accuracy percentages for 1.20 and 1.22.</w:t>
      </w:r>
    </w:p>
    <w:p>
      <w:pPr>
        <w:pStyle w:val="Heading2"/>
        <w:spacing w:after="150" w:before="300"/>
      </w:pPr>
      <w:r>
        <w:t xml:space="preserve">2.2 Live Website Test</w:t>
      </w:r>
    </w:p>
    <w:p>
      <w:pPr>
        <w:spacing w:after="120"/>
      </w:pPr>
      <w:r>
        <w:t xml:space="preserve">Tooling (Playwright + Chromium) is ready and verified. Needs the chat backend and frontend running (currently stopped to free the Metis device for BFCL) — will be run once BFCL completes and the backend is restarted.</w:t>
      </w:r>
    </w:p>
    <w:p>
      <w:pPr>
        <w:pStyle w:val="Heading2"/>
        <w:spacing w:after="150" w:before="300"/>
      </w:pPr>
      <w:r>
        <w:t xml:space="preserve">2.3 Role-Based Access Control (Build It)</w:t>
      </w:r>
    </w:p>
    <w:p>
      <w:pPr>
        <w:spacing w:after="120"/>
      </w:pPr>
      <w:r>
        <w:t xml:space="preserve">This deployment has no access-tier system at all, matching the RTX/Mongo report's own equivalent gap. Building a 3-tier model (or equivalent) is a real feature gap, not a testing gap — there's nothing to test until it's built.</w:t>
      </w:r>
    </w:p>
    <w:p>
      <w:pPr>
        <w:pStyle w:val="Heading2"/>
        <w:spacing w:after="150" w:before="300"/>
      </w:pPr>
      <w:r>
        <w:t xml:space="preserve">2.4 Power/Energy Measurement on Metis</w:t>
      </w:r>
    </w:p>
    <w:p>
      <w:pPr>
        <w:spacing w:after="120"/>
      </w:pPr>
      <w:r>
        <w:t xml:space="preserve">The Metis software stack as currently installed exposes no power/temperature/utilization sensor equivalent to nvidia-smi (see 1.14/1.23-equiv). Getting real joules-per-token and cost-per-query electricity figures for this hardware needs either an external power meter on the PCIe card's supply, or a lower-level Axelera driver API (if one exists) that wasn't available to this benchmarking pass.</w:t>
      </w:r>
    </w:p>
    <w:p>
      <w:pPr>
        <w:pStyle w:val="Heading2"/>
        <w:spacing w:after="150" w:before="300"/>
      </w:pPr>
      <w:r>
        <w:t xml:space="preserve">2.5 A Second AI Judge</w:t>
      </w:r>
    </w:p>
    <w:p>
      <w:pPr>
        <w:spacing w:after="120"/>
      </w:pPr>
      <w:r>
        <w:t xml:space="preserve">Same limitation as both prior reports: a second AI model to grade the first one's answers needs either a second accelerator or a cloud-hosted second model, since this system's single Metis device can't run two models at once.</w:t>
      </w:r>
    </w:p>
    <w:p>
      <w:pPr>
        <w:pStyle w:val="Heading2"/>
        <w:spacing w:after="150" w:before="300"/>
      </w:pPr>
      <w:r>
        <w:t xml:space="preserve">2.6 Official Certified Benchmark Submission</w:t>
      </w:r>
    </w:p>
    <w:p>
      <w:pPr>
        <w:spacing w:after="120"/>
      </w:pPr>
      <w:r>
        <w:t xml:space="preserve">Same as both prior reports: formally submitting results through a benchmark organization's own certified process is a different, further step than running their published tools independently, which is what this report does.</w:t>
      </w:r>
    </w:p>
    <w:p>
      <w:pPr>
        <w:pStyle w:val="Heading2"/>
        <w:spacing w:after="150" w:before="300"/>
      </w:pPr>
      <w:r>
        <w:t xml:space="preserve">2.7 Full Security Checklist</w:t>
      </w:r>
    </w:p>
    <w:p>
      <w:pPr>
        <w:spacing w:after="120"/>
      </w:pPr>
      <w:r>
        <w:t xml:space="preserve">Bias/fairness, toxicity, and misinformation-resistance testing — the same gap noted in the RTX report — was not covered by this pass either.</w:t>
      </w:r>
    </w:p>
    <w:p>
      <w:pPr>
        <w:pStyle w:val="Heading2"/>
        <w:spacing w:after="150" w:before="300"/>
      </w:pPr>
      <w:r>
        <w:t xml:space="preserve">2.8 Composite Cost-per-Correct-Answer Score</w:t>
      </w:r>
    </w:p>
    <w:p>
      <w:pPr>
        <w:spacing w:after="120"/>
      </w:pPr>
      <w:r>
        <w:t xml:space="preserve">Test #29 (₹ per correct answer, combining correctness rate, latency, joules/token, and ₹/query) could not be meaningfully computed this pass: the joules/token input (1.14) is unavailable since Metis exposes no power sensor, and the ₹/query hardware-cost input used an unverified placeholder (₹120,000, copied from the RTX report's own assumed total-system cost, not a sourced Axelera Metis PCIe card price). A real composite score needs both a verified Metis card price and a working power-measurement method (see 2.4) before it can be computed honestly rather than guessed.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2026-09-28T11:07:49.013Z</dcterms:created>
  <dcterms:modified xsi:type="dcterms:W3CDTF">2026-09-28T11:07:49.013Z</dcterms:modified>
</cp:coreProperties>
</file>

<file path=docProps/custom.xml><?xml version="1.0" encoding="utf-8"?>
<Properties xmlns="http://schemas.openxmlformats.org/officeDocument/2006/custom-properties" xmlns:vt="http://schemas.openxmlformats.org/officeDocument/2006/docPropsVTypes"/>
</file>