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D82E9">
      <w:pPr>
        <w:spacing w:before="1400" w:after="0"/>
        <w:jc w:val="center"/>
      </w:pPr>
      <w:r>
        <w:rPr>
          <w:rFonts w:ascii="Calibri" w:hAnsi="Calibri" w:eastAsia="Calibri" w:cs="Calibri"/>
          <w:b/>
          <w:bCs/>
          <w:color w:val="2E6F8E"/>
          <w:spacing w:val="20"/>
          <w:sz w:val="24"/>
          <w:szCs w:val="24"/>
        </w:rPr>
        <w:t>BUSINESS ANALYST CASE STUDY</w:t>
      </w:r>
    </w:p>
    <w:p w14:paraId="567B1B11">
      <w:pPr>
        <w:spacing w:before="240" w:after="0"/>
        <w:jc w:val="center"/>
      </w:pPr>
      <w:r>
        <w:rPr>
          <w:rFonts w:ascii="Calibri" w:hAnsi="Calibri" w:eastAsia="Calibri" w:cs="Calibri"/>
          <w:b/>
          <w:bCs/>
          <w:color w:val="1B2A4A"/>
          <w:sz w:val="72"/>
          <w:szCs w:val="72"/>
        </w:rPr>
        <w:t>NeighbourNet</w:t>
      </w:r>
    </w:p>
    <w:p w14:paraId="501FED7B">
      <w:pPr>
        <w:spacing w:before="160" w:after="0"/>
        <w:jc w:val="center"/>
      </w:pPr>
      <w:r>
        <w:rPr>
          <w:rFonts w:ascii="Calibri" w:hAnsi="Calibri" w:eastAsia="Calibri" w:cs="Calibri"/>
          <w:i/>
          <w:iCs/>
          <w:color w:val="5B6B7C"/>
          <w:sz w:val="24"/>
          <w:szCs w:val="24"/>
        </w:rPr>
        <w:t>Designing a Trusted, Unified Digital Ecosystem for</w:t>
      </w:r>
    </w:p>
    <w:p w14:paraId="62614A5A">
      <w:pPr>
        <w:spacing w:before="20" w:after="900"/>
        <w:jc w:val="center"/>
      </w:pPr>
      <w:r>
        <w:rPr>
          <w:rFonts w:ascii="Calibri" w:hAnsi="Calibri" w:eastAsia="Calibri" w:cs="Calibri"/>
          <w:i/>
          <w:iCs/>
          <w:color w:val="5B6B7C"/>
          <w:sz w:val="24"/>
          <w:szCs w:val="24"/>
        </w:rPr>
        <w:t>Hyperlocal Resource Sharing &amp; Trusted Local Services</w:t>
      </w:r>
    </w:p>
    <w:p w14:paraId="61D68817">
      <w:pPr>
        <w:spacing w:after="40"/>
        <w:jc w:val="center"/>
      </w:pPr>
      <w:r>
        <w:rPr>
          <w:rFonts w:ascii="Calibri" w:hAnsi="Calibri" w:eastAsia="Calibri" w:cs="Calibri"/>
          <w:color w:val="5B6B7C"/>
          <w:sz w:val="20"/>
          <w:szCs w:val="20"/>
        </w:rPr>
        <w:t>Prepared By</w:t>
      </w:r>
    </w:p>
    <w:p w14:paraId="5F4A0984">
      <w:pPr>
        <w:spacing w:after="40"/>
        <w:jc w:val="center"/>
        <w:rPr>
          <w:rFonts w:hint="default" w:cs="Calibri"/>
          <w:b/>
          <w:bCs/>
          <w:color w:val="1B2A4A"/>
          <w:sz w:val="26"/>
          <w:szCs w:val="26"/>
          <w:lang w:val="en-IN"/>
        </w:rPr>
      </w:pPr>
      <w:r>
        <w:rPr>
          <w:rFonts w:ascii="Calibri" w:hAnsi="Calibri" w:eastAsia="Calibri" w:cs="Calibri"/>
          <w:b/>
          <w:bCs/>
          <w:color w:val="1B2A4A"/>
          <w:sz w:val="26"/>
          <w:szCs w:val="26"/>
        </w:rPr>
        <w:t>Sahana</w:t>
      </w:r>
      <w:r>
        <w:rPr>
          <w:rFonts w:hint="default" w:cs="Calibri"/>
          <w:b/>
          <w:bCs/>
          <w:color w:val="1B2A4A"/>
          <w:sz w:val="26"/>
          <w:szCs w:val="26"/>
          <w:lang w:val="en-IN"/>
        </w:rPr>
        <w:t xml:space="preserve"> Rajaram</w:t>
      </w:r>
    </w:p>
    <w:p w14:paraId="1BF92429">
      <w:pPr>
        <w:spacing w:after="40"/>
        <w:jc w:val="center"/>
        <w:rPr>
          <w:rFonts w:hint="default" w:cs="Calibri"/>
          <w:b/>
          <w:bCs/>
          <w:color w:val="1B2A4A"/>
          <w:sz w:val="26"/>
          <w:szCs w:val="26"/>
          <w:lang w:val="en-IN"/>
        </w:rPr>
      </w:pPr>
    </w:p>
    <w:p w14:paraId="3252A819">
      <w:pPr>
        <w:spacing w:after="20"/>
        <w:jc w:val="center"/>
      </w:pPr>
      <w:r>
        <w:rPr>
          <w:rFonts w:ascii="Calibri" w:hAnsi="Calibri" w:eastAsia="Calibri" w:cs="Calibri"/>
          <w:color w:val="5B6B7C"/>
          <w:sz w:val="19"/>
          <w:szCs w:val="19"/>
        </w:rPr>
        <w:t>Ju</w:t>
      </w:r>
      <w:r>
        <w:rPr>
          <w:rFonts w:hint="default" w:cs="Calibri"/>
          <w:color w:val="5B6B7C"/>
          <w:sz w:val="19"/>
          <w:szCs w:val="19"/>
          <w:lang w:val="en-IN"/>
        </w:rPr>
        <w:t xml:space="preserve">ne </w:t>
      </w:r>
      <w:bookmarkStart w:id="0" w:name="_GoBack"/>
      <w:bookmarkEnd w:id="0"/>
      <w:r>
        <w:rPr>
          <w:rFonts w:ascii="Calibri" w:hAnsi="Calibri" w:eastAsia="Calibri" w:cs="Calibri"/>
          <w:color w:val="5B6B7C"/>
          <w:sz w:val="19"/>
          <w:szCs w:val="19"/>
        </w:rPr>
        <w:t>2026</w:t>
      </w:r>
    </w:p>
    <w:p w14:paraId="140D9BA2">
      <w:pPr>
        <w:jc w:val="center"/>
      </w:pPr>
      <w:r>
        <w:rPr>
          <w:rFonts w:ascii="Calibri" w:hAnsi="Calibri" w:eastAsia="Calibri" w:cs="Calibri"/>
          <w:i/>
          <w:iCs/>
          <w:color w:val="5B6B7C"/>
          <w:sz w:val="16"/>
          <w:szCs w:val="16"/>
        </w:rPr>
        <w:t>Independent Business Analysis Portfolio Project  •  Illustrative Business Case  •  Not Affiliated With Any Live Commercial Entity</w:t>
      </w:r>
    </w:p>
    <w:p w14:paraId="772E430A">
      <w:r>
        <w:br w:type="page"/>
      </w:r>
    </w:p>
    <w:p w14:paraId="344F0D62">
      <w:pPr>
        <w:sectPr>
          <w:pgSz w:w="11906" w:h="16838"/>
          <w:pgMar w:top="900" w:right="900" w:bottom="900" w:left="900" w:header="708" w:footer="708" w:gutter="0"/>
          <w:cols w:space="720" w:num="1"/>
          <w:docGrid w:linePitch="360" w:charSpace="0"/>
        </w:sectPr>
      </w:pPr>
    </w:p>
    <w:p w14:paraId="57B81A8C">
      <w:pPr>
        <w:pStyle w:val="2"/>
        <w:spacing w:after="260"/>
      </w:pP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Table of Contents</w:t>
      </w:r>
    </w:p>
    <w:p w14:paraId="20B91ADF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1.  </w:t>
      </w:r>
      <w:r>
        <w:rPr>
          <w:rFonts w:ascii="Calibri" w:hAnsi="Calibri" w:eastAsia="Calibri" w:cs="Calibri"/>
          <w:color w:val="1B2A4A"/>
          <w:sz w:val="22"/>
          <w:szCs w:val="22"/>
        </w:rPr>
        <w:t>Executive Summary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3</w:t>
      </w:r>
    </w:p>
    <w:p w14:paraId="3FE70B98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2.  </w:t>
      </w:r>
      <w:r>
        <w:rPr>
          <w:rFonts w:ascii="Calibri" w:hAnsi="Calibri" w:eastAsia="Calibri" w:cs="Calibri"/>
          <w:color w:val="1B2A4A"/>
          <w:sz w:val="22"/>
          <w:szCs w:val="22"/>
        </w:rPr>
        <w:t>Business Context &amp; Problem Statement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3</w:t>
      </w:r>
    </w:p>
    <w:p w14:paraId="24AA05EE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3.  </w:t>
      </w:r>
      <w:r>
        <w:rPr>
          <w:rFonts w:ascii="Calibri" w:hAnsi="Calibri" w:eastAsia="Calibri" w:cs="Calibri"/>
          <w:color w:val="1B2A4A"/>
          <w:sz w:val="22"/>
          <w:szCs w:val="22"/>
        </w:rPr>
        <w:t>Target Users &amp; Personas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4</w:t>
      </w:r>
    </w:p>
    <w:p w14:paraId="5565EB26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4.  </w:t>
      </w:r>
      <w:r>
        <w:rPr>
          <w:rFonts w:ascii="Calibri" w:hAnsi="Calibri" w:eastAsia="Calibri" w:cs="Calibri"/>
          <w:color w:val="1B2A4A"/>
          <w:sz w:val="22"/>
          <w:szCs w:val="22"/>
        </w:rPr>
        <w:t>Research Methodology &amp; Market Analysis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4</w:t>
      </w:r>
    </w:p>
    <w:p w14:paraId="31EF4796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5.  </w:t>
      </w:r>
      <w:r>
        <w:rPr>
          <w:rFonts w:ascii="Calibri" w:hAnsi="Calibri" w:eastAsia="Calibri" w:cs="Calibri"/>
          <w:color w:val="1B2A4A"/>
          <w:sz w:val="22"/>
          <w:szCs w:val="22"/>
        </w:rPr>
        <w:t>Root-Cause Analysis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5</w:t>
      </w:r>
    </w:p>
    <w:p w14:paraId="5F396142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6.  </w:t>
      </w:r>
      <w:r>
        <w:rPr>
          <w:rFonts w:ascii="Calibri" w:hAnsi="Calibri" w:eastAsia="Calibri" w:cs="Calibri"/>
          <w:color w:val="1B2A4A"/>
          <w:sz w:val="22"/>
          <w:szCs w:val="22"/>
        </w:rPr>
        <w:t>Stakeholder Analysis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6</w:t>
      </w:r>
    </w:p>
    <w:p w14:paraId="76655133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7.  </w:t>
      </w:r>
      <w:r>
        <w:rPr>
          <w:rFonts w:ascii="Calibri" w:hAnsi="Calibri" w:eastAsia="Calibri" w:cs="Calibri"/>
          <w:color w:val="1B2A4A"/>
          <w:sz w:val="22"/>
          <w:szCs w:val="22"/>
        </w:rPr>
        <w:t>Proposed Solution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7</w:t>
      </w:r>
    </w:p>
    <w:p w14:paraId="69880A7A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8.  </w:t>
      </w:r>
      <w:r>
        <w:rPr>
          <w:rFonts w:ascii="Calibri" w:hAnsi="Calibri" w:eastAsia="Calibri" w:cs="Calibri"/>
          <w:color w:val="1B2A4A"/>
          <w:sz w:val="22"/>
          <w:szCs w:val="22"/>
        </w:rPr>
        <w:t>Process Reengineering: AS-IS vs. TO-BE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7</w:t>
      </w:r>
    </w:p>
    <w:p w14:paraId="4CA76C23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9.  </w:t>
      </w:r>
      <w:r>
        <w:rPr>
          <w:rFonts w:ascii="Calibri" w:hAnsi="Calibri" w:eastAsia="Calibri" w:cs="Calibri"/>
          <w:color w:val="1B2A4A"/>
          <w:sz w:val="22"/>
          <w:szCs w:val="22"/>
        </w:rPr>
        <w:t>Requirements Snapshot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8</w:t>
      </w:r>
    </w:p>
    <w:p w14:paraId="633DE6E2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10.  </w:t>
      </w:r>
      <w:r>
        <w:rPr>
          <w:rFonts w:ascii="Calibri" w:hAnsi="Calibri" w:eastAsia="Calibri" w:cs="Calibri"/>
          <w:color w:val="1B2A4A"/>
          <w:sz w:val="22"/>
          <w:szCs w:val="22"/>
        </w:rPr>
        <w:t>Business Impact, Revenue &amp; KPIs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8</w:t>
      </w:r>
    </w:p>
    <w:p w14:paraId="153C6F0C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11.  </w:t>
      </w:r>
      <w:r>
        <w:rPr>
          <w:rFonts w:ascii="Calibri" w:hAnsi="Calibri" w:eastAsia="Calibri" w:cs="Calibri"/>
          <w:color w:val="1B2A4A"/>
          <w:sz w:val="22"/>
          <w:szCs w:val="22"/>
        </w:rPr>
        <w:t>Implementation Roadmap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9</w:t>
      </w:r>
    </w:p>
    <w:p w14:paraId="6F171496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12.  </w:t>
      </w:r>
      <w:r>
        <w:rPr>
          <w:rFonts w:ascii="Calibri" w:hAnsi="Calibri" w:eastAsia="Calibri" w:cs="Calibri"/>
          <w:color w:val="1B2A4A"/>
          <w:sz w:val="22"/>
          <w:szCs w:val="22"/>
        </w:rPr>
        <w:t>Risk Assessment &amp; Mitigation Register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10</w:t>
      </w:r>
    </w:p>
    <w:p w14:paraId="2D2E6CA0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13.  </w:t>
      </w:r>
      <w:r>
        <w:rPr>
          <w:rFonts w:ascii="Calibri" w:hAnsi="Calibri" w:eastAsia="Calibri" w:cs="Calibri"/>
          <w:color w:val="1B2A4A"/>
          <w:sz w:val="22"/>
          <w:szCs w:val="22"/>
        </w:rPr>
        <w:t>Recommendations &amp; Future Scope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10</w:t>
      </w:r>
    </w:p>
    <w:p w14:paraId="08210C6D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14.  </w:t>
      </w:r>
      <w:r>
        <w:rPr>
          <w:rFonts w:ascii="Calibri" w:hAnsi="Calibri" w:eastAsia="Calibri" w:cs="Calibri"/>
          <w:color w:val="1B2A4A"/>
          <w:sz w:val="22"/>
          <w:szCs w:val="22"/>
        </w:rPr>
        <w:t>Lessons Learned — BA Skills Demonstrated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10</w:t>
      </w:r>
    </w:p>
    <w:p w14:paraId="1A60DFB2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15.  </w:t>
      </w:r>
      <w:r>
        <w:rPr>
          <w:rFonts w:ascii="Calibri" w:hAnsi="Calibri" w:eastAsia="Calibri" w:cs="Calibri"/>
          <w:color w:val="1B2A4A"/>
          <w:sz w:val="22"/>
          <w:szCs w:val="22"/>
        </w:rPr>
        <w:t>Conclusion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11</w:t>
      </w:r>
    </w:p>
    <w:p w14:paraId="2F8467D8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A.  </w:t>
      </w:r>
      <w:r>
        <w:rPr>
          <w:rFonts w:ascii="Calibri" w:hAnsi="Calibri" w:eastAsia="Calibri" w:cs="Calibri"/>
          <w:color w:val="1B2A4A"/>
          <w:sz w:val="22"/>
          <w:szCs w:val="22"/>
        </w:rPr>
        <w:t>Appendix — Tools &amp; Techniques Applied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11</w:t>
      </w:r>
    </w:p>
    <w:p w14:paraId="75594268">
      <w:pPr>
        <w:tabs>
          <w:tab w:val="right" w:leader="dot" w:pos="9026"/>
        </w:tabs>
        <w:spacing w:after="130" w:line="264" w:lineRule="auto"/>
      </w:pPr>
      <w:r>
        <w:rPr>
          <w:rFonts w:ascii="Calibri" w:hAnsi="Calibri" w:eastAsia="Calibri" w:cs="Calibri"/>
          <w:b/>
          <w:bCs/>
          <w:color w:val="2E6F8E"/>
          <w:sz w:val="22"/>
          <w:szCs w:val="22"/>
        </w:rPr>
        <w:t xml:space="preserve">B.  </w:t>
      </w:r>
      <w:r>
        <w:rPr>
          <w:rFonts w:ascii="Calibri" w:hAnsi="Calibri" w:eastAsia="Calibri" w:cs="Calibri"/>
          <w:color w:val="1B2A4A"/>
          <w:sz w:val="22"/>
          <w:szCs w:val="22"/>
        </w:rPr>
        <w:t>Appendix — Glossary of Terms</w:t>
      </w:r>
      <w:r>
        <w:rPr>
          <w:rFonts w:ascii="Calibri" w:hAnsi="Calibri" w:eastAsia="Calibri" w:cs="Calibri"/>
          <w:color w:val="5B6B7C"/>
          <w:sz w:val="22"/>
          <w:szCs w:val="22"/>
        </w:rPr>
        <w:tab/>
        <w:t>11</w:t>
      </w:r>
    </w:p>
    <w:p w14:paraId="4CA2691D">
      <w:r>
        <w:br w:type="page"/>
      </w:r>
    </w:p>
    <w:p w14:paraId="75DB3E88">
      <w:pPr>
        <w:sectPr>
          <w:pgSz w:w="11906" w:h="16838"/>
          <w:pgMar w:top="900" w:right="900" w:bottom="900" w:left="900" w:header="708" w:footer="708" w:gutter="0"/>
          <w:cols w:space="720" w:num="1"/>
          <w:docGrid w:linePitch="360" w:charSpace="0"/>
        </w:sectPr>
      </w:pPr>
    </w:p>
    <w:p w14:paraId="3BDB6D32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1.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Executive Summary</w:t>
      </w:r>
    </w:p>
    <w:p w14:paraId="2D8CB093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Across most residential neighbourhoods, two everyday problems persist side by side: households buy items they use only rarely, while neighbours who already own the same items have no safe way to lend them; and finding a verified electrician, tutor, or photographer still depends on WhatsApp groups and word-of-mouth. NeighbourNet is proposed as a single, verified digital ecosystem that solves both problems together, rather than the fragmented, single-purpose way today's marketplace and services apps solve them separately.</w:t>
      </w:r>
    </w:p>
    <w:p w14:paraId="70B6EB5D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This case study is built the way a real consulting engagement is structured — from a validated business problem, through market research and root-cause analysis, into a recommended solution, requirement prioritisation, a phased roadmap, and measurable success criteria.</w:t>
      </w:r>
    </w:p>
    <w:p w14:paraId="403424AE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Key Findings at a Glance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4A734176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C54C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71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5879A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Finding</w:t>
            </w:r>
          </w:p>
        </w:tc>
      </w:tr>
      <w:tr w14:paraId="4FD89360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F6B8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Core Problem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6502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existing platform combines verified neighbourhood trust, item-sharing, and local service booking in one place.</w:t>
            </w:r>
          </w:p>
        </w:tc>
      </w:tr>
      <w:tr w14:paraId="59BE97B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145F2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Market Gap</w:t>
            </w:r>
          </w:p>
        </w:tc>
        <w:tc>
          <w:tcPr>
            <w:tcW w:w="7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A6F2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 benchmarked platforms each solve only one slice of the problem — trust, sharing, or services — never all three.</w:t>
            </w:r>
          </w:p>
        </w:tc>
      </w:tr>
      <w:tr w14:paraId="722D5EA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DE3D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Root Cause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37D2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Absence of identity verification and a unified digital process, not lack of user willingness to share.</w:t>
            </w:r>
          </w:p>
        </w:tc>
      </w:tr>
      <w:tr w14:paraId="664F938E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64BF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Recommended Fix</w:t>
            </w:r>
          </w:p>
        </w:tc>
        <w:tc>
          <w:tcPr>
            <w:tcW w:w="7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A7D02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 single verified platform integrating marketplace, bookings, chat, payments, and community trust scoring.</w:t>
            </w:r>
          </w:p>
        </w:tc>
      </w:tr>
      <w:tr w14:paraId="1327122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ECBC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Projected Impact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297F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8,000 projected monthly active users and 5,400 completed transactions by end of Year 1 post-pilot.</w:t>
            </w:r>
          </w:p>
        </w:tc>
      </w:tr>
    </w:tbl>
    <w:p w14:paraId="069FC350">
      <w:pPr>
        <w:spacing w:after="100"/>
      </w:pPr>
    </w:p>
    <w:p w14:paraId="32AFD1C2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What This Case Study Demonstrates</w:t>
      </w:r>
    </w:p>
    <w:p w14:paraId="74086DD9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Structured problem framing and stakeholder analysis</w:t>
      </w:r>
    </w:p>
    <w:p w14:paraId="075C5A2B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Competitive benchmarking and market gap research</w:t>
      </w:r>
    </w:p>
    <w:p w14:paraId="3C1AB587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Root-cause analysis using Ishikawa (Fishbone) and 5 Whys</w:t>
      </w:r>
    </w:p>
    <w:p w14:paraId="5688C5A5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AS-IS → TO-BE process redesign and MoSCoW requirement prioritisation</w:t>
      </w:r>
    </w:p>
    <w:p w14:paraId="6F327B0D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Business impact quantification, KPI design, phased roadmap, and risk mitigation</w:t>
      </w:r>
    </w:p>
    <w:p w14:paraId="187CFBD3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2.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Business Context &amp; Problem Statement</w:t>
      </w:r>
    </w:p>
    <w:p w14:paraId="00EB7808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About NeighbourNet</w:t>
      </w:r>
    </w:p>
    <w:p w14:paraId="3619B2FC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NeighbourNet is a proposed hyperlocal community platform connecting verified residents within the same neighbourhood or apartment community — to borrow, rent, sell, exchange, and donate household items, and to discover and book trusted local service providers such as tutors, electricians, plumbers, and photographers, all inside one verified, community-first application.</w:t>
      </w:r>
    </w:p>
    <w:p w14:paraId="737FC57F">
      <w:pPr>
        <w:spacing w:after="120" w:line="264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Three pillars: </w:t>
      </w:r>
      <w:r>
        <w:rPr>
          <w:rFonts w:ascii="Calibri" w:hAnsi="Calibri" w:eastAsia="Calibri" w:cs="Calibri"/>
          <w:sz w:val="20"/>
          <w:szCs w:val="20"/>
        </w:rPr>
        <w:t>verified trust (identity checks, ratings, reviews) · resource efficiency (sharing under-used items) · local economic opportunity (helping nearby freelancers reach genuine demand).</w:t>
      </w:r>
    </w:p>
    <w:p w14:paraId="165A92FA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Industry Context</w:t>
      </w:r>
    </w:p>
    <w:p w14:paraId="48861BAD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India's sharing economy and hyperlocal services market has grown rapidly, led by services marketplaces (Urban Company) and classifieds platforms (OLX, Facebook Marketplace). Dense apartment communities in Tier 1/2 cities create natural, trust-adjacent neighbourhood units — residents already share a gate, a lift, and a WhatsApp group, but not a structured platform to transact safely. NeighbourNet sits at the intersection of three established trends — resale/rental, local services, and hyperlocal community coordination — combined for the first time into one verified product.</w:t>
      </w:r>
    </w:p>
    <w:p w14:paraId="138460F4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Problem Statement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98B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6F8E" w:sz="4" w:space="0"/>
              <w:left w:val="single" w:color="2E6F8E" w:sz="24" w:space="0"/>
              <w:bottom w:val="single" w:color="2E6F8E" w:sz="4" w:space="0"/>
              <w:right w:val="single" w:color="2E6F8E" w:sz="4" w:space="0"/>
            </w:tcBorders>
            <w:shd w:val="clear" w:color="auto" w:fill="ED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90F86A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8"/>
                <w:szCs w:val="18"/>
              </w:rPr>
              <w:t>PROBLEM STATEMENT</w:t>
            </w:r>
          </w:p>
          <w:p w14:paraId="2B608433">
            <w:r>
              <w:rPr>
                <w:rFonts w:ascii="Calibri" w:hAnsi="Calibri" w:eastAsia="Calibri" w:cs="Calibri"/>
                <w:i/>
                <w:iCs/>
                <w:color w:val="1B2A4A"/>
                <w:sz w:val="20"/>
                <w:szCs w:val="20"/>
              </w:rPr>
              <w:t>Neighbourhoods lack a single trusted platform to share under-used household resources and hire verified local service providers — forcing residents onto fragmented, low-trust channels that waste money, time, and community goodwill.</w:t>
            </w:r>
          </w:p>
        </w:tc>
      </w:tr>
    </w:tbl>
    <w:p w14:paraId="2A4DCF0F">
      <w:pPr>
        <w:spacing w:after="100"/>
      </w:pPr>
    </w:p>
    <w:p w14:paraId="36A52ABA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Who Is Affected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50"/>
      </w:tblGrid>
      <w:tr w14:paraId="6933811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E080A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Affected Group</w:t>
            </w:r>
          </w:p>
        </w:tc>
        <w:tc>
          <w:tcPr>
            <w:tcW w:w="67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3186D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Impact of the Problem</w:t>
            </w:r>
          </w:p>
        </w:tc>
      </w:tr>
      <w:tr w14:paraId="6632D59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6D49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Households / Residents</w:t>
            </w:r>
          </w:p>
        </w:tc>
        <w:tc>
          <w:tcPr>
            <w:tcW w:w="6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AA7F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Spend on items used only occasionally; struggle to find verified help nearby.</w:t>
            </w:r>
          </w:p>
        </w:tc>
      </w:tr>
      <w:tr w14:paraId="7FA7AED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6F17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Local Freelancers &amp; Providers</w:t>
            </w:r>
          </w:p>
        </w:tc>
        <w:tc>
          <w:tcPr>
            <w:tcW w:w="67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A324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Limited visibility to nearby customers; depend on inconsistent referrals.</w:t>
            </w:r>
          </w:p>
        </w:tc>
      </w:tr>
      <w:tr w14:paraId="01DFA067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A2AD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Apartment Associations</w:t>
            </w:r>
          </w:p>
        </w:tc>
        <w:tc>
          <w:tcPr>
            <w:tcW w:w="6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BE00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structured tool to manage shared resources, trust, or engagement.</w:t>
            </w:r>
          </w:p>
        </w:tc>
      </w:tr>
      <w:tr w14:paraId="7804832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170C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Environment / Community</w:t>
            </w:r>
          </w:p>
        </w:tc>
        <w:tc>
          <w:tcPr>
            <w:tcW w:w="67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FDD1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Under-utilised resources and unnecessary purchases increase waste.</w:t>
            </w:r>
          </w:p>
        </w:tc>
      </w:tr>
    </w:tbl>
    <w:p w14:paraId="01E3F330">
      <w:pPr>
        <w:spacing w:after="100"/>
      </w:pPr>
    </w:p>
    <w:p w14:paraId="5E13ECF5">
      <w:pPr>
        <w:spacing w:after="120" w:line="264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Why now: </w:t>
      </w:r>
      <w:r>
        <w:rPr>
          <w:rFonts w:ascii="Calibri" w:hAnsi="Calibri" w:eastAsia="Calibri" w:cs="Calibri"/>
          <w:sz w:val="20"/>
          <w:szCs w:val="20"/>
        </w:rPr>
        <w:t>Informal WhatsApp groups already show residents actively trying to lend, borrow, and refer services — demand isn't the gap. The gap is structural: no platform provides identity verification, a standard process, secure payment, and dispute protection together, so users default to riskier informal exchange or simply buy new / pay more.</w:t>
      </w:r>
    </w:p>
    <w:p w14:paraId="18FC87BD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3.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Target Users &amp; Personas</w:t>
      </w:r>
    </w:p>
    <w:p w14:paraId="2BEB401D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Two representative personas illustrate the range of people NeighbourNet serves — one primarily sharing/borrowing items, the other offering a local service. Designing for both on one platform is central to the product's value proposition.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800"/>
        <w:gridCol w:w="3850"/>
      </w:tblGrid>
      <w:tr w14:paraId="7EB015F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F4BD1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8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52C5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Persona 1 — Priya, The Practical Resident</w:t>
            </w:r>
          </w:p>
        </w:tc>
        <w:tc>
          <w:tcPr>
            <w:tcW w:w="38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EFBE1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Persona 2 — Arun, The Local Freelancer</w:t>
            </w:r>
          </w:p>
        </w:tc>
      </w:tr>
      <w:tr w14:paraId="45413B1C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DD69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Profile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CD40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28, working professional, mid-sized apartment community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FC90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24, freelance photographer building a local client base</w:t>
            </w:r>
          </w:p>
        </w:tc>
      </w:tr>
      <w:tr w14:paraId="722A5C4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2CEC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Goal</w:t>
            </w:r>
          </w:p>
        </w:tc>
        <w:tc>
          <w:tcPr>
            <w:tcW w:w="38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6D5E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Host a birthday party without buying decorations she'll use once</w:t>
            </w:r>
          </w:p>
        </w:tc>
        <w:tc>
          <w:tcPr>
            <w:tcW w:w="38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CB8C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Consistent, nearby bookings without high commissions to large apps</w:t>
            </w:r>
          </w:p>
        </w:tc>
      </w:tr>
      <w:tr w14:paraId="1E9E68FC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D75D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Pain Point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C55F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Doesn't know which neighbours own decorations; hesitant to ask strangers on WhatsApp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45ED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Relies on inconsistent word-of-mouth; struggles to build a visible profile nearby</w:t>
            </w:r>
          </w:p>
        </w:tc>
      </w:tr>
      <w:tr w14:paraId="7243D56C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AF72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How NeighbourNet Helps</w:t>
            </w:r>
          </w:p>
        </w:tc>
        <w:tc>
          <w:tcPr>
            <w:tcW w:w="38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8E5A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Searches verified listings, books &amp; pays in-app, returns item with a review</w:t>
            </w:r>
          </w:p>
        </w:tc>
        <w:tc>
          <w:tcPr>
            <w:tcW w:w="38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44F4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Verified profile with booking calendar, discovered by nearby residents, builds public rating</w:t>
            </w:r>
          </w:p>
        </w:tc>
      </w:tr>
    </w:tbl>
    <w:p w14:paraId="6857F405">
      <w:pPr>
        <w:spacing w:after="100"/>
      </w:pPr>
    </w:p>
    <w:p w14:paraId="0B2A3210">
      <w:pPr>
        <w:spacing w:after="120" w:line="264" w:lineRule="auto"/>
      </w:pPr>
      <w:r>
        <w:rPr>
          <w:rFonts w:ascii="Calibri" w:hAnsi="Calibri" w:eastAsia="Calibri" w:cs="Calibri"/>
          <w:i/>
          <w:iCs/>
          <w:sz w:val="20"/>
          <w:szCs w:val="20"/>
        </w:rPr>
        <w:t>Both personas share the same underlying need: a trusted, structured way to connect with people who already live nearby. Treating item-sharing and service-booking as one need rather than two separate products is the core product insight behind NeighbourNet.</w:t>
      </w:r>
    </w:p>
    <w:p w14:paraId="3965E80E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4.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Research Methodology &amp; Market Analysis</w:t>
      </w:r>
    </w:p>
    <w:p w14:paraId="02AB052B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Research combined secondary research on five widely-used platforms with a structured feature audit. Each platform was scored 1 (weak) to 5 (strong) across five capability dimensions: verified trust, item sharing, local service booking, community engagement, and unified experience.</w:t>
      </w:r>
    </w:p>
    <w:p w14:paraId="1904C957">
      <w:pPr>
        <w:spacing w:before="100" w:after="60"/>
        <w:jc w:val="center"/>
      </w:pPr>
      <w:r>
        <w:drawing>
          <wp:inline distT="0" distB="0" distL="0" distR="0">
            <wp:extent cx="5334000" cy="284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0A0D"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B6B7C"/>
          <w:sz w:val="18"/>
          <w:szCs w:val="18"/>
        </w:rPr>
        <w:t>Figure 1 — Capability comparison across five existing alternatives and NeighbourNet.</w:t>
      </w:r>
    </w:p>
    <w:p w14:paraId="72F90BAD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The benchmarking makes the gap explicit: Urban Company scores well on service booking but not item-sharing; OLX and Facebook Marketplace support selling but lack verification and services; WhatsApp groups enable engagement but offer no structure, payments, or safety. No competitor combines all five capabilities.</w:t>
      </w:r>
    </w:p>
    <w:p w14:paraId="203889C2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Market Gap Analysis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200"/>
        <w:gridCol w:w="3850"/>
      </w:tblGrid>
      <w:tr w14:paraId="43CADDE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D563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32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9E40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Strength</w:t>
            </w:r>
          </w:p>
        </w:tc>
        <w:tc>
          <w:tcPr>
            <w:tcW w:w="38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A85DC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Key Gap</w:t>
            </w:r>
          </w:p>
        </w:tc>
      </w:tr>
      <w:tr w14:paraId="393B8D56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3934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OLX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C404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Large resale marketplace reach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F7FA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verification; no rental/borrowing workflow; no services</w:t>
            </w:r>
          </w:p>
        </w:tc>
      </w:tr>
      <w:tr w14:paraId="162B3D9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D662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Facebook Marketplace</w:t>
            </w:r>
          </w:p>
        </w:tc>
        <w:tc>
          <w:tcPr>
            <w:tcW w:w="3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6921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Wide, free-to-use audience</w:t>
            </w:r>
          </w:p>
        </w:tc>
        <w:tc>
          <w:tcPr>
            <w:tcW w:w="38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467E2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Weak trust signals; no local service booking; not hyperlocal</w:t>
            </w:r>
          </w:p>
        </w:tc>
      </w:tr>
      <w:tr w14:paraId="522A3D8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81B1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Urban Company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FC16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Strong verified service booking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7166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item-sharing; not community-owned or neighbourhood-based</w:t>
            </w:r>
          </w:p>
        </w:tc>
      </w:tr>
      <w:tr w14:paraId="776B9D5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40BF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WhatsApp Groups</w:t>
            </w:r>
          </w:p>
        </w:tc>
        <w:tc>
          <w:tcPr>
            <w:tcW w:w="3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81F5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 engagement, zero cost</w:t>
            </w:r>
          </w:p>
        </w:tc>
        <w:tc>
          <w:tcPr>
            <w:tcW w:w="38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5ACC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structure, payments, verification, or dispute handling</w:t>
            </w:r>
          </w:p>
        </w:tc>
      </w:tr>
      <w:tr w14:paraId="7D9FB3C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1AAB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Gain (community apps)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9BE2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Some community focus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1113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Limited depth; inconsistent verification and monetisation</w:t>
            </w:r>
          </w:p>
        </w:tc>
      </w:tr>
    </w:tbl>
    <w:p w14:paraId="65B5AE36">
      <w:pPr>
        <w:spacing w:after="100"/>
      </w:pP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B83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6F8E" w:sz="4" w:space="0"/>
              <w:left w:val="single" w:color="2E6F8E" w:sz="24" w:space="0"/>
              <w:bottom w:val="single" w:color="2E6F8E" w:sz="4" w:space="0"/>
              <w:right w:val="single" w:color="2E6F8E" w:sz="4" w:space="0"/>
            </w:tcBorders>
            <w:shd w:val="clear" w:color="auto" w:fill="ED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71B34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8"/>
                <w:szCs w:val="18"/>
              </w:rPr>
              <w:t>KEY INSIGHT</w:t>
            </w:r>
          </w:p>
          <w:p w14:paraId="2D6D86CC">
            <w:r>
              <w:rPr>
                <w:rFonts w:ascii="Calibri" w:hAnsi="Calibri" w:eastAsia="Calibri" w:cs="Calibri"/>
                <w:i/>
                <w:iCs/>
                <w:color w:val="1B2A4A"/>
                <w:sz w:val="20"/>
                <w:szCs w:val="20"/>
              </w:rPr>
              <w:t>The market does not lack sharing-economy demand — it lacks a platform that treats verified trust as a first-class feature rather than an afterthought.</w:t>
            </w:r>
          </w:p>
        </w:tc>
      </w:tr>
    </w:tbl>
    <w:p w14:paraId="710DDAD7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5.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Root-Cause Analysis</w:t>
      </w:r>
    </w:p>
    <w:p w14:paraId="49D01B22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To avoid designing around symptoms, the causes of low neighbourhood resource-sharing were analysed with two complementary techniques: the Ishikawa (Fishbone) diagram to organise causes into categories, and the 5 Whys to drill into the deepest root cause.</w:t>
      </w:r>
    </w:p>
    <w:p w14:paraId="15C62596">
      <w:pPr>
        <w:spacing w:before="100" w:after="60"/>
        <w:jc w:val="center"/>
      </w:pPr>
    </w:p>
    <w:p w14:paraId="00C63BF2">
      <w:pPr>
        <w:spacing w:before="100" w:after="60"/>
        <w:jc w:val="center"/>
      </w:pPr>
      <w:r>
        <w:drawing>
          <wp:inline distT="0" distB="0" distL="0" distR="0">
            <wp:extent cx="5473065" cy="3032125"/>
            <wp:effectExtent l="0" t="0" r="133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506" t="10065" r="874" b="11264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1A91"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B6B7C"/>
          <w:sz w:val="18"/>
          <w:szCs w:val="18"/>
        </w:rPr>
        <w:t>Figure 2 — Root causes grouped by People &amp; Trust, Process, Technology, and Market Structure.</w:t>
      </w:r>
    </w:p>
    <w:p w14:paraId="31F33C39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The 5 Whys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50"/>
      </w:tblGrid>
      <w:tr w14:paraId="714C6C5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</w:tblPrEx>
        <w:trPr>
          <w:tblHeader/>
        </w:trPr>
        <w:tc>
          <w:tcPr>
            <w:tcW w:w="19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90F3C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4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8DAC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Question &amp; Answer</w:t>
            </w:r>
          </w:p>
        </w:tc>
      </w:tr>
      <w:tr w14:paraId="22E1E9EE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371F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1</w:t>
            </w:r>
          </w:p>
        </w:tc>
        <w:tc>
          <w:tcPr>
            <w:tcW w:w="7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91F7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do neighbours rarely lend/rent to each other? → They do not know or trust the other person enough.</w:t>
            </w:r>
          </w:p>
        </w:tc>
      </w:tr>
      <w:tr w14:paraId="3C8E3F3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49B0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2</w:t>
            </w:r>
          </w:p>
        </w:tc>
        <w:tc>
          <w:tcPr>
            <w:tcW w:w="7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D5AC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is there not enough trust? → There is no way to verify a neighbour's identity or reliability.</w:t>
            </w:r>
          </w:p>
        </w:tc>
      </w:tr>
      <w:tr w14:paraId="391DF5BD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56DA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3</w:t>
            </w:r>
          </w:p>
        </w:tc>
        <w:tc>
          <w:tcPr>
            <w:tcW w:w="7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F1A1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is there no verification mechanism? → Current channels (WhatsApp, word of mouth) were never built for transactions.</w:t>
            </w:r>
          </w:p>
        </w:tc>
      </w:tr>
      <w:tr w14:paraId="71440FE7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4F79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4</w:t>
            </w:r>
          </w:p>
        </w:tc>
        <w:tc>
          <w:tcPr>
            <w:tcW w:w="7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A7B6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hasn't a dedicated platform been adopted? → Existing apps solve only selling, or only services — not both.</w:t>
            </w:r>
          </w:p>
        </w:tc>
      </w:tr>
      <w:tr w14:paraId="32C737D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097D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5 — Root Cause</w:t>
            </w:r>
          </w:p>
        </w:tc>
        <w:tc>
          <w:tcPr>
            <w:tcW w:w="7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8562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Why does no platform combine both? → No product has been designed specifically around verified, hyperlocal, multi-purpose community trust.</w:t>
            </w:r>
          </w:p>
        </w:tc>
      </w:tr>
    </w:tbl>
    <w:p w14:paraId="49DB680E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6.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Stakeholder Analysis</w:t>
      </w:r>
    </w:p>
    <w:p w14:paraId="308517ED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Identifying stakeholders early ensures the solution addresses real needs across every group involved in adoption and success, not just end users.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0"/>
        <w:gridCol w:w="1200"/>
        <w:gridCol w:w="1200"/>
        <w:gridCol w:w="4500"/>
      </w:tblGrid>
      <w:tr w14:paraId="4E8ABF6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D541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2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B693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12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065DE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Influence</w:t>
            </w:r>
          </w:p>
        </w:tc>
        <w:tc>
          <w:tcPr>
            <w:tcW w:w="45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9CA4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Engagement Strategy</w:t>
            </w:r>
          </w:p>
        </w:tc>
      </w:tr>
      <w:tr w14:paraId="62311C76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1DF2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Residents (Borrowers/Lenders)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3E8F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8755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F82A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User research, beta testing, feedback loops, in-app incentives</w:t>
            </w:r>
          </w:p>
        </w:tc>
      </w:tr>
      <w:tr w14:paraId="36318D6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4BAC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Freelancers / Service Providers</w:t>
            </w:r>
          </w:p>
        </w:tc>
        <w:tc>
          <w:tcPr>
            <w:tcW w:w="1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17F9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1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930B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45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52E7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Free early listings, onboarding support, visibility guarantees</w:t>
            </w:r>
          </w:p>
        </w:tc>
      </w:tr>
      <w:tr w14:paraId="6F3E14D5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5D3C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Apartment Associations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7625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DC87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5011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Pilot partnerships, bulk resident onboarding, admin dashboards</w:t>
            </w:r>
          </w:p>
        </w:tc>
      </w:tr>
      <w:tr w14:paraId="63FB188C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1F2C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Platform Administrators</w:t>
            </w:r>
          </w:p>
        </w:tc>
        <w:tc>
          <w:tcPr>
            <w:tcW w:w="1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F3D0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1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885F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45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5F92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Moderation tools, fraud dashboards, escalation workflows</w:t>
            </w:r>
          </w:p>
        </w:tc>
      </w:tr>
      <w:tr w14:paraId="03FA0D8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136E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Payment Gateway Partners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2C50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0B50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F64A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API integration, compliance alignment, SLA agreements</w:t>
            </w:r>
          </w:p>
        </w:tc>
      </w:tr>
      <w:tr w14:paraId="0CA6487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5072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Future Logistics Partners</w:t>
            </w:r>
          </w:p>
        </w:tc>
        <w:tc>
          <w:tcPr>
            <w:tcW w:w="1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704C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Low (initially)</w:t>
            </w:r>
          </w:p>
        </w:tc>
        <w:tc>
          <w:tcPr>
            <w:tcW w:w="1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87D8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Low (initially)</w:t>
            </w:r>
          </w:p>
        </w:tc>
        <w:tc>
          <w:tcPr>
            <w:tcW w:w="45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D509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Evaluated in later growth phases for delivery-assisted items</w:t>
            </w:r>
          </w:p>
        </w:tc>
      </w:tr>
    </w:tbl>
    <w:p w14:paraId="0B546674">
      <w:pPr>
        <w:spacing w:after="100"/>
      </w:pPr>
    </w:p>
    <w:p w14:paraId="701AC089">
      <w:pPr>
        <w:spacing w:after="120" w:line="264" w:lineRule="auto"/>
      </w:pPr>
      <w:r>
        <w:rPr>
          <w:rFonts w:ascii="Calibri" w:hAnsi="Calibri" w:eastAsia="Calibri" w:cs="Calibri"/>
          <w:i/>
          <w:iCs/>
          <w:sz w:val="20"/>
          <w:szCs w:val="20"/>
        </w:rPr>
        <w:t>Residents and apartment associations carry the highest combined interest and influence — making early pilot partnerships with a small number of apartment communities the most effective adoption strategy.</w:t>
      </w:r>
    </w:p>
    <w:p w14:paraId="30F9CF2F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7.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Proposed Solution</w:t>
      </w:r>
    </w:p>
    <w:p w14:paraId="6665AD40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NeighbourNet combines four capability layers into one product: a verified identity &amp; trust layer; a marketplace layer (borrow, rent, sell, exchange, donate); a services layer (discover &amp; book local professionals); and a community layer (chat, ratings, reviews, notifications). Every transaction flows through the same verified, secure process.</w:t>
      </w:r>
    </w:p>
    <w:p w14:paraId="215B961E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Feature-to-Problem Mapping</w:t>
      </w:r>
    </w:p>
    <w:tbl>
      <w:tblPr>
        <w:tblStyle w:val="9"/>
        <w:tblW w:w="89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50"/>
        <w:gridCol w:w="3300"/>
      </w:tblGrid>
      <w:tr w14:paraId="114918F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0BC3B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Business Problem</w:t>
            </w:r>
          </w:p>
        </w:tc>
        <w:tc>
          <w:tcPr>
            <w:tcW w:w="34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0010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NeighbourNet Feature</w:t>
            </w:r>
          </w:p>
        </w:tc>
        <w:tc>
          <w:tcPr>
            <w:tcW w:w="33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E357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Business Outcome</w:t>
            </w:r>
          </w:p>
        </w:tc>
      </w:tr>
      <w:tr w14:paraId="7D48E436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9061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identity verification</w:t>
            </w:r>
          </w:p>
        </w:tc>
        <w:tc>
          <w:tcPr>
            <w:tcW w:w="3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9995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OTP + document-based verification at sign-up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997C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Increases willingness to lend/borrow; reduces fraud</w:t>
            </w:r>
          </w:p>
        </w:tc>
      </w:tr>
      <w:tr w14:paraId="5C40C13F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4463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Fragmented discovery</w:t>
            </w:r>
          </w:p>
        </w:tc>
        <w:tc>
          <w:tcPr>
            <w:tcW w:w="3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74E4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Unified marketplace + services module with search &amp; filters</w:t>
            </w:r>
          </w:p>
        </w:tc>
        <w:tc>
          <w:tcPr>
            <w:tcW w:w="33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0252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One app instead of five; higher engagement &amp; retention</w:t>
            </w:r>
          </w:p>
        </w:tc>
      </w:tr>
      <w:tr w14:paraId="6A76011D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FE56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secure transaction process</w:t>
            </w:r>
          </w:p>
        </w:tc>
        <w:tc>
          <w:tcPr>
            <w:tcW w:w="3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C0BF2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In-app booking, chat, UPI payments with deposit protection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A637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Reduces disputes; safe, repeatable transaction flow</w:t>
            </w:r>
          </w:p>
        </w:tc>
      </w:tr>
      <w:tr w14:paraId="0941E557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620A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post-transaction accountability</w:t>
            </w:r>
          </w:p>
        </w:tc>
        <w:tc>
          <w:tcPr>
            <w:tcW w:w="3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BEFA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Ratings, reviews, cumulative trust score per user</w:t>
            </w:r>
          </w:p>
        </w:tc>
        <w:tc>
          <w:tcPr>
            <w:tcW w:w="33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361D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Long-term reputation incentives for good behaviour</w:t>
            </w:r>
          </w:p>
        </w:tc>
      </w:tr>
      <w:tr w14:paraId="63EAA15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3BC4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Low visibility for freelancers</w:t>
            </w:r>
          </w:p>
        </w:tc>
        <w:tc>
          <w:tcPr>
            <w:tcW w:w="3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CEC9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Searchable provider profiles with booking calendars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A759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Expands local livelihood opportunities &amp; repeat bookings</w:t>
            </w:r>
          </w:p>
        </w:tc>
      </w:tr>
      <w:tr w14:paraId="7F9FDCD1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5A21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No community-level oversight</w:t>
            </w:r>
          </w:p>
        </w:tc>
        <w:tc>
          <w:tcPr>
            <w:tcW w:w="3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05D3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Apartment-association-linked admin dashboard</w:t>
            </w:r>
          </w:p>
        </w:tc>
        <w:tc>
          <w:tcPr>
            <w:tcW w:w="33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7EFF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Enables moderation, dispute handling, bulk onboarding</w:t>
            </w:r>
          </w:p>
        </w:tc>
      </w:tr>
    </w:tbl>
    <w:p w14:paraId="4EE7D8CF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8.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Process Reengineering: AS-IS vs. TO-BE</w:t>
      </w:r>
    </w:p>
    <w:p w14:paraId="1AFE3C0B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Mapping the current (AS-IS) process against the proposed (TO-BE) process makes the redesign concrete: borrowing a projector moves from an unstructured, high-risk chain of manual steps to a short, verified, digitally-supported flow.</w:t>
      </w:r>
    </w:p>
    <w:p w14:paraId="16C3D976">
      <w:pPr>
        <w:spacing w:before="100" w:after="60"/>
        <w:jc w:val="center"/>
      </w:pPr>
      <w:r>
        <w:drawing>
          <wp:inline distT="0" distB="0" distL="0" distR="0">
            <wp:extent cx="5927090" cy="3854450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6BC2"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B6B7C"/>
          <w:sz w:val="18"/>
          <w:szCs w:val="18"/>
        </w:rPr>
        <w:t>Figure 3 — AS-IS manual, WhatsApp-based process vs. the TO-BE unified NeighbourNet process.</w:t>
      </w:r>
    </w:p>
    <w:p w14:paraId="01C4C9AF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The redesign removes three failure points: an unanswered/unverified WhatsApp message, the absence of secure payment, and the lack of recourse for damage or unsatisfactory service — replaced with verified listings, secure in-app payment, and deposit-backed protection with review-based accountability.</w:t>
      </w:r>
    </w:p>
    <w:p w14:paraId="4599CB5B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9.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Requirements Snapshot</w:t>
      </w:r>
    </w:p>
    <w:p w14:paraId="0D5BA131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The full BRD captures detailed functional, non-functional, and business rule requirements. This snapshot uses MoSCoW prioritisation to show how scope was structured for a phased build.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6FA93E6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D43E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9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ACDA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14:paraId="4035821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CC29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Must Have</w:t>
            </w:r>
          </w:p>
        </w:tc>
        <w:tc>
          <w:tcPr>
            <w:tcW w:w="6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B8FE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OTP-based registration &amp; login; identity verification; item/service listing creation; booking workflow; UPI payment integration; ratings &amp; reviews</w:t>
            </w:r>
          </w:p>
        </w:tc>
      </w:tr>
      <w:tr w14:paraId="3CD1966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60EC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Should Have</w:t>
            </w:r>
          </w:p>
        </w:tc>
        <w:tc>
          <w:tcPr>
            <w:tcW w:w="69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26A2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In-app chat; wishlist; push notifications; admin moderation dashboard; security deposit handling</w:t>
            </w:r>
          </w:p>
        </w:tc>
      </w:tr>
      <w:tr w14:paraId="7B4C3305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62E0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Could Have</w:t>
            </w:r>
          </w:p>
        </w:tc>
        <w:tc>
          <w:tcPr>
            <w:tcW w:w="6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7711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AI-based recommendations; community trust score; gamified badges; sustainability impact dashboard</w:t>
            </w:r>
          </w:p>
        </w:tc>
      </w:tr>
      <w:tr w14:paraId="06B95800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445F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Won't Have (This Phase)</w:t>
            </w:r>
          </w:p>
        </w:tc>
        <w:tc>
          <w:tcPr>
            <w:tcW w:w="69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B0C4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Third-party logistics/delivery integration; multi-city expansion tools; voice search</w:t>
            </w:r>
          </w:p>
        </w:tc>
      </w:tr>
    </w:tbl>
    <w:p w14:paraId="7E0B4B4F">
      <w:pPr>
        <w:spacing w:after="80"/>
      </w:pPr>
    </w:p>
    <w:p w14:paraId="598902E1">
      <w:pPr>
        <w:spacing w:after="120" w:line="264" w:lineRule="auto"/>
      </w:pPr>
      <w:r>
        <w:rPr>
          <w:rFonts w:ascii="Calibri" w:hAnsi="Calibri" w:eastAsia="Calibri" w:cs="Calibri"/>
          <w:i/>
          <w:iCs/>
          <w:sz w:val="20"/>
          <w:szCs w:val="20"/>
        </w:rPr>
        <w:t>This ensures the MVP focuses entirely on establishing trust and completing a full transaction loop before layering on engagement and intelligence features.</w:t>
      </w:r>
    </w:p>
    <w:p w14:paraId="454FB944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10.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Business Impact, Revenue &amp; KPIs</w:t>
      </w:r>
    </w:p>
    <w:p w14:paraId="169666BE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Value is assessed across three lenses: direct household savings, local economic opportunity, and platform revenue. Figures below are illustrative estimates built to demonstrate business-value reasoning, not measured production data.</w:t>
      </w:r>
    </w:p>
    <w:p w14:paraId="74B8659D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Households avoid low-frequency purchases by borrowing/renting instead — estimated savings of ₹3,000–₹8,000/year for an actively participating family.</w:t>
      </w:r>
    </w:p>
    <w:p w14:paraId="7FE9CFCC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Local freelancers gain a low-cost customer acquisition channel vs. relying on referrals or expensive third-party apps.</w:t>
      </w:r>
    </w:p>
    <w:p w14:paraId="2238EECF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sz w:val="20"/>
          <w:szCs w:val="20"/>
        </w:rPr>
        <w:t>Apartment associations gain a structured tool for engagement and dispute visibility, reducing informal WhatsApp friction.</w:t>
      </w:r>
    </w:p>
    <w:p w14:paraId="122B02B4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Revenue Model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50"/>
      </w:tblGrid>
      <w:tr w14:paraId="2324D4DE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5E45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Revenue Stream</w:t>
            </w:r>
          </w:p>
        </w:tc>
        <w:tc>
          <w:tcPr>
            <w:tcW w:w="67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C8931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237FB62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8F1A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Transaction Commission</w:t>
            </w:r>
          </w:p>
        </w:tc>
        <w:tc>
          <w:tcPr>
            <w:tcW w:w="6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0ADA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Small % fee on completed bookings, rentals, and service payments</w:t>
            </w:r>
          </w:p>
        </w:tc>
      </w:tr>
      <w:tr w14:paraId="63FD0437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5A92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Premium Memberships</w:t>
            </w:r>
          </w:p>
        </w:tc>
        <w:tc>
          <w:tcPr>
            <w:tcW w:w="67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4056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Optional paid tier: priority listing visibility, lower commission</w:t>
            </w:r>
          </w:p>
        </w:tc>
      </w:tr>
      <w:tr w14:paraId="5160C9D6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A474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Featured Listings</w:t>
            </w:r>
          </w:p>
        </w:tc>
        <w:tc>
          <w:tcPr>
            <w:tcW w:w="6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DD88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Paid promotion for items or providers within their local area</w:t>
            </w:r>
          </w:p>
        </w:tc>
      </w:tr>
      <w:tr w14:paraId="183ED300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90D7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Business Subscriptions</w:t>
            </w:r>
          </w:p>
        </w:tc>
        <w:tc>
          <w:tcPr>
            <w:tcW w:w="67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799B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Monthly plans for local businesses needing consistent visibility</w:t>
            </w:r>
          </w:p>
        </w:tc>
      </w:tr>
      <w:tr w14:paraId="381688F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E985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Local Advertising</w:t>
            </w:r>
          </w:p>
        </w:tc>
        <w:tc>
          <w:tcPr>
            <w:tcW w:w="6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96C3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Hyperlocal ad placements for community-relevant businesses</w:t>
            </w:r>
          </w:p>
        </w:tc>
      </w:tr>
    </w:tbl>
    <w:p w14:paraId="1EA5C8D1">
      <w:pPr>
        <w:spacing w:after="100"/>
      </w:pPr>
    </w:p>
    <w:p w14:paraId="1C25E423">
      <w:pPr>
        <w:pStyle w:val="3"/>
        <w:spacing w:before="200" w:after="100"/>
      </w:pPr>
      <w:r>
        <w:rPr>
          <w:rFonts w:ascii="Calibri" w:hAnsi="Calibri" w:eastAsia="Calibri" w:cs="Calibri"/>
          <w:b/>
          <w:bCs/>
          <w:color w:val="2E6F8E"/>
          <w:sz w:val="23"/>
          <w:szCs w:val="23"/>
        </w:rPr>
        <w:t>KPIs &amp; Success Metrics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500"/>
        <w:gridCol w:w="2250"/>
      </w:tblGrid>
      <w:tr w14:paraId="1BCF193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E0F0A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45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2CB2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2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04A3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Target (Year 1)</w:t>
            </w:r>
          </w:p>
        </w:tc>
      </w:tr>
      <w:tr w14:paraId="1A14789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1493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Monthly Active Users</w:t>
            </w:r>
          </w:p>
        </w:tc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FCD1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Unique residents engaging per month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EEA0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8,000</w:t>
            </w:r>
          </w:p>
        </w:tc>
      </w:tr>
      <w:tr w14:paraId="790863F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19F2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Completed Transactions</w:t>
            </w:r>
          </w:p>
        </w:tc>
        <w:tc>
          <w:tcPr>
            <w:tcW w:w="45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201B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Successfully closed bookings, rentals, or sales</w:t>
            </w:r>
          </w:p>
        </w:tc>
        <w:tc>
          <w:tcPr>
            <w:tcW w:w="22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C24C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5,400 (cumulative)</w:t>
            </w:r>
          </w:p>
        </w:tc>
      </w:tr>
      <w:tr w14:paraId="7E9A5C0C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84CA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Repeat User Rate</w:t>
            </w:r>
          </w:p>
        </w:tc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48A8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Share completing more than one transaction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38C8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≥ 40%</w:t>
            </w:r>
          </w:p>
        </w:tc>
      </w:tr>
      <w:tr w14:paraId="6339814C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4D8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Average Rating</w:t>
            </w:r>
          </w:p>
        </w:tc>
        <w:tc>
          <w:tcPr>
            <w:tcW w:w="45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D7CE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Mean rating across completed transactions</w:t>
            </w:r>
          </w:p>
        </w:tc>
        <w:tc>
          <w:tcPr>
            <w:tcW w:w="22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506F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≥ 4.3 / 5</w:t>
            </w:r>
          </w:p>
        </w:tc>
      </w:tr>
      <w:tr w14:paraId="47CB59A7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980A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Booking Completion Rate</w:t>
            </w:r>
          </w:p>
        </w:tc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7F55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Bookings completed vs. initiated</w:t>
            </w:r>
          </w:p>
        </w:tc>
        <w:tc>
          <w:tcPr>
            <w:tcW w:w="2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300C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≥ 85%</w:t>
            </w:r>
          </w:p>
        </w:tc>
      </w:tr>
      <w:tr w14:paraId="10AF1FF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DC6B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Dispute Rate</w:t>
            </w:r>
          </w:p>
        </w:tc>
        <w:tc>
          <w:tcPr>
            <w:tcW w:w="45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808A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Transactions resulting in a formal dispute</w:t>
            </w:r>
          </w:p>
        </w:tc>
        <w:tc>
          <w:tcPr>
            <w:tcW w:w="22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81F5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&lt; 3%</w:t>
            </w:r>
          </w:p>
        </w:tc>
      </w:tr>
    </w:tbl>
    <w:p w14:paraId="7CE87F1C">
      <w:pPr>
        <w:spacing w:before="100" w:after="60"/>
        <w:jc w:val="center"/>
      </w:pPr>
      <w:r>
        <w:drawing>
          <wp:inline distT="0" distB="0" distL="0" distR="0">
            <wp:extent cx="5334000" cy="255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8F60"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B6B7C"/>
          <w:sz w:val="18"/>
          <w:szCs w:val="18"/>
        </w:rPr>
        <w:t>Figure 4 — Projected quarterly growth in MAU and completed transactions, Year 1 post-pilot.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599B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6F8E" w:sz="4" w:space="0"/>
              <w:left w:val="single" w:color="2E6F8E" w:sz="24" w:space="0"/>
              <w:bottom w:val="single" w:color="2E6F8E" w:sz="4" w:space="0"/>
              <w:right w:val="single" w:color="2E6F8E" w:sz="4" w:space="0"/>
            </w:tcBorders>
            <w:shd w:val="clear" w:color="auto" w:fill="ED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5901B9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B2A4A"/>
                <w:sz w:val="18"/>
                <w:szCs w:val="18"/>
              </w:rPr>
              <w:t>BUSINESS VALUE STATEMENT</w:t>
            </w:r>
          </w:p>
          <w:p w14:paraId="4EADA7CC">
            <w:r>
              <w:rPr>
                <w:rFonts w:ascii="Calibri" w:hAnsi="Calibri" w:eastAsia="Calibri" w:cs="Calibri"/>
                <w:i/>
                <w:iCs/>
                <w:color w:val="1B2A4A"/>
                <w:sz w:val="20"/>
                <w:szCs w:val="20"/>
              </w:rPr>
              <w:t>NeighbourNet converts an existing informal habit — neighbours already trying to share and refer informally — into a monetisable, trust-verified transaction layer, rather than creating new user behaviour from scratch.</w:t>
            </w:r>
          </w:p>
        </w:tc>
      </w:tr>
    </w:tbl>
    <w:p w14:paraId="1DCE934A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11.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Implementation Roadmap</w:t>
      </w:r>
    </w:p>
    <w:p w14:paraId="6F6D9D2C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A phased, 12-month roadmap sequences discovery, design, build, pilot, and scaled rollout — front-loading requirement and trust-mechanism validation before wider investment in growth.</w:t>
      </w:r>
    </w:p>
    <w:p w14:paraId="19EEB370">
      <w:pPr>
        <w:spacing w:before="100" w:after="60"/>
        <w:jc w:val="center"/>
      </w:pPr>
      <w:r>
        <w:drawing>
          <wp:inline distT="0" distB="0" distL="0" distR="0">
            <wp:extent cx="5334000" cy="267525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A427"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B6B7C"/>
          <w:sz w:val="18"/>
          <w:szCs w:val="18"/>
        </w:rPr>
        <w:t>Figure 5 — Proposed 12-month implementation roadmap from discovery through scaled rollout.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0"/>
        <w:gridCol w:w="6700"/>
      </w:tblGrid>
      <w:tr w14:paraId="3975455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E759A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7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BF2C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</w:tr>
      <w:tr w14:paraId="102763B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36E2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1. Discovery &amp; Requirements</w:t>
            </w:r>
          </w:p>
        </w:tc>
        <w:tc>
          <w:tcPr>
            <w:tcW w:w="6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50E42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Stakeholder interviews, BRD, personas, journey maps</w:t>
            </w:r>
          </w:p>
        </w:tc>
      </w:tr>
      <w:tr w14:paraId="5E385540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C618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2. MVP Design &amp; Prototyping</w:t>
            </w:r>
          </w:p>
        </w:tc>
        <w:tc>
          <w:tcPr>
            <w:tcW w:w="6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9F08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Information architecture, low-fi wireframes, UX validation</w:t>
            </w:r>
          </w:p>
        </w:tc>
      </w:tr>
      <w:tr w14:paraId="1E44B5C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37F8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3. Core Platform Build</w:t>
            </w:r>
          </w:p>
        </w:tc>
        <w:tc>
          <w:tcPr>
            <w:tcW w:w="6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A13B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Authentication, marketplace, booking engine, chat, UPI</w:t>
            </w:r>
          </w:p>
        </w:tc>
      </w:tr>
      <w:tr w14:paraId="27D7D42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196A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4. Pilot Launch</w:t>
            </w:r>
          </w:p>
        </w:tc>
        <w:tc>
          <w:tcPr>
            <w:tcW w:w="6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5F76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Controlled rollout across 1–2 apartment communities with hands-on support</w:t>
            </w:r>
          </w:p>
        </w:tc>
      </w:tr>
      <w:tr w14:paraId="39C470B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C027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5. Feedback &amp; Iteration</w:t>
            </w:r>
          </w:p>
        </w:tc>
        <w:tc>
          <w:tcPr>
            <w:tcW w:w="6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BE9B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Trust-score refinement, bug fixes, UX polish based on pilot feedback</w:t>
            </w:r>
          </w:p>
        </w:tc>
      </w:tr>
      <w:tr w14:paraId="3BC76F93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3586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6. Scaled Rollout &amp; Growth</w:t>
            </w:r>
          </w:p>
        </w:tc>
        <w:tc>
          <w:tcPr>
            <w:tcW w:w="6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EB97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Multi-locality expansion, marketing push, subscription onboarding</w:t>
            </w:r>
          </w:p>
        </w:tc>
      </w:tr>
    </w:tbl>
    <w:p w14:paraId="377F2A7B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12.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Risk Assessment &amp; Mitigation Register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0"/>
        <w:gridCol w:w="1150"/>
        <w:gridCol w:w="1050"/>
        <w:gridCol w:w="4700"/>
      </w:tblGrid>
      <w:tr w14:paraId="2B81D805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DB90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1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2B3A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0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D490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7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CF7A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14:paraId="796C463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848B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Fake or duplicate user profiles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19ED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3016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7772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Mandatory OTP + ID verification; anomaly-detection flags</w:t>
            </w:r>
          </w:p>
        </w:tc>
      </w:tr>
      <w:tr w14:paraId="32336B2F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9410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Item damage / non-return disputes</w:t>
            </w:r>
          </w:p>
        </w:tc>
        <w:tc>
          <w:tcPr>
            <w:tcW w:w="1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5BB6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10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5274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4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8A1D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Refundable security deposits; return-condition photos at handover</w:t>
            </w:r>
          </w:p>
        </w:tc>
      </w:tr>
      <w:tr w14:paraId="528902D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45BF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Payment disputes / failed transactions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AF3A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Low</w:t>
            </w:r>
          </w:p>
        </w:tc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930D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5E2A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Escrow-style hold on UPI payments until confirmation</w:t>
            </w:r>
          </w:p>
        </w:tc>
      </w:tr>
      <w:tr w14:paraId="30124C2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31AA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Privacy concerns over location/profile data</w:t>
            </w:r>
          </w:p>
        </w:tc>
        <w:tc>
          <w:tcPr>
            <w:tcW w:w="1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E3DC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10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DEB4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4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303E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Minimal data collection; visible privacy controls; encryption</w:t>
            </w:r>
          </w:p>
        </w:tc>
      </w:tr>
      <w:tr w14:paraId="390A30D7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AAA7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Low initial user adoption</w:t>
            </w:r>
          </w:p>
        </w:tc>
        <w:tc>
          <w:tcPr>
            <w:tcW w:w="1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A55E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High</w:t>
            </w:r>
          </w:p>
        </w:tc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E41D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31AA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Apartment-association pilot partnerships; referral incentives</w:t>
            </w:r>
          </w:p>
        </w:tc>
      </w:tr>
      <w:tr w14:paraId="50538BBD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D29C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Service-provider quality inconsistency</w:t>
            </w:r>
          </w:p>
        </w:tc>
        <w:tc>
          <w:tcPr>
            <w:tcW w:w="1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41A0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10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C8CE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Medium</w:t>
            </w:r>
          </w:p>
        </w:tc>
        <w:tc>
          <w:tcPr>
            <w:tcW w:w="4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1FDB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Mandatory ratings/reviews; minimum-rating thresholds</w:t>
            </w:r>
          </w:p>
        </w:tc>
      </w:tr>
    </w:tbl>
    <w:p w14:paraId="1C01A7E2">
      <w:pPr>
        <w:spacing w:after="100"/>
      </w:pPr>
    </w:p>
    <w:p w14:paraId="4320063C">
      <w:pPr>
        <w:spacing w:after="120" w:line="264" w:lineRule="auto"/>
      </w:pPr>
      <w:r>
        <w:rPr>
          <w:rFonts w:ascii="Calibri" w:hAnsi="Calibri" w:eastAsia="Calibri" w:cs="Calibri"/>
          <w:i/>
          <w:iCs/>
          <w:sz w:val="20"/>
          <w:szCs w:val="20"/>
        </w:rPr>
        <w:t>Low initial adoption is treated as the highest-priority risk in Year 1, since trust-based platforms depend on reaching critical mass within each pilot community before referral-led growth takes over.</w:t>
      </w:r>
    </w:p>
    <w:p w14:paraId="73B4D575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13.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Recommendations &amp; Future Scope</w:t>
      </w:r>
    </w:p>
    <w:p w14:paraId="36BBF659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Beyond the MVP, the following are recommended once the core trust and transaction loop is validated in the pilot phase:</w:t>
      </w:r>
    </w:p>
    <w:p w14:paraId="4BE521AD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>AI-based recommendations</w:t>
      </w:r>
      <w:r>
        <w:rPr>
          <w:rFonts w:ascii="Calibri" w:hAnsi="Calibri" w:eastAsia="Calibri" w:cs="Calibri"/>
          <w:sz w:val="20"/>
          <w:szCs w:val="20"/>
        </w:rPr>
        <w:t xml:space="preserve"> — suggest relevant nearby items/services based on activity and neighbourhood trends.</w:t>
      </w:r>
    </w:p>
    <w:p w14:paraId="1DF88965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>Community trust score</w:t>
      </w:r>
      <w:r>
        <w:rPr>
          <w:rFonts w:ascii="Calibri" w:hAnsi="Calibri" w:eastAsia="Calibri" w:cs="Calibri"/>
          <w:sz w:val="20"/>
          <w:szCs w:val="20"/>
        </w:rPr>
        <w:t xml:space="preserve"> — a cumulative, transparent score combining verification, ratings, and history.</w:t>
      </w:r>
    </w:p>
    <w:p w14:paraId="4B88E41B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>Emergency assistance mode</w:t>
      </w:r>
      <w:r>
        <w:rPr>
          <w:rFonts w:ascii="Calibri" w:hAnsi="Calibri" w:eastAsia="Calibri" w:cs="Calibri"/>
          <w:sz w:val="20"/>
          <w:szCs w:val="20"/>
        </w:rPr>
        <w:t xml:space="preserve"> — fast-path request type for urgent local help (e.g., a plumber for a leak).</w:t>
      </w:r>
    </w:p>
    <w:p w14:paraId="7BBFBB1A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>Community events &amp; volunteer network</w:t>
      </w:r>
      <w:r>
        <w:rPr>
          <w:rFonts w:ascii="Calibri" w:hAnsi="Calibri" w:eastAsia="Calibri" w:cs="Calibri"/>
          <w:sz w:val="20"/>
          <w:szCs w:val="20"/>
        </w:rPr>
        <w:t xml:space="preserve"> — extend beyond transactions into neighbourhood coordination.</w:t>
      </w:r>
    </w:p>
    <w:p w14:paraId="52D7EA7E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>Skill exchange</w:t>
      </w:r>
      <w:r>
        <w:rPr>
          <w:rFonts w:ascii="Calibri" w:hAnsi="Calibri" w:eastAsia="Calibri" w:cs="Calibri"/>
          <w:sz w:val="20"/>
          <w:szCs w:val="20"/>
        </w:rPr>
        <w:t xml:space="preserve"> — trade skills (e.g., tutoring for photography) without a monetary transaction.</w:t>
      </w:r>
    </w:p>
    <w:p w14:paraId="7590F119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>Sustainability dashboard</w:t>
      </w:r>
      <w:r>
        <w:rPr>
          <w:rFonts w:ascii="Calibri" w:hAnsi="Calibri" w:eastAsia="Calibri" w:cs="Calibri"/>
          <w:sz w:val="20"/>
          <w:szCs w:val="20"/>
        </w:rPr>
        <w:t xml:space="preserve"> — show each user's cumulative contribution to reduced purchases and waste.</w:t>
      </w:r>
    </w:p>
    <w:p w14:paraId="638A9CD2">
      <w:pPr>
        <w:pStyle w:val="16"/>
        <w:numPr>
          <w:ilvl w:val="0"/>
          <w:numId w:val="1"/>
        </w:numPr>
        <w:spacing w:after="60" w:line="258" w:lineRule="auto"/>
      </w:pPr>
      <w:r>
        <w:rPr>
          <w:rFonts w:ascii="Calibri" w:hAnsi="Calibri" w:eastAsia="Calibri" w:cs="Calibri"/>
          <w:b/>
          <w:bCs/>
          <w:sz w:val="20"/>
          <w:szCs w:val="20"/>
        </w:rPr>
        <w:t>Smart fraud detection</w:t>
      </w:r>
      <w:r>
        <w:rPr>
          <w:rFonts w:ascii="Calibri" w:hAnsi="Calibri" w:eastAsia="Calibri" w:cs="Calibri"/>
          <w:sz w:val="20"/>
          <w:szCs w:val="20"/>
        </w:rPr>
        <w:t xml:space="preserve"> — pattern-based detection of suspicious listing or messaging behaviour.</w:t>
      </w:r>
    </w:p>
    <w:p w14:paraId="421D1FFF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14.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Lessons Learned — BA Skills Demonstrated</w:t>
      </w:r>
    </w:p>
    <w:p w14:paraId="5E19CACB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Building this case study end-to-end reinforced how each BA technique connects to the next — a benchmarking gap justifies a root-cause investigation, which justifies a specific feature, which is then prioritised, resourced, and measured.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650"/>
      </w:tblGrid>
      <w:tr w14:paraId="3FB788E0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9D219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BA Competency</w:t>
            </w:r>
          </w:p>
        </w:tc>
        <w:tc>
          <w:tcPr>
            <w:tcW w:w="66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09BCA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Demonstrated Through</w:t>
            </w:r>
          </w:p>
        </w:tc>
      </w:tr>
      <w:tr w14:paraId="71BFB88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AC63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Business Problem Framing</w:t>
            </w:r>
          </w:p>
        </w:tc>
        <w:tc>
          <w:tcPr>
            <w:tcW w:w="6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AFC4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Structured problem statement with affected-stakeholder impact analysis</w:t>
            </w:r>
          </w:p>
        </w:tc>
      </w:tr>
      <w:tr w14:paraId="5F742BF0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60E0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Market &amp; Competitive Research</w:t>
            </w:r>
          </w:p>
        </w:tc>
        <w:tc>
          <w:tcPr>
            <w:tcW w:w="6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570B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Five-platform benchmarking across weighted capability dimensions</w:t>
            </w:r>
          </w:p>
        </w:tc>
      </w:tr>
      <w:tr w14:paraId="1BF05361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0F36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Root-Cause Analysis</w:t>
            </w:r>
          </w:p>
        </w:tc>
        <w:tc>
          <w:tcPr>
            <w:tcW w:w="6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5B82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Ishikawa (Fishbone) diagram and the 5 Whys technique</w:t>
            </w:r>
          </w:p>
        </w:tc>
      </w:tr>
      <w:tr w14:paraId="1E008E8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B405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Stakeholder Management</w:t>
            </w:r>
          </w:p>
        </w:tc>
        <w:tc>
          <w:tcPr>
            <w:tcW w:w="6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A396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Interest/influence matrix with tailored engagement strategies</w:t>
            </w:r>
          </w:p>
        </w:tc>
      </w:tr>
      <w:tr w14:paraId="09B8D86C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0489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Process Modelling</w:t>
            </w:r>
          </w:p>
        </w:tc>
        <w:tc>
          <w:tcPr>
            <w:tcW w:w="6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5540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AS-IS vs. TO-BE workflow redesign</w:t>
            </w:r>
          </w:p>
        </w:tc>
      </w:tr>
      <w:tr w14:paraId="15F8BA66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1753F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Requirements Prioritisation</w:t>
            </w:r>
          </w:p>
        </w:tc>
        <w:tc>
          <w:tcPr>
            <w:tcW w:w="6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4F42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MoSCoW-based scope definition for MVP planning</w:t>
            </w:r>
          </w:p>
        </w:tc>
      </w:tr>
      <w:tr w14:paraId="6A0A1B2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6498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Business Case Development</w:t>
            </w:r>
          </w:p>
        </w:tc>
        <w:tc>
          <w:tcPr>
            <w:tcW w:w="6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BE9A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Quantified value analysis and multi-stream revenue model</w:t>
            </w:r>
          </w:p>
        </w:tc>
      </w:tr>
      <w:tr w14:paraId="138FA66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E216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Performance Measurement</w:t>
            </w:r>
          </w:p>
        </w:tc>
        <w:tc>
          <w:tcPr>
            <w:tcW w:w="6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E1C3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KPI framework with quarterly growth projections</w:t>
            </w:r>
          </w:p>
        </w:tc>
      </w:tr>
      <w:tr w14:paraId="4754F441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E087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Delivery Planning</w:t>
            </w:r>
          </w:p>
        </w:tc>
        <w:tc>
          <w:tcPr>
            <w:tcW w:w="6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C29E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Phased 12-month implementation roadmap</w:t>
            </w:r>
          </w:p>
        </w:tc>
      </w:tr>
      <w:tr w14:paraId="4C5BAEBE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D833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Risk Management</w:t>
            </w:r>
          </w:p>
        </w:tc>
        <w:tc>
          <w:tcPr>
            <w:tcW w:w="66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252C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Likelihood/impact risk register with mitigation ownership</w:t>
            </w:r>
          </w:p>
        </w:tc>
      </w:tr>
    </w:tbl>
    <w:p w14:paraId="17B2E5B3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2E6F8E"/>
          <w:sz w:val="30"/>
          <w:szCs w:val="30"/>
        </w:rPr>
        <w:t xml:space="preserve">15.  </w:t>
      </w: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Conclusion</w:t>
      </w:r>
    </w:p>
    <w:p w14:paraId="6EFF2263">
      <w:pPr>
        <w:spacing w:after="120" w:line="264" w:lineRule="auto"/>
      </w:pPr>
      <w:r>
        <w:rPr>
          <w:rFonts w:ascii="Calibri" w:hAnsi="Calibri" w:eastAsia="Calibri" w:cs="Calibri"/>
          <w:sz w:val="20"/>
          <w:szCs w:val="20"/>
        </w:rPr>
        <w:t>NeighbourNet demonstrates that the biggest opportunity in the neighbourhood-sharing and local-services space is not a missing feature, but a missing layer of structured trust. Every technique applied here — benchmarking, root-cause analysis, stakeholder mapping, process redesign, prioritisation, and KPI planning — was used to validate that a single, verified, community-first platform can convert an already-existing informal behaviour into a safe, scalable, and monetisable product.</w:t>
      </w:r>
    </w:p>
    <w:p w14:paraId="202D856B">
      <w:pPr>
        <w:spacing w:after="120" w:line="264" w:lineRule="auto"/>
      </w:pPr>
      <w:r>
        <w:rPr>
          <w:rFonts w:ascii="Calibri" w:hAnsi="Calibri" w:eastAsia="Calibri" w:cs="Calibri"/>
          <w:i/>
          <w:iCs/>
          <w:sz w:val="20"/>
          <w:szCs w:val="20"/>
        </w:rPr>
        <w:t>As a portfolio project, this case study demonstrates applied Business Analyst thinking: moving from an ambiguous, real-world problem to a structured, evidence-backed, prioritised solution — the same process a Business Analyst applies on an actual product initiative.</w:t>
      </w:r>
    </w:p>
    <w:p w14:paraId="2ECC5A59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Appendix A — Tools &amp; Techniques Applied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7494559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6308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Tool / Technique</w:t>
            </w:r>
          </w:p>
        </w:tc>
        <w:tc>
          <w:tcPr>
            <w:tcW w:w="63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02D8B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Purpose in This Case Study</w:t>
            </w:r>
          </w:p>
        </w:tc>
      </w:tr>
      <w:tr w14:paraId="15F9443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DFE9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Competitive Benchmarking Matrix</w:t>
            </w:r>
          </w:p>
        </w:tc>
        <w:tc>
          <w:tcPr>
            <w:tcW w:w="6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AF89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Compared NeighbourNet against 5 alternatives across 5 dimensions</w:t>
            </w:r>
          </w:p>
        </w:tc>
      </w:tr>
      <w:tr w14:paraId="46C2F3C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273E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Ishikawa (Fishbone) Diagram</w:t>
            </w:r>
          </w:p>
        </w:tc>
        <w:tc>
          <w:tcPr>
            <w:tcW w:w="63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BAF72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Organised root causes into People &amp; Trust, Process, Technology, Market</w:t>
            </w:r>
          </w:p>
        </w:tc>
      </w:tr>
      <w:tr w14:paraId="567ADD7D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6D2C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 Whys</w:t>
            </w:r>
          </w:p>
        </w:tc>
        <w:tc>
          <w:tcPr>
            <w:tcW w:w="6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7737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Traced the surface problem to its structural root cause</w:t>
            </w:r>
          </w:p>
        </w:tc>
      </w:tr>
      <w:tr w14:paraId="6ABA8EE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6FB8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Stakeholder Interest/Influence Matrix</w:t>
            </w:r>
          </w:p>
        </w:tc>
        <w:tc>
          <w:tcPr>
            <w:tcW w:w="63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56E0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Prioritised engagement strategy across six stakeholder groups</w:t>
            </w:r>
          </w:p>
        </w:tc>
      </w:tr>
      <w:tr w14:paraId="19AD9E19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1856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AS-IS / TO-BE Process Mapping</w:t>
            </w:r>
          </w:p>
        </w:tc>
        <w:tc>
          <w:tcPr>
            <w:tcW w:w="6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2BA4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Visualised the current manual process vs. the proposed digital workflow</w:t>
            </w:r>
          </w:p>
        </w:tc>
      </w:tr>
      <w:tr w14:paraId="3A0FC7C1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3A7F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MoSCoW Prioritisation</w:t>
            </w:r>
          </w:p>
        </w:tc>
        <w:tc>
          <w:tcPr>
            <w:tcW w:w="63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9DE6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Structured MVP scope into Must/Should/Could/Won't Have</w:t>
            </w:r>
          </w:p>
        </w:tc>
      </w:tr>
      <w:tr w14:paraId="2DE94EE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086D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KPI Framework</w:t>
            </w:r>
          </w:p>
        </w:tc>
        <w:tc>
          <w:tcPr>
            <w:tcW w:w="6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9845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Defined leading and lagging indicators for post-launch success</w:t>
            </w:r>
          </w:p>
        </w:tc>
      </w:tr>
      <w:tr w14:paraId="5A51FEE7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A90C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Gantt-Style Roadmap</w:t>
            </w:r>
          </w:p>
        </w:tc>
        <w:tc>
          <w:tcPr>
            <w:tcW w:w="63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6DBD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Sequenced a 12-month, six-phase implementation plan</w:t>
            </w:r>
          </w:p>
        </w:tc>
      </w:tr>
      <w:tr w14:paraId="4FFF019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964BE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Risk Register (Likelihood × Impact)</w:t>
            </w:r>
          </w:p>
        </w:tc>
        <w:tc>
          <w:tcPr>
            <w:tcW w:w="63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3D12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Assessed and mitigated top operational and adoption risks</w:t>
            </w:r>
          </w:p>
        </w:tc>
      </w:tr>
    </w:tbl>
    <w:p w14:paraId="2ADAD1FB">
      <w:pPr>
        <w:spacing w:after="160"/>
      </w:pPr>
    </w:p>
    <w:p w14:paraId="5C55DA68">
      <w:pPr>
        <w:pStyle w:val="2"/>
        <w:pBdr>
          <w:bottom w:val="single" w:color="2E6F8E" w:sz="8" w:space="4"/>
        </w:pBdr>
        <w:spacing w:before="320" w:after="140"/>
      </w:pPr>
      <w:r>
        <w:rPr>
          <w:rFonts w:ascii="Calibri" w:hAnsi="Calibri" w:eastAsia="Calibri" w:cs="Calibri"/>
          <w:b/>
          <w:bCs/>
          <w:color w:val="1B2A4A"/>
          <w:sz w:val="30"/>
          <w:szCs w:val="30"/>
        </w:rPr>
        <w:t>Appendix B — Glossary of Terms</w:t>
      </w:r>
    </w:p>
    <w:tbl>
      <w:tblPr>
        <w:tblStyle w:val="9"/>
        <w:tblW w:w="9350" w:type="dxa"/>
        <w:tblInd w:w="0" w:type="dxa"/>
        <w:tblBorders>
          <w:top w:val="single" w:color="C9D3DC" w:sz="4" w:space="0"/>
          <w:left w:val="single" w:color="C9D3DC" w:sz="4" w:space="0"/>
          <w:bottom w:val="single" w:color="C9D3DC" w:sz="4" w:space="0"/>
          <w:right w:val="single" w:color="C9D3DC" w:sz="4" w:space="0"/>
          <w:insideH w:val="single" w:color="C9D3DC" w:sz="4" w:space="0"/>
          <w:insideV w:val="single" w:color="C9D3D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61D1790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795F9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150" w:type="dxa"/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B23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14:paraId="540EDF2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EA137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BRD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FF84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Business Requirements Document — formal document capturing business needs</w:t>
            </w:r>
          </w:p>
        </w:tc>
      </w:tr>
      <w:tr w14:paraId="1F6BE415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EB35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MoSCoW</w:t>
            </w:r>
          </w:p>
        </w:tc>
        <w:tc>
          <w:tcPr>
            <w:tcW w:w="7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337C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Prioritisation technique: Must / Should / Could / Won't have (this time)</w:t>
            </w:r>
          </w:p>
        </w:tc>
      </w:tr>
      <w:tr w14:paraId="55140C9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A943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MAU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EBDC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Monthly Active Users — a core engagement metric</w:t>
            </w:r>
          </w:p>
        </w:tc>
      </w:tr>
      <w:tr w14:paraId="7E5BFDC2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39E3B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MVP</w:t>
            </w:r>
          </w:p>
        </w:tc>
        <w:tc>
          <w:tcPr>
            <w:tcW w:w="7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5A3A4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Minimum Viable Product — smallest usable version delivering core value</w:t>
            </w:r>
          </w:p>
        </w:tc>
      </w:tr>
      <w:tr w14:paraId="103E478A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1BECA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Ishikawa / Fishbone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FE743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Root-cause tool organising causes into categories around a central effect</w:t>
            </w:r>
          </w:p>
        </w:tc>
      </w:tr>
      <w:tr w14:paraId="231B6FB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5962C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 Whys</w:t>
            </w:r>
          </w:p>
        </w:tc>
        <w:tc>
          <w:tcPr>
            <w:tcW w:w="7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854B9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Root-cause technique repeatedly asking 'why' to move from symptom to cause</w:t>
            </w:r>
          </w:p>
        </w:tc>
      </w:tr>
      <w:tr w14:paraId="4E411934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214B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AS-IS / TO-BE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3212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Process terms describing the current state and the proposed future state</w:t>
            </w:r>
          </w:p>
        </w:tc>
      </w:tr>
      <w:tr w14:paraId="324E4EA8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E5490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KPI</w:t>
            </w:r>
          </w:p>
        </w:tc>
        <w:tc>
          <w:tcPr>
            <w:tcW w:w="7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BC226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Key Performance Indicator — measurable progress toward an objective</w:t>
            </w:r>
          </w:p>
        </w:tc>
      </w:tr>
      <w:tr w14:paraId="4C2A8DFB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A01B1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UPI</w:t>
            </w:r>
          </w:p>
        </w:tc>
        <w:tc>
          <w:tcPr>
            <w:tcW w:w="7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CAC3D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Unified Payments Interface — real-time payment system used in India</w:t>
            </w:r>
          </w:p>
        </w:tc>
      </w:tr>
      <w:tr w14:paraId="24356596">
        <w:tblPrEx>
          <w:tblBorders>
            <w:top w:val="single" w:color="C9D3DC" w:sz="4" w:space="0"/>
            <w:left w:val="single" w:color="C9D3DC" w:sz="4" w:space="0"/>
            <w:bottom w:val="single" w:color="C9D3DC" w:sz="4" w:space="0"/>
            <w:right w:val="single" w:color="C9D3DC" w:sz="4" w:space="0"/>
            <w:insideH w:val="single" w:color="C9D3DC" w:sz="4" w:space="0"/>
            <w:insideV w:val="single" w:color="C9D3D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67BB5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Trust Score</w:t>
            </w:r>
          </w:p>
        </w:tc>
        <w:tc>
          <w:tcPr>
            <w:tcW w:w="7150" w:type="dxa"/>
            <w:shd w:val="clear" w:color="auto" w:fill="EDF2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DCAD8">
            <w:pPr>
              <w:spacing w:line="240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Cumulative reputation metric combining verification, ratings, history</w:t>
            </w:r>
          </w:p>
        </w:tc>
      </w:tr>
    </w:tbl>
    <w:p w14:paraId="15704E15"/>
    <w:sectPr>
      <w:headerReference r:id="rId3" w:type="default"/>
      <w:footerReference r:id="rId4" w:type="default"/>
      <w:pgSz w:w="11906" w:h="16838"/>
      <w:pgMar w:top="1000" w:right="850" w:bottom="90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73B2D">
    <w:pPr>
      <w:jc w:val="center"/>
    </w:pPr>
    <w:r>
      <w:rPr>
        <w:rFonts w:ascii="Calibri" w:hAnsi="Calibri" w:eastAsia="Calibri" w:cs="Calibri"/>
        <w:color w:val="5B6B7C"/>
        <w:sz w:val="16"/>
        <w:szCs w:val="16"/>
      </w:rPr>
      <w:t xml:space="preserve">Page </w:t>
    </w:r>
    <w:r>
      <w:rPr>
        <w:rFonts w:ascii="Calibri" w:hAnsi="Calibri" w:eastAsia="Calibri" w:cs="Calibri"/>
        <w:color w:val="5B6B7C"/>
        <w:sz w:val="16"/>
        <w:szCs w:val="16"/>
      </w:rPr>
      <w:fldChar w:fldCharType="begin"/>
    </w:r>
    <w:r>
      <w:rPr>
        <w:rFonts w:ascii="Calibri" w:hAnsi="Calibri" w:eastAsia="Calibri" w:cs="Calibri"/>
        <w:color w:val="5B6B7C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B6B7C"/>
        <w:sz w:val="16"/>
        <w:szCs w:val="16"/>
      </w:rPr>
      <w:fldChar w:fldCharType="separate"/>
    </w:r>
    <w:r>
      <w:rPr>
        <w:rFonts w:ascii="Calibri" w:hAnsi="Calibri" w:eastAsia="Calibri" w:cs="Calibri"/>
        <w:color w:val="5B6B7C"/>
        <w:sz w:val="16"/>
        <w:szCs w:val="16"/>
      </w:rPr>
      <w:fldChar w:fldCharType="end"/>
    </w:r>
    <w:r>
      <w:rPr>
        <w:rFonts w:ascii="Calibri" w:hAnsi="Calibri" w:eastAsia="Calibri" w:cs="Calibri"/>
        <w:color w:val="5B6B7C"/>
        <w:sz w:val="16"/>
        <w:szCs w:val="16"/>
      </w:rPr>
      <w:t xml:space="preserve"> of </w:t>
    </w:r>
    <w:r>
      <w:rPr>
        <w:rFonts w:ascii="Calibri" w:hAnsi="Calibri" w:eastAsia="Calibri" w:cs="Calibri"/>
        <w:color w:val="5B6B7C"/>
        <w:sz w:val="16"/>
        <w:szCs w:val="16"/>
      </w:rPr>
      <w:fldChar w:fldCharType="begin"/>
    </w:r>
    <w:r>
      <w:rPr>
        <w:rFonts w:ascii="Calibri" w:hAnsi="Calibri" w:eastAsia="Calibri" w:cs="Calibri"/>
        <w:color w:val="5B6B7C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B6B7C"/>
        <w:sz w:val="16"/>
        <w:szCs w:val="16"/>
      </w:rPr>
      <w:fldChar w:fldCharType="separate"/>
    </w:r>
    <w:r>
      <w:rPr>
        <w:rFonts w:ascii="Calibri" w:hAnsi="Calibri" w:eastAsia="Calibri" w:cs="Calibri"/>
        <w:color w:val="5B6B7C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54C8B">
    <w:pPr>
      <w:pBdr>
        <w:bottom w:val="single" w:color="C9D3DC" w:sz="4" w:space="4"/>
      </w:pBdr>
      <w:tabs>
        <w:tab w:val="right" w:pos="9026"/>
      </w:tabs>
    </w:pPr>
    <w:r>
      <w:rPr>
        <w:rFonts w:ascii="Calibri" w:hAnsi="Calibri" w:eastAsia="Calibri" w:cs="Calibri"/>
        <w:color w:val="5B6B7C"/>
        <w:sz w:val="16"/>
        <w:szCs w:val="16"/>
      </w:rPr>
      <w:t>NeighbourNet — Business Analyst Case Study</w:t>
    </w:r>
    <w:r>
      <w:rPr>
        <w:rFonts w:ascii="Calibri" w:hAnsi="Calibri" w:eastAsia="Calibri" w:cs="Calibri"/>
        <w:color w:val="5B6B7C"/>
        <w:sz w:val="16"/>
        <w:szCs w:val="16"/>
      </w:rPr>
      <w:tab/>
      <w:t>Sahana | Business Analyst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6B1D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831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40"/>
      <w:outlineLvl w:val="0"/>
    </w:pPr>
    <w:rPr>
      <w:rFonts w:ascii="Calibri" w:hAnsi="Calibri" w:eastAsia="Calibri" w:cs="Calibri"/>
      <w:b/>
      <w:bCs/>
      <w:color w:val="1B2A4A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Calibri" w:hAnsi="Calibri" w:eastAsia="Calibri" w:cs="Calibri"/>
      <w:b/>
      <w:bCs/>
      <w:color w:val="2E6F8E"/>
      <w:sz w:val="23"/>
      <w:szCs w:val="23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831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831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22831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22831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2814</Words>
  <Characters>17854</Characters>
  <TotalTime>12</TotalTime>
  <ScaleCrop>false</ScaleCrop>
  <LinksUpToDate>false</LinksUpToDate>
  <CharactersWithSpaces>20335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2026-07-15T04:26:00Z</dcterms:created>
  <dc:creator>Un-named</dc:creator>
  <cp:lastModifiedBy>Sahana R</cp:lastModifiedBy>
  <dcterms:modified xsi:type="dcterms:W3CDTF">2026-07-19T14:46:15Z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eyJoZGlkIjoiZGIzYmZiZDgxN2JjNmM5ZmNhYmVmNjBhMWM3ODZhODMiLCJ1c2VySWQiOiI1Njc0Mjg3MzQ2MjAifQ==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434C6AD976784002911AF997121588E9_13</vt:lpwstr>
  </property>
</Properties>
</file>