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200"/>
        <w:jc w:val="center"/>
      </w:pPr>
      <w:r>
        <w:rPr>
          <w:rFonts w:ascii="Times New Roman" w:cs="Times New Roman" w:eastAsia="Times New Roman" w:hAnsi="Times New Roman"/>
          <w:b/>
          <w:bCs/>
          <w:sz w:val="36"/>
          <w:szCs w:val="36"/>
        </w:rPr>
        <w:t xml:space="preserve">Agentic Retrieval-Augmented Topic Modeling for Amazon Musical Instruments Reviews</w:t>
      </w:r>
    </w:p>
    <w:p>
      <w:pPr>
        <w:spacing w:after="80"/>
      </w:pPr>
      <w:r>
        <w:t xml:space="preserve"/>
      </w:r>
    </w:p>
    <w:p>
      <w:pPr>
        <w:spacing w:after="120"/>
        <w:jc w:val="center"/>
      </w:pPr>
      <w:r>
        <w:rPr>
          <w:rFonts w:ascii="Times New Roman" w:cs="Times New Roman" w:eastAsia="Times New Roman" w:hAnsi="Times New Roman"/>
          <w:b/>
          <w:bCs/>
          <w:sz w:val="24"/>
          <w:szCs w:val="24"/>
        </w:rPr>
        <w:t xml:space="preserve">[Your Full Name]</w:t>
      </w:r>
    </w:p>
    <w:p>
      <w:pPr>
        <w:spacing w:after="120"/>
        <w:jc w:val="center"/>
      </w:pPr>
      <w:r>
        <w:rPr>
          <w:rFonts w:ascii="Times New Roman" w:cs="Times New Roman" w:eastAsia="Times New Roman" w:hAnsi="Times New Roman"/>
          <w:sz w:val="24"/>
          <w:szCs w:val="24"/>
        </w:rPr>
        <w:t xml:space="preserve">Masters Program in [Your Program]</w:t>
      </w:r>
    </w:p>
    <w:p>
      <w:pPr>
        <w:spacing w:after="120"/>
        <w:jc w:val="center"/>
      </w:pPr>
      <w:r>
        <w:rPr>
          <w:rFonts w:ascii="Times New Roman" w:cs="Times New Roman" w:eastAsia="Times New Roman" w:hAnsi="Times New Roman"/>
          <w:sz w:val="24"/>
          <w:szCs w:val="24"/>
        </w:rPr>
        <w:t xml:space="preserve">[Your University], [City, Country]</w:t>
      </w:r>
    </w:p>
    <w:p>
      <w:pPr>
        <w:spacing w:after="120"/>
        <w:jc w:val="center"/>
      </w:pPr>
      <w:r>
        <w:rPr>
          <w:rFonts w:ascii="Times New Roman" w:cs="Times New Roman" w:eastAsia="Times New Roman" w:hAnsi="Times New Roman"/>
          <w:sz w:val="24"/>
          <w:szCs w:val="24"/>
        </w:rPr>
        <w:t xml:space="preserve">[your.email@university.edu]</w:t>
      </w:r>
    </w:p>
    <w:p>
      <w:pPr>
        <w:spacing w:after="80"/>
      </w:pPr>
      <w:r>
        <w:t xml:space="preserve"/>
      </w:r>
    </w:p>
    <w:p>
      <w:pPr>
        <w:spacing w:after="120"/>
        <w:jc w:val="center"/>
      </w:pPr>
      <w:r>
        <w:rPr>
          <w:rFonts w:ascii="Times New Roman" w:cs="Times New Roman" w:eastAsia="Times New Roman" w:hAnsi="Times New Roman"/>
          <w:i/>
          <w:iCs/>
          <w:sz w:val="24"/>
          <w:szCs w:val="24"/>
        </w:rPr>
        <w:t xml:space="preserve">Submitted: March 2026</w:t>
      </w:r>
    </w:p>
    <w:p>
      <w:pPr>
        <w:spacing w:after="80"/>
      </w:pPr>
      <w:r>
        <w:t xml:space="preserve"/>
      </w:r>
    </w:p>
    <w:p>
      <w:pPr>
        <w:spacing w:after="80"/>
      </w:pPr>
      <w:r>
        <w:t xml:space="preserve"/>
      </w:r>
    </w:p>
    <w:p>
      <w:pPr>
        <w:spacing w:after="160"/>
        <w:jc w:val="center"/>
      </w:pPr>
      <w:r>
        <w:rPr>
          <w:rFonts w:ascii="Times New Roman" w:cs="Times New Roman" w:eastAsia="Times New Roman" w:hAnsi="Times New Roman"/>
          <w:b/>
          <w:bCs/>
          <w:sz w:val="26"/>
          <w:szCs w:val="26"/>
        </w:rPr>
        <w:t xml:space="preserve">Abstract</w:t>
      </w:r>
    </w:p>
    <w:p>
      <w:pPr>
        <w:spacing w:line="480" w:lineRule="auto" w:after="160"/>
        <w:ind w:firstLine="0"/>
        <w:jc w:val="both"/>
      </w:pPr>
      <w:r>
        <w:rPr>
          <w:rFonts w:ascii="Times New Roman" w:cs="Times New Roman" w:eastAsia="Times New Roman" w:hAnsi="Times New Roman"/>
          <w:sz w:val="24"/>
          <w:szCs w:val="24"/>
        </w:rPr>
        <w:t xml:space="preserve">We present ARTM (Agentic Retrieval-Augmented Topic Modeling), a novel framework that integrates retrieval-augmented generation with an iterative large language model-based refinement loop for unsupervised topic discovery in product review corpora. Applied to 10,206 Amazon Musical Instruments reviews, ARTM employs FAISS-backed dense retrieval to ground each topic in real review evidence, followed by a Flan-T5 agent that iteratively proposes, critiques, and refines topic labels across multiple iterations. The agentic critique step uses embedding-based similarity scoring rather than keyword matching, enabling robust convergence. Evaluated against a BERTopic baseline on five metrics, ARTM improves on three of five metrics while producing substantially more human-interpretable topic labels. Our results demonstrate that agentic refinement offers a principled mechanism for bridging the gap between statistically coherent and semantically meaningful topic representations in domain-specific e-commerce corpora.</w:t>
      </w:r>
    </w:p>
    <w:p>
      <w:pPr>
        <w:spacing w:line="480" w:lineRule="auto" w:after="160"/>
        <w:ind w:firstLine="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topic modeling, retrieval-augmented generation, LLM agents, BERTopic, FAISS, product review analysis, e-commerce NLP</w:t>
      </w:r>
    </w:p>
    <w:p>
      <w:r>
        <w:br w:type="page"/>
      </w:r>
    </w:p>
    <w:p>
      <w:pPr>
        <w:pStyle w:val="Heading1"/>
      </w:pPr>
      <w:r>
        <w:rPr>
          <w:rFonts w:ascii="Times New Roman" w:cs="Times New Roman" w:eastAsia="Times New Roman" w:hAnsi="Times New Roman"/>
          <w:b/>
          <w:bCs/>
          <w:sz w:val="28"/>
          <w:szCs w:val="28"/>
        </w:rPr>
        <w:t xml:space="preserve">1. Introduction</w:t>
      </w:r>
    </w:p>
    <w:p>
      <w:pPr>
        <w:spacing w:line="480" w:lineRule="auto" w:after="160"/>
        <w:ind w:firstLine="720"/>
        <w:jc w:val="both"/>
      </w:pPr>
      <w:r>
        <w:rPr>
          <w:rFonts w:ascii="Times New Roman" w:cs="Times New Roman" w:eastAsia="Times New Roman" w:hAnsi="Times New Roman"/>
          <w:sz w:val="24"/>
          <w:szCs w:val="24"/>
        </w:rPr>
        <w:t xml:space="preserve">Online product reviews represent one of the richest sources of unsolicited consumer opinion available to researchers and practitioners. The Amazon Musical Instruments dataset, comprising over ten thousand customer reviews spanning guitars, amplifiers, recording equipment, and accessories, provides a dense, domain-specific corpus through which we can examine how customers conceptualize product quality, usability, and value. Automatically discovering the latent topics that structure such a corpus is a core challenge in natural language processing, with direct applications to product development, market research, and recommendation systems.</w:t>
      </w:r>
    </w:p>
    <w:p>
      <w:pPr>
        <w:spacing w:line="480" w:lineRule="auto" w:after="160"/>
        <w:ind w:firstLine="720"/>
        <w:jc w:val="both"/>
      </w:pPr>
      <w:r>
        <w:rPr>
          <w:rFonts w:ascii="Times New Roman" w:cs="Times New Roman" w:eastAsia="Times New Roman" w:hAnsi="Times New Roman"/>
          <w:sz w:val="24"/>
          <w:szCs w:val="24"/>
        </w:rPr>
        <w:t xml:space="preserve">Traditional topic models such as Latent Dirichlet Allocation (LDA; Blei et al., 2003) and neural successors including BERTopic (Grootendorst, 2022) have made significant progress in this area. However, these methods share a fundamental limitation: once topics are extracted, they are static. No mechanism exists for the model to reflect on whether a proposed topic label is coherent, to retrieve supporting evidence, or to refine a poor label based on feedback.</w:t>
      </w:r>
    </w:p>
    <w:p>
      <w:pPr>
        <w:spacing w:line="480" w:lineRule="auto" w:after="160"/>
        <w:ind w:firstLine="720"/>
        <w:jc w:val="both"/>
      </w:pPr>
      <w:r>
        <w:rPr>
          <w:rFonts w:ascii="Times New Roman" w:cs="Times New Roman" w:eastAsia="Times New Roman" w:hAnsi="Times New Roman"/>
          <w:sz w:val="24"/>
          <w:szCs w:val="24"/>
        </w:rPr>
        <w:t xml:space="preserve">The emergence of large language model (LLM) agents opens a new paradigm for topic modeling. The Reflexion framework (Shinn et al., 2023) demonstrated that LLMs can improve task performance through verbal self-reflection and critique. Retrieval-augmented generation (RAG; Lewis et al., 2020) showed that grounding LLM outputs in retrieved documents substantially reduces hallucination and improves factual accuracy. This paper combines these insights into ARTM: Agentic Retrieval-Augmented Topic Modeling.</w:t>
      </w:r>
    </w:p>
    <w:p>
      <w:pPr>
        <w:spacing w:line="480" w:lineRule="auto" w:after="160"/>
        <w:ind w:firstLine="720"/>
        <w:jc w:val="both"/>
      </w:pPr>
      <w:r>
        <w:rPr>
          <w:rFonts w:ascii="Times New Roman" w:cs="Times New Roman" w:eastAsia="Times New Roman" w:hAnsi="Times New Roman"/>
          <w:sz w:val="24"/>
          <w:szCs w:val="24"/>
        </w:rPr>
        <w:t xml:space="preserve">ARTM seeds topics using BERTopic, then enters an agentic refinement loop in which a Flan-T5 LLM agent (i) retrieves the most relevant reviews for each topic via FAISS, (ii) proposes a concise human-readable label, (iii) scores the label using embedding-based similarity, and (iv) refines weak labels. This loop repeats for T iterations. We make the following contributions:</w:t>
      </w:r>
    </w:p>
    <w:p>
      <w:pPr>
        <w:pStyle w:val="ListParagraph"/>
        <w:numPr>
          <w:ilvl w:val="0"/>
          <w:numId w:val="2"/>
        </w:numPr>
        <w:spacing w:after="100"/>
      </w:pPr>
      <w:r>
        <w:rPr>
          <w:rFonts w:ascii="Times New Roman" w:cs="Times New Roman" w:eastAsia="Times New Roman" w:hAnsi="Times New Roman"/>
          <w:sz w:val="24"/>
          <w:szCs w:val="24"/>
        </w:rPr>
        <w:t xml:space="preserve">A novel agentic topic modeling framework (ARTM) combining RAG-based evidence retrieval with iterative LLM self-critique for unsupervised topic discovery.</w:t>
      </w:r>
    </w:p>
    <w:p>
      <w:pPr>
        <w:pStyle w:val="ListParagraph"/>
        <w:numPr>
          <w:ilvl w:val="0"/>
          <w:numId w:val="2"/>
        </w:numPr>
        <w:spacing w:after="100"/>
      </w:pPr>
      <w:r>
        <w:rPr>
          <w:rFonts w:ascii="Times New Roman" w:cs="Times New Roman" w:eastAsia="Times New Roman" w:hAnsi="Times New Roman"/>
          <w:sz w:val="24"/>
          <w:szCs w:val="24"/>
        </w:rPr>
        <w:t xml:space="preserve">An embedding-based critique mechanism that scores topic label quality through cosine similarity to retrieved review evidence and existing labels.</w:t>
      </w:r>
    </w:p>
    <w:p>
      <w:pPr>
        <w:pStyle w:val="ListParagraph"/>
        <w:numPr>
          <w:ilvl w:val="0"/>
          <w:numId w:val="2"/>
        </w:numPr>
        <w:spacing w:after="100"/>
      </w:pPr>
      <w:r>
        <w:rPr>
          <w:rFonts w:ascii="Times New Roman" w:cs="Times New Roman" w:eastAsia="Times New Roman" w:hAnsi="Times New Roman"/>
          <w:sz w:val="24"/>
          <w:szCs w:val="24"/>
        </w:rPr>
        <w:t xml:space="preserve">Empirical evaluation on 10,206 Amazon Musical Instruments reviews demonstrating improvements in CV coherence, NPMI, and topic diversity over a BERTopic baseline.</w:t>
      </w:r>
    </w:p>
    <w:p>
      <w:pPr>
        <w:pStyle w:val="ListParagraph"/>
        <w:numPr>
          <w:ilvl w:val="0"/>
          <w:numId w:val="2"/>
        </w:numPr>
        <w:spacing w:after="100"/>
      </w:pPr>
      <w:r>
        <w:rPr>
          <w:rFonts w:ascii="Times New Roman" w:cs="Times New Roman" w:eastAsia="Times New Roman" w:hAnsi="Times New Roman"/>
          <w:sz w:val="24"/>
          <w:szCs w:val="24"/>
        </w:rPr>
        <w:t xml:space="preserve">Qualitative analysis of a discovered product taxonomy with implications for e-commerce NLP applications.</w:t>
      </w:r>
    </w:p>
    <w:p>
      <w:pPr>
        <w:pStyle w:val="Heading1"/>
      </w:pPr>
      <w:r>
        <w:rPr>
          <w:rFonts w:ascii="Times New Roman" w:cs="Times New Roman" w:eastAsia="Times New Roman" w:hAnsi="Times New Roman"/>
          <w:b/>
          <w:bCs/>
          <w:sz w:val="28"/>
          <w:szCs w:val="28"/>
        </w:rPr>
        <w:t xml:space="preserve">2. Related Work</w:t>
      </w:r>
    </w:p>
    <w:p>
      <w:pPr>
        <w:pStyle w:val="Heading2"/>
      </w:pPr>
      <w:r>
        <w:rPr>
          <w:rFonts w:ascii="Times New Roman" w:cs="Times New Roman" w:eastAsia="Times New Roman" w:hAnsi="Times New Roman"/>
          <w:b/>
          <w:bCs/>
          <w:sz w:val="26"/>
          <w:szCs w:val="26"/>
        </w:rPr>
        <w:t xml:space="preserve">2.1 Traditional Topic Models</w:t>
      </w:r>
    </w:p>
    <w:p>
      <w:pPr>
        <w:spacing w:line="480" w:lineRule="auto" w:after="160"/>
        <w:ind w:firstLine="720"/>
        <w:jc w:val="both"/>
      </w:pPr>
      <w:r>
        <w:rPr>
          <w:rFonts w:ascii="Times New Roman" w:cs="Times New Roman" w:eastAsia="Times New Roman" w:hAnsi="Times New Roman"/>
          <w:sz w:val="24"/>
          <w:szCs w:val="24"/>
        </w:rPr>
        <w:t xml:space="preserve">Latent Dirichlet Allocation (Blei et al., 2003) established the probabilistic framework for topic modeling that dominated NLP for over a decade. LDA models documents as mixtures of latent topics, each characterized by a distribution over words. Despite widespread adoption, LDA suffers from the bag-of-words assumption, which discards word order and semantic context. The Structural Topic Model (Roberts et al., 2016) incorporated document metadata but retained the same representational limitations. Coherence evaluation metrics including NPMI and CV were developed in part because LDA and its variants often produce statistically valid but semantically incoherent topics (Röder et al., 2015).</w:t>
      </w:r>
    </w:p>
    <w:p>
      <w:pPr>
        <w:pStyle w:val="Heading2"/>
      </w:pPr>
      <w:r>
        <w:rPr>
          <w:rFonts w:ascii="Times New Roman" w:cs="Times New Roman" w:eastAsia="Times New Roman" w:hAnsi="Times New Roman"/>
          <w:b/>
          <w:bCs/>
          <w:sz w:val="26"/>
          <w:szCs w:val="26"/>
        </w:rPr>
        <w:t xml:space="preserve">2.2 Neural Topic Models</w:t>
      </w:r>
    </w:p>
    <w:p>
      <w:pPr>
        <w:spacing w:line="480" w:lineRule="auto" w:after="160"/>
        <w:ind w:firstLine="720"/>
        <w:jc w:val="both"/>
      </w:pPr>
      <w:r>
        <w:rPr>
          <w:rFonts w:ascii="Times New Roman" w:cs="Times New Roman" w:eastAsia="Times New Roman" w:hAnsi="Times New Roman"/>
          <w:sz w:val="24"/>
          <w:szCs w:val="24"/>
        </w:rPr>
        <w:t xml:space="preserve">The neural variational document model (Miao et al., 2016) and embedded topic model (Dieng et al., 2020) introduced continuous latent representations, enabling semantic coherence impossible in purely probabilistic models. BERTopic (Grootendorst, 2022), the most directly relevant prior work, leverages BERT sentence embeddings with UMAP dimensionality reduction and HDBSCAN clustering, using class-based TF-IDF to extract representative keywords. The Contextualized Topic Model (Bianchi et al., 2021) combined bag-of-words inputs with sentence embeddings. Our work builds on BERTopic as a seeding mechanism, adding an agentic refinement layer that static neural topic models lack.</w:t>
      </w:r>
    </w:p>
    <w:p>
      <w:pPr>
        <w:pStyle w:val="Heading2"/>
      </w:pPr>
      <w:r>
        <w:rPr>
          <w:rFonts w:ascii="Times New Roman" w:cs="Times New Roman" w:eastAsia="Times New Roman" w:hAnsi="Times New Roman"/>
          <w:b/>
          <w:bCs/>
          <w:sz w:val="26"/>
          <w:szCs w:val="26"/>
        </w:rPr>
        <w:t xml:space="preserve">2.3 Retrieval-Augmented Generation</w:t>
      </w:r>
    </w:p>
    <w:p>
      <w:pPr>
        <w:spacing w:line="480" w:lineRule="auto" w:after="160"/>
        <w:ind w:firstLine="720"/>
        <w:jc w:val="both"/>
      </w:pPr>
      <w:r>
        <w:rPr>
          <w:rFonts w:ascii="Times New Roman" w:cs="Times New Roman" w:eastAsia="Times New Roman" w:hAnsi="Times New Roman"/>
          <w:sz w:val="24"/>
          <w:szCs w:val="24"/>
        </w:rPr>
        <w:t xml:space="preserve">Lewis et al. (2020) introduced RAG for knowledge-intensive NLP tasks, demonstrating that grounding LLM generation in retrieved documents substantially improves factual accuracy. Dense Passage Retrieval (Karpukhin et al., 2020) provided the retrieval backbone through dense bi-encoder representations, and FAISS (Johnson et al., 2021) enabled billion-scale similarity search. In ARTM, RAG serves a different function than in question answering: retrieved reviews provide per-topic evidence that grounds each label proposal, preventing generic or hallucinated labels.</w:t>
      </w:r>
    </w:p>
    <w:p>
      <w:pPr>
        <w:pStyle w:val="Heading2"/>
      </w:pPr>
      <w:r>
        <w:rPr>
          <w:rFonts w:ascii="Times New Roman" w:cs="Times New Roman" w:eastAsia="Times New Roman" w:hAnsi="Times New Roman"/>
          <w:b/>
          <w:bCs/>
          <w:sz w:val="26"/>
          <w:szCs w:val="26"/>
        </w:rPr>
        <w:t xml:space="preserve">2.4 LLM Agents and Self-Refinement</w:t>
      </w:r>
    </w:p>
    <w:p>
      <w:pPr>
        <w:spacing w:line="480" w:lineRule="auto" w:after="160"/>
        <w:ind w:firstLine="720"/>
        <w:jc w:val="both"/>
      </w:pPr>
      <w:r>
        <w:rPr>
          <w:rFonts w:ascii="Times New Roman" w:cs="Times New Roman" w:eastAsia="Times New Roman" w:hAnsi="Times New Roman"/>
          <w:sz w:val="24"/>
          <w:szCs w:val="24"/>
        </w:rPr>
        <w:t xml:space="preserve">ReAct (Yao et al., 2023) demonstrated that interleaving reasoning traces with tool-use actions enables LLMs to solve complex tasks more reliably than either approach alone. Reflexion (Shinn et al., 2023) extended this with verbal reinforcement: an agent that reflects on its outputs and uses self-generated critiques to improve subsequent attempts. Our agentic loop is directly inspired by Reflexion, adapted to unsupervised topic labeling where no ground truth exists and quality must be measured through embedding similarity. The agent survey of Wang et al. (2024) provides a comprehensive overview of the design space within which ARTM operates.</w:t>
      </w:r>
    </w:p>
    <w:p>
      <w:pPr>
        <w:pStyle w:val="Heading2"/>
      </w:pPr>
      <w:r>
        <w:rPr>
          <w:rFonts w:ascii="Times New Roman" w:cs="Times New Roman" w:eastAsia="Times New Roman" w:hAnsi="Times New Roman"/>
          <w:b/>
          <w:bCs/>
          <w:sz w:val="26"/>
          <w:szCs w:val="26"/>
        </w:rPr>
        <w:t xml:space="preserve">2.5 Topic Modeling for Product Reviews</w:t>
      </w:r>
    </w:p>
    <w:p>
      <w:pPr>
        <w:spacing w:line="480" w:lineRule="auto" w:after="160"/>
        <w:ind w:firstLine="720"/>
        <w:jc w:val="both"/>
      </w:pPr>
      <w:r>
        <w:rPr>
          <w:rFonts w:ascii="Times New Roman" w:cs="Times New Roman" w:eastAsia="Times New Roman" w:hAnsi="Times New Roman"/>
          <w:sz w:val="24"/>
          <w:szCs w:val="24"/>
        </w:rPr>
        <w:t xml:space="preserve">Titov and McDonald (2008) introduced aspect-based topic models for opinion mining in reviews. Jo and Oh (2011) jointly modeled aspects and sentiment. The Amazon product review datasets introduced by McAuley and Leskovec (2013) and updated by He and McAuley (2016) are standard benchmarks. Despite this rich prior work, no study has applied an agentic RAG framework to topic discovery in the Musical Instruments subset. The combination of technical vocabulary (intonation, sustain, resonance) with experiential language (beginner-friendly, gig-ready) makes this domain a strong stress-test for topic models.</w:t>
      </w:r>
    </w:p>
    <w:p>
      <w:pPr>
        <w:pStyle w:val="Heading2"/>
      </w:pPr>
      <w:r>
        <w:rPr>
          <w:rFonts w:ascii="Times New Roman" w:cs="Times New Roman" w:eastAsia="Times New Roman" w:hAnsi="Times New Roman"/>
          <w:b/>
          <w:bCs/>
          <w:sz w:val="26"/>
          <w:szCs w:val="26"/>
        </w:rPr>
        <w:t xml:space="preserve">2.6 Research Gap</w:t>
      </w:r>
    </w:p>
    <w:p>
      <w:pPr>
        <w:spacing w:line="480" w:lineRule="auto" w:after="160"/>
        <w:ind w:firstLine="720"/>
        <w:jc w:val="both"/>
      </w:pPr>
      <w:r>
        <w:rPr>
          <w:rFonts w:ascii="Times New Roman" w:cs="Times New Roman" w:eastAsia="Times New Roman" w:hAnsi="Times New Roman"/>
          <w:sz w:val="24"/>
          <w:szCs w:val="24"/>
        </w:rPr>
        <w:t xml:space="preserve">Prior work has (a) used neural embeddings to improve topic coherence without iterative refinement, (b) applied LLM agents to structured tasks but not to unsupervised topic discovery, and (c) used RAG for knowledge retrieval but not as evidence grounding for topic labeling. ARTM is the first system to unify retrieval-augmented evidence, LLM-based self-critique, and iterative topic refinement into a single agentic pipeline for unsupervised topic modeling of product reviews.</w:t>
      </w:r>
    </w:p>
    <w:p>
      <w:pPr>
        <w:pStyle w:val="Heading1"/>
      </w:pPr>
      <w:r>
        <w:rPr>
          <w:rFonts w:ascii="Times New Roman" w:cs="Times New Roman" w:eastAsia="Times New Roman" w:hAnsi="Times New Roman"/>
          <w:b/>
          <w:bCs/>
          <w:sz w:val="28"/>
          <w:szCs w:val="28"/>
        </w:rPr>
        <w:t xml:space="preserve">3. Methodology</w:t>
      </w:r>
    </w:p>
    <w:p>
      <w:pPr>
        <w:pStyle w:val="Heading2"/>
      </w:pPr>
      <w:r>
        <w:rPr>
          <w:rFonts w:ascii="Times New Roman" w:cs="Times New Roman" w:eastAsia="Times New Roman" w:hAnsi="Times New Roman"/>
          <w:b/>
          <w:bCs/>
          <w:sz w:val="26"/>
          <w:szCs w:val="26"/>
        </w:rPr>
        <w:t xml:space="preserve">3.1 Dataset</w:t>
      </w:r>
    </w:p>
    <w:p>
      <w:pPr>
        <w:spacing w:line="480" w:lineRule="auto" w:after="160"/>
        <w:ind w:firstLine="720"/>
        <w:jc w:val="both"/>
      </w:pPr>
      <w:r>
        <w:rPr>
          <w:rFonts w:ascii="Times New Roman" w:cs="Times New Roman" w:eastAsia="Times New Roman" w:hAnsi="Times New Roman"/>
          <w:sz w:val="24"/>
          <w:szCs w:val="24"/>
        </w:rPr>
        <w:t xml:space="preserve">We use the Amazon Musical Instruments review dataset (He and McAuley, 2016), specifically the 5-core subset ensuring all users and items have at least five reviews. After filtering reviews shorter than 40 characters, our corpus comprises 10,206 reviews covering guitars, amplifiers, cables, tuners, microphones, stands, cleaning supplies, and accessories. The average review length is 187 words, providing sufficient context for meaningful topic extraction.</w:t>
      </w:r>
    </w:p>
    <w:p>
      <w:pPr>
        <w:pStyle w:val="Heading2"/>
      </w:pPr>
      <w:r>
        <w:rPr>
          <w:rFonts w:ascii="Times New Roman" w:cs="Times New Roman" w:eastAsia="Times New Roman" w:hAnsi="Times New Roman"/>
          <w:b/>
          <w:bCs/>
          <w:sz w:val="26"/>
          <w:szCs w:val="26"/>
        </w:rPr>
        <w:t xml:space="preserve">3.2 System Architecture</w:t>
      </w:r>
    </w:p>
    <w:p>
      <w:pPr>
        <w:spacing w:line="480" w:lineRule="auto" w:after="160"/>
        <w:ind w:firstLine="720"/>
        <w:jc w:val="both"/>
      </w:pPr>
      <w:r>
        <w:rPr>
          <w:rFonts w:ascii="Times New Roman" w:cs="Times New Roman" w:eastAsia="Times New Roman" w:hAnsi="Times New Roman"/>
          <w:sz w:val="24"/>
          <w:szCs w:val="24"/>
        </w:rPr>
        <w:t xml:space="preserve">ARTM comprises four modules: (1) an embedding layer encoding all reviews into dense vector representations, (2) a FAISS vector index enabling fast similarity-based retrieval, (3) a BERTopic seeding module producing initial topic clusters, and (4) an agentic refinement loop iteratively improving topic labels. The full algorithm is presented in Algorithm 1 below.</w:t>
      </w:r>
    </w:p>
    <w:p>
      <w:pPr>
        <w:pStyle w:val="Heading2"/>
      </w:pPr>
      <w:r>
        <w:rPr>
          <w:rFonts w:ascii="Times New Roman" w:cs="Times New Roman" w:eastAsia="Times New Roman" w:hAnsi="Times New Roman"/>
          <w:b/>
          <w:bCs/>
          <w:sz w:val="26"/>
          <w:szCs w:val="26"/>
        </w:rPr>
        <w:t xml:space="preserve">3.3 Embedding and Indexing</w:t>
      </w:r>
    </w:p>
    <w:p>
      <w:pPr>
        <w:spacing w:line="480" w:lineRule="auto" w:after="160"/>
        <w:ind w:firstLine="720"/>
        <w:jc w:val="both"/>
      </w:pPr>
      <w:r>
        <w:rPr>
          <w:rFonts w:ascii="Times New Roman" w:cs="Times New Roman" w:eastAsia="Times New Roman" w:hAnsi="Times New Roman"/>
          <w:sz w:val="24"/>
          <w:szCs w:val="24"/>
        </w:rPr>
        <w:t xml:space="preserve">We encode all reviews using the all-MiniLM-L6-v2 sentence transformer (Reimers and Gurevych, 2019), producing 384-dimensional L2-normalized embeddings in batches of 64. We index these with a FAISS IndexFlatIP (inner product on normalized vectors, equivalent to cosine similarity), enabling sub-second retrieval of the top-k most similar reviews at our corpus scale. On Apple M4 hardware with MPS acceleration, the full encoding step completes in approximately 11 seconds for 10,206 reviews.</w:t>
      </w:r>
    </w:p>
    <w:p>
      <w:pPr>
        <w:pStyle w:val="Heading2"/>
      </w:pPr>
      <w:r>
        <w:rPr>
          <w:rFonts w:ascii="Times New Roman" w:cs="Times New Roman" w:eastAsia="Times New Roman" w:hAnsi="Times New Roman"/>
          <w:b/>
          <w:bCs/>
          <w:sz w:val="26"/>
          <w:szCs w:val="26"/>
        </w:rPr>
        <w:t xml:space="preserve">3.4 BERTopic Seeding</w:t>
      </w:r>
    </w:p>
    <w:p>
      <w:pPr>
        <w:spacing w:line="480" w:lineRule="auto" w:after="160"/>
        <w:ind w:firstLine="720"/>
        <w:jc w:val="both"/>
      </w:pPr>
      <w:r>
        <w:rPr>
          <w:rFonts w:ascii="Times New Roman" w:cs="Times New Roman" w:eastAsia="Times New Roman" w:hAnsi="Times New Roman"/>
          <w:sz w:val="24"/>
          <w:szCs w:val="24"/>
        </w:rPr>
        <w:t xml:space="preserve">We apply BERTopic with UMAP dimensionality reduction (n_neighbors=15, n_components=5, min_dist=0.0, metric=cosine, random_state=42) and HDBSCAN clustering (min_cluster_size=30, metric=euclidean, cluster_selection_method=eom). Topic keywords are extracted using class-based TF-IDF with CountVectorizer (ngram_range=(1,2), min_df=3, max_df=0.95) and MaximalMarginalRelevance diversity (diversity=0.4). We request nr_topics=10, of which 8-9 survive outlier filtering (topic -1 discarded).</w:t>
      </w:r>
    </w:p>
    <w:p>
      <w:pPr>
        <w:pStyle w:val="Heading2"/>
      </w:pPr>
      <w:r>
        <w:rPr>
          <w:rFonts w:ascii="Times New Roman" w:cs="Times New Roman" w:eastAsia="Times New Roman" w:hAnsi="Times New Roman"/>
          <w:b/>
          <w:bCs/>
          <w:sz w:val="26"/>
          <w:szCs w:val="26"/>
        </w:rPr>
        <w:t xml:space="preserve">3.5 Agentic Refinement Loop</w:t>
      </w:r>
    </w:p>
    <w:p>
      <w:pPr>
        <w:spacing w:line="480" w:lineRule="auto" w:after="160"/>
        <w:ind w:firstLine="720"/>
        <w:jc w:val="both"/>
      </w:pPr>
      <w:r>
        <w:rPr>
          <w:rFonts w:ascii="Times New Roman" w:cs="Times New Roman" w:eastAsia="Times New Roman" w:hAnsi="Times New Roman"/>
          <w:sz w:val="24"/>
          <w:szCs w:val="24"/>
        </w:rPr>
        <w:t xml:space="preserve">The core contribution of this paper is the agentic refinement loop (Algorithm 1). For each topic at each iteration, the agent performs three operations:</w:t>
      </w:r>
    </w:p>
    <w:p>
      <w:pPr>
        <w:pStyle w:val="ListParagraph"/>
        <w:numPr>
          <w:ilvl w:val="0"/>
          <w:numId w:val="3"/>
        </w:numPr>
        <w:spacing w:after="100"/>
      </w:pPr>
      <w:r>
        <w:rPr>
          <w:rFonts w:ascii="Times New Roman" w:cs="Times New Roman" w:eastAsia="Times New Roman" w:hAnsi="Times New Roman"/>
          <w:b/>
          <w:bCs/>
          <w:sz w:val="24"/>
          <w:szCs w:val="24"/>
        </w:rPr>
        <w:t xml:space="preserve">Propose: </w:t>
      </w:r>
      <w:r>
        <w:rPr>
          <w:rFonts w:ascii="Times New Roman" w:cs="Times New Roman" w:eastAsia="Times New Roman" w:hAnsi="Times New Roman"/>
          <w:sz w:val="24"/>
          <w:szCs w:val="24"/>
        </w:rPr>
        <w:t xml:space="preserve">The agent queries FAISS with the topic keyword centroid, retrieves k=30 most semantically similar reviews, and prompts Flan-T5-base to generate a concise 3-word noun phrase label grounded in this evidence. The prompt explicitly requests a noun phrase and prohibits verbs, brand names, and commands.</w:t>
      </w:r>
    </w:p>
    <w:p>
      <w:pPr>
        <w:pStyle w:val="ListParagraph"/>
        <w:numPr>
          <w:ilvl w:val="0"/>
          <w:numId w:val="3"/>
        </w:numPr>
        <w:spacing w:after="100"/>
      </w:pPr>
      <w:r>
        <w:rPr>
          <w:rFonts w:ascii="Times New Roman" w:cs="Times New Roman" w:eastAsia="Times New Roman" w:hAnsi="Times New Roman"/>
          <w:b/>
          <w:bCs/>
          <w:sz w:val="24"/>
          <w:szCs w:val="24"/>
        </w:rPr>
        <w:t xml:space="preserve">Critique: </w:t>
      </w:r>
      <w:r>
        <w:rPr>
          <w:rFonts w:ascii="Times New Roman" w:cs="Times New Roman" w:eastAsia="Times New Roman" w:hAnsi="Times New Roman"/>
          <w:sz w:val="24"/>
          <w:szCs w:val="24"/>
        </w:rPr>
        <w:t xml:space="preserve">Rather than relying on LLM self-scoring, which produced unreliable yes/no responses in preliminary experiments, we compute an embedding-based composite score: s = 0.6 * mean_sim(label, evidence) + 0.4 * (1 - max_sim(label, existing_labels)), balancing evidence fit with distinctiveness from other topics.</w:t>
      </w:r>
    </w:p>
    <w:p>
      <w:pPr>
        <w:pStyle w:val="ListParagraph"/>
        <w:numPr>
          <w:ilvl w:val="0"/>
          <w:numId w:val="3"/>
        </w:numPr>
        <w:spacing w:after="100"/>
      </w:pPr>
      <w:r>
        <w:rPr>
          <w:rFonts w:ascii="Times New Roman" w:cs="Times New Roman" w:eastAsia="Times New Roman" w:hAnsi="Times New Roman"/>
          <w:b/>
          <w:bCs/>
          <w:sz w:val="24"/>
          <w:szCs w:val="24"/>
        </w:rPr>
        <w:t xml:space="preserve">Refine: </w:t>
      </w:r>
      <w:r>
        <w:rPr>
          <w:rFonts w:ascii="Times New Roman" w:cs="Times New Roman" w:eastAsia="Times New Roman" w:hAnsi="Times New Roman"/>
          <w:sz w:val="24"/>
          <w:szCs w:val="24"/>
        </w:rPr>
        <w:t xml:space="preserve">If the composite score falls below threshold tau=0.45, the agent generates a revised label using both the original evidence and the critique feedback, mirroring the Reflexion self-correction paradigm.</w:t>
      </w:r>
    </w:p>
    <w:p>
      <w:pPr>
        <w:spacing w:after="8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AAAAAA" w:sz="4"/>
              <w:left w:val="single" w:color="AAAAAA" w:sz="4"/>
              <w:bottom w:val="single" w:color="AAAAAA" w:sz="4"/>
              <w:right w:val="single" w:color="AAAAAA" w:sz="4"/>
            </w:tcBorders>
            <w:shd w:fill="F8F8F8" w:val="clear"/>
            <w:tcMar>
              <w:top w:type="dxa" w:w="160"/>
              <w:left w:type="dxa" w:w="280"/>
              <w:bottom w:type="dxa" w:w="160"/>
              <w:right w:type="dxa" w:w="280"/>
            </w:tcMar>
          </w:tcPr>
          <w:p>
            <w:pPr>
              <w:spacing w:after="0" w:line="300" w:lineRule="auto"/>
            </w:pPr>
            <w:r>
              <w:rPr>
                <w:rFonts w:ascii="Courier New" w:cs="Courier New" w:eastAsia="Courier New" w:hAnsi="Courier New"/>
                <w:b/>
                <w:bCs/>
                <w:sz w:val="18"/>
                <w:szCs w:val="18"/>
              </w:rPr>
              <w:t xml:space="preserve">Algorithm 1: Agentic RAG Topic Modeling (ARTM)</w:t>
            </w:r>
          </w:p>
          <w:p>
            <w:pPr>
              <w:spacing w:after="0" w:line="300" w:lineRule="auto"/>
            </w:pPr>
            <w:r>
              <w:rPr>
                <w:rFonts w:ascii="Courier New" w:cs="Courier New" w:eastAsia="Courier New" w:hAnsi="Courier New"/>
                <w:b w:val="false"/>
                <w:bCs w:val="false"/>
                <w:sz w:val="18"/>
                <w:szCs w:val="18"/>
              </w:rPr>
              <w:t xml:space="preserve">Input:  D (reviews), eps (embedder), A (LLM agent), T (max iters), tau (threshold)</w:t>
            </w:r>
          </w:p>
          <w:p>
            <w:pPr>
              <w:spacing w:after="0" w:line="300" w:lineRule="auto"/>
            </w:pPr>
            <w:r>
              <w:rPr>
                <w:rFonts w:ascii="Courier New" w:cs="Courier New" w:eastAsia="Courier New" w:hAnsi="Courier New"/>
                <w:b w:val="false"/>
                <w:bCs w:val="false"/>
                <w:sz w:val="18"/>
                <w:szCs w:val="18"/>
              </w:rPr>
              <w:t xml:space="preserve">Output: Theta (final topic set with labels)</w:t>
            </w:r>
          </w:p>
          <w:p>
            <w:pPr>
              <w:spacing w:after="0" w:line="300" w:lineRule="auto"/>
            </w:pPr>
            <w:r>
              <w:rPr>
                <w:rFonts w:ascii="Courier New" w:cs="Courier New" w:eastAsia="Courier New" w:hAnsi="Courier New"/>
                <w:b w:val="false"/>
                <w:bCs w:val="false"/>
                <w:sz w:val="18"/>
                <w:szCs w:val="18"/>
              </w:rPr>
              <w:t xml:space="preserve">-----------------------------------------------------------</w:t>
            </w:r>
          </w:p>
          <w:p>
            <w:pPr>
              <w:spacing w:after="0" w:line="300" w:lineRule="auto"/>
            </w:pPr>
            <w:r>
              <w:rPr>
                <w:rFonts w:ascii="Courier New" w:cs="Courier New" w:eastAsia="Courier New" w:hAnsi="Courier New"/>
                <w:b w:val="false"/>
                <w:bCs w:val="false"/>
                <w:sz w:val="18"/>
                <w:szCs w:val="18"/>
              </w:rPr>
              <w:t xml:space="preserve">1.  E  &lt;- eps(D)                 // embed all reviews (FAISS)</w:t>
            </w:r>
          </w:p>
          <w:p>
            <w:pPr>
              <w:spacing w:after="0" w:line="300" w:lineRule="auto"/>
            </w:pPr>
            <w:r>
              <w:rPr>
                <w:rFonts w:ascii="Courier New" w:cs="Courier New" w:eastAsia="Courier New" w:hAnsi="Courier New"/>
                <w:b w:val="false"/>
                <w:bCs w:val="false"/>
                <w:sz w:val="18"/>
                <w:szCs w:val="18"/>
              </w:rPr>
              <w:t xml:space="preserve">2.  F  &lt;- FAISS_index(E)         // build inner-product index</w:t>
            </w:r>
          </w:p>
          <w:p>
            <w:pPr>
              <w:spacing w:after="0" w:line="300" w:lineRule="auto"/>
            </w:pPr>
            <w:r>
              <w:rPr>
                <w:rFonts w:ascii="Courier New" w:cs="Courier New" w:eastAsia="Courier New" w:hAnsi="Courier New"/>
                <w:b w:val="false"/>
                <w:bCs w:val="false"/>
                <w:sz w:val="18"/>
                <w:szCs w:val="18"/>
              </w:rPr>
              <w:t xml:space="preserve">3.  Theta_0 &lt;- BERTopic(D, E)    // seed topic clusters (k=10)</w:t>
            </w:r>
          </w:p>
          <w:p>
            <w:pPr>
              <w:spacing w:after="0" w:line="300" w:lineRule="auto"/>
            </w:pPr>
            <w:r>
              <w:rPr>
                <w:rFonts w:ascii="Courier New" w:cs="Courier New" w:eastAsia="Courier New" w:hAnsi="Courier New"/>
                <w:b w:val="false"/>
                <w:bCs w:val="false"/>
                <w:sz w:val="18"/>
                <w:szCs w:val="18"/>
              </w:rPr>
              <w:t xml:space="preserve">4.  t  &lt;- 0</w:t>
            </w:r>
          </w:p>
          <w:p>
            <w:pPr>
              <w:spacing w:after="0" w:line="300" w:lineRule="auto"/>
            </w:pPr>
            <w:r>
              <w:rPr>
                <w:rFonts w:ascii="Courier New" w:cs="Courier New" w:eastAsia="Courier New" w:hAnsi="Courier New"/>
                <w:b w:val="false"/>
                <w:bCs w:val="false"/>
                <w:sz w:val="18"/>
                <w:szCs w:val="18"/>
              </w:rPr>
              <w:t xml:space="preserve">5.  while t &lt; T:</w:t>
            </w:r>
          </w:p>
          <w:p>
            <w:pPr>
              <w:spacing w:after="0" w:line="300" w:lineRule="auto"/>
            </w:pPr>
            <w:r>
              <w:rPr>
                <w:rFonts w:ascii="Courier New" w:cs="Courier New" w:eastAsia="Courier New" w:hAnsi="Courier New"/>
                <w:b w:val="false"/>
                <w:bCs w:val="false"/>
                <w:sz w:val="18"/>
                <w:szCs w:val="18"/>
              </w:rPr>
              <w:t xml:space="preserve">6.    for each topic theta_i in Theta_t:</w:t>
            </w:r>
          </w:p>
          <w:p>
            <w:pPr>
              <w:spacing w:after="0" w:line="300" w:lineRule="auto"/>
            </w:pPr>
            <w:r>
              <w:rPr>
                <w:rFonts w:ascii="Courier New" w:cs="Courier New" w:eastAsia="Courier New" w:hAnsi="Courier New"/>
                <w:b w:val="false"/>
                <w:bCs w:val="false"/>
                <w:sz w:val="18"/>
                <w:szCs w:val="18"/>
              </w:rPr>
              <w:t xml:space="preserve">7.      R_i &lt;- FAISS_retrieve(F, theta_i, k=30)</w:t>
            </w:r>
          </w:p>
          <w:p>
            <w:pPr>
              <w:spacing w:after="0" w:line="300" w:lineRule="auto"/>
            </w:pPr>
            <w:r>
              <w:rPr>
                <w:rFonts w:ascii="Courier New" w:cs="Courier New" w:eastAsia="Courier New" w:hAnsi="Courier New"/>
                <w:b w:val="false"/>
                <w:bCs w:val="false"/>
                <w:sz w:val="18"/>
                <w:szCs w:val="18"/>
              </w:rPr>
              <w:t xml:space="preserve">8.      l_i &lt;- A.propose(theta_i, R_i)          // 3-word label</w:t>
            </w:r>
          </w:p>
          <w:p>
            <w:pPr>
              <w:spacing w:after="0" w:line="300" w:lineRule="auto"/>
            </w:pPr>
            <w:r>
              <w:rPr>
                <w:rFonts w:ascii="Courier New" w:cs="Courier New" w:eastAsia="Courier New" w:hAnsi="Courier New"/>
                <w:b w:val="false"/>
                <w:bCs w:val="false"/>
                <w:sz w:val="18"/>
                <w:szCs w:val="18"/>
              </w:rPr>
              <w:t xml:space="preserve">9.      s_i &lt;- A.critique(l_i, R_i, Theta_t)    // embedding score</w:t>
            </w:r>
          </w:p>
          <w:p>
            <w:pPr>
              <w:spacing w:after="0" w:line="300" w:lineRule="auto"/>
            </w:pPr>
            <w:r>
              <w:rPr>
                <w:rFonts w:ascii="Courier New" w:cs="Courier New" w:eastAsia="Courier New" w:hAnsi="Courier New"/>
                <w:b w:val="false"/>
                <w:bCs w:val="false"/>
                <w:sz w:val="18"/>
                <w:szCs w:val="18"/>
              </w:rPr>
              <w:t xml:space="preserve">10.     if s_i &lt; tau: l_i &lt;- A.refine(l_i, R_i) // refine weak</w:t>
            </w:r>
          </w:p>
          <w:p>
            <w:pPr>
              <w:spacing w:after="0" w:line="300" w:lineRule="auto"/>
            </w:pPr>
            <w:r>
              <w:rPr>
                <w:rFonts w:ascii="Courier New" w:cs="Courier New" w:eastAsia="Courier New" w:hAnsi="Courier New"/>
                <w:b w:val="false"/>
                <w:bCs w:val="false"/>
                <w:sz w:val="18"/>
                <w:szCs w:val="18"/>
              </w:rPr>
              <w:t xml:space="preserve">11.   Theta_{t+1} &lt;- deduplicate(Theta_t, cos=0.65)</w:t>
            </w:r>
          </w:p>
          <w:p>
            <w:pPr>
              <w:spacing w:after="0" w:line="300" w:lineRule="auto"/>
            </w:pPr>
            <w:r>
              <w:rPr>
                <w:rFonts w:ascii="Courier New" w:cs="Courier New" w:eastAsia="Courier New" w:hAnsi="Courier New"/>
                <w:b w:val="false"/>
                <w:bCs w:val="false"/>
                <w:sz w:val="18"/>
                <w:szCs w:val="18"/>
              </w:rPr>
              <w:t xml:space="preserve">12.   t &lt;- t + 1</w:t>
            </w:r>
          </w:p>
          <w:p>
            <w:pPr>
              <w:spacing w:after="0" w:line="300" w:lineRule="auto"/>
            </w:pPr>
            <w:r>
              <w:rPr>
                <w:rFonts w:ascii="Courier New" w:cs="Courier New" w:eastAsia="Courier New" w:hAnsi="Courier New"/>
                <w:b w:val="false"/>
                <w:bCs w:val="false"/>
                <w:sz w:val="18"/>
                <w:szCs w:val="18"/>
              </w:rPr>
              <w:t xml:space="preserve">13. return Theta_t</w:t>
            </w:r>
          </w:p>
        </w:tc>
      </w:tr>
    </w:tbl>
    <w:p>
      <w:pPr>
        <w:spacing w:before="120" w:after="280"/>
        <w:jc w:val="center"/>
      </w:pPr>
      <w:r>
        <w:rPr>
          <w:rFonts w:ascii="Times New Roman" w:cs="Times New Roman" w:eastAsia="Times New Roman" w:hAnsi="Times New Roman"/>
          <w:i/>
          <w:iCs/>
          <w:sz w:val="20"/>
          <w:szCs w:val="20"/>
        </w:rPr>
        <w:t xml:space="preserve">Algorithm 1: ARTM formal specification. Theta_0 denotes BERTopic seed topics; l_i denotes the proposed label for topic i.</w:t>
      </w:r>
    </w:p>
    <w:p>
      <w:pPr>
        <w:pStyle w:val="Heading2"/>
      </w:pPr>
      <w:r>
        <w:rPr>
          <w:rFonts w:ascii="Times New Roman" w:cs="Times New Roman" w:eastAsia="Times New Roman" w:hAnsi="Times New Roman"/>
          <w:b/>
          <w:bCs/>
          <w:sz w:val="26"/>
          <w:szCs w:val="26"/>
        </w:rPr>
        <w:t xml:space="preserve">3.6 Deduplication</w:t>
      </w:r>
    </w:p>
    <w:p>
      <w:pPr>
        <w:spacing w:line="480" w:lineRule="auto" w:after="160"/>
        <w:ind w:firstLine="720"/>
        <w:jc w:val="both"/>
      </w:pPr>
      <w:r>
        <w:rPr>
          <w:rFonts w:ascii="Times New Roman" w:cs="Times New Roman" w:eastAsia="Times New Roman" w:hAnsi="Times New Roman"/>
          <w:sz w:val="24"/>
          <w:szCs w:val="24"/>
        </w:rPr>
        <w:t xml:space="preserve">After each iteration, topic pairs whose label embeddings share cosine similarity above 0.65 are merged, retaining the higher-scoring topic. This prevents convergence to near-identical topics (e.g., 'guitar picks' appearing twice in v1) and maintains topic diversity across iterations. In our experiments, 1-3 merges occur per iteration.</w:t>
      </w:r>
    </w:p>
    <w:p>
      <w:pPr>
        <w:pStyle w:val="Heading2"/>
      </w:pPr>
      <w:r>
        <w:rPr>
          <w:rFonts w:ascii="Times New Roman" w:cs="Times New Roman" w:eastAsia="Times New Roman" w:hAnsi="Times New Roman"/>
          <w:b/>
          <w:bCs/>
          <w:sz w:val="26"/>
          <w:szCs w:val="26"/>
        </w:rPr>
        <w:t xml:space="preserve">3.7 Implementation Details</w:t>
      </w:r>
    </w:p>
    <w:p>
      <w:pPr>
        <w:spacing w:line="480" w:lineRule="auto" w:after="160"/>
        <w:ind w:firstLine="720"/>
        <w:jc w:val="both"/>
      </w:pPr>
      <w:r>
        <w:rPr>
          <w:rFonts w:ascii="Times New Roman" w:cs="Times New Roman" w:eastAsia="Times New Roman" w:hAnsi="Times New Roman"/>
          <w:sz w:val="24"/>
          <w:szCs w:val="24"/>
        </w:rPr>
        <w:t xml:space="preserve">All experiments run on Apple M4 with MPS acceleration via PyTorch. The embedding model is sentence-transformers/all-MiniLM-L6-v2. The LLM agent is google/flan-t5-base loaded via HuggingFace Transformers with num_beams=4 and no_repeat_ngram_size=2. We run T=3 agentic iterations with tau=0.45 and random_seed=42. Total pipeline runtime is approximately 25 minutes on M4 hardware.</w:t>
      </w:r>
    </w:p>
    <w:p>
      <w:pPr>
        <w:pStyle w:val="Heading1"/>
      </w:pPr>
      <w:r>
        <w:rPr>
          <w:rFonts w:ascii="Times New Roman" w:cs="Times New Roman" w:eastAsia="Times New Roman" w:hAnsi="Times New Roman"/>
          <w:b/>
          <w:bCs/>
          <w:sz w:val="28"/>
          <w:szCs w:val="28"/>
        </w:rPr>
        <w:t xml:space="preserve">4. Evaluation Framework</w:t>
      </w:r>
    </w:p>
    <w:p>
      <w:pPr>
        <w:pStyle w:val="Heading2"/>
      </w:pPr>
      <w:r>
        <w:rPr>
          <w:rFonts w:ascii="Times New Roman" w:cs="Times New Roman" w:eastAsia="Times New Roman" w:hAnsi="Times New Roman"/>
          <w:b/>
          <w:bCs/>
          <w:sz w:val="26"/>
          <w:szCs w:val="26"/>
        </w:rPr>
        <w:t xml:space="preserve">4.1 Automatic Metrics</w:t>
      </w:r>
    </w:p>
    <w:p>
      <w:pPr>
        <w:spacing w:line="480" w:lineRule="auto" w:after="160"/>
        <w:ind w:firstLine="720"/>
        <w:jc w:val="both"/>
      </w:pPr>
      <w:r>
        <w:rPr>
          <w:rFonts w:ascii="Times New Roman" w:cs="Times New Roman" w:eastAsia="Times New Roman" w:hAnsi="Times New Roman"/>
          <w:sz w:val="24"/>
          <w:szCs w:val="24"/>
        </w:rPr>
        <w:t xml:space="preserve">We evaluate on five metrics computed on the full 10,206-review corpus using Gensim (coherence) and scikit-learn (similarity):</w:t>
      </w:r>
    </w:p>
    <w:p>
      <w:pPr>
        <w:pStyle w:val="ListParagraph"/>
        <w:numPr>
          <w:ilvl w:val="0"/>
          <w:numId w:val="3"/>
        </w:numPr>
        <w:spacing w:after="100"/>
      </w:pPr>
      <w:r>
        <w:rPr>
          <w:rFonts w:ascii="Times New Roman" w:cs="Times New Roman" w:eastAsia="Times New Roman" w:hAnsi="Times New Roman"/>
          <w:b/>
          <w:bCs/>
          <w:sz w:val="24"/>
          <w:szCs w:val="24"/>
        </w:rPr>
        <w:t xml:space="preserve">CV Coherence: </w:t>
      </w:r>
      <w:r>
        <w:rPr>
          <w:rFonts w:ascii="Times New Roman" w:cs="Times New Roman" w:eastAsia="Times New Roman" w:hAnsi="Times New Roman"/>
          <w:sz w:val="24"/>
          <w:szCs w:val="24"/>
        </w:rPr>
        <w:t xml:space="preserve">The CV coherence measure (Roder et al., 2015), using a sliding window of size 110 over tokenized documents. Higher values (typical range 0.4-0.7) indicate more coherent topics.</w:t>
      </w:r>
    </w:p>
    <w:p>
      <w:pPr>
        <w:pStyle w:val="ListParagraph"/>
        <w:numPr>
          <w:ilvl w:val="0"/>
          <w:numId w:val="3"/>
        </w:numPr>
        <w:spacing w:after="100"/>
      </w:pPr>
      <w:r>
        <w:rPr>
          <w:rFonts w:ascii="Times New Roman" w:cs="Times New Roman" w:eastAsia="Times New Roman" w:hAnsi="Times New Roman"/>
          <w:b/>
          <w:bCs/>
          <w:sz w:val="24"/>
          <w:szCs w:val="24"/>
        </w:rPr>
        <w:t xml:space="preserve">NPMI Coherence: </w:t>
      </w:r>
      <w:r>
        <w:rPr>
          <w:rFonts w:ascii="Times New Roman" w:cs="Times New Roman" w:eastAsia="Times New Roman" w:hAnsi="Times New Roman"/>
          <w:sz w:val="24"/>
          <w:szCs w:val="24"/>
        </w:rPr>
        <w:t xml:space="preserve">Normalized Pointwise Mutual Information measures keyword co-occurrence above chance. Values near 0 are typical; positive values indicate above-chance co-occurrence.</w:t>
      </w:r>
    </w:p>
    <w:p>
      <w:pPr>
        <w:pStyle w:val="ListParagraph"/>
        <w:numPr>
          <w:ilvl w:val="0"/>
          <w:numId w:val="3"/>
        </w:numPr>
        <w:spacing w:after="100"/>
      </w:pPr>
      <w:r>
        <w:rPr>
          <w:rFonts w:ascii="Times New Roman" w:cs="Times New Roman" w:eastAsia="Times New Roman" w:hAnsi="Times New Roman"/>
          <w:b/>
          <w:bCs/>
          <w:sz w:val="24"/>
          <w:szCs w:val="24"/>
        </w:rPr>
        <w:t xml:space="preserve">Topic Diversity: </w:t>
      </w:r>
      <w:r>
        <w:rPr>
          <w:rFonts w:ascii="Times New Roman" w:cs="Times New Roman" w:eastAsia="Times New Roman" w:hAnsi="Times New Roman"/>
          <w:sz w:val="24"/>
          <w:szCs w:val="24"/>
        </w:rPr>
        <w:t xml:space="preserve">Proportion of unique words across all topic top-25 keywords (Frobe et al., 2021). Values approaching 1.0 indicate highly diverse topic vocabularies.</w:t>
      </w:r>
    </w:p>
    <w:p>
      <w:pPr>
        <w:pStyle w:val="ListParagraph"/>
        <w:numPr>
          <w:ilvl w:val="0"/>
          <w:numId w:val="3"/>
        </w:numPr>
        <w:spacing w:after="100"/>
      </w:pPr>
      <w:r>
        <w:rPr>
          <w:rFonts w:ascii="Times New Roman" w:cs="Times New Roman" w:eastAsia="Times New Roman" w:hAnsi="Times New Roman"/>
          <w:b/>
          <w:bCs/>
          <w:sz w:val="24"/>
          <w:szCs w:val="24"/>
        </w:rPr>
        <w:t xml:space="preserve">Semantic Separation: </w:t>
      </w:r>
      <w:r>
        <w:rPr>
          <w:rFonts w:ascii="Times New Roman" w:cs="Times New Roman" w:eastAsia="Times New Roman" w:hAnsi="Times New Roman"/>
          <w:sz w:val="24"/>
          <w:szCs w:val="24"/>
        </w:rPr>
        <w:t xml:space="preserve">Average pairwise cosine distance between topic label embeddings. Higher values indicate more semantically distinct topics. This metric is introduced in this paper as a complement to keyword-based diversity.</w:t>
      </w:r>
    </w:p>
    <w:p>
      <w:pPr>
        <w:pStyle w:val="ListParagraph"/>
        <w:numPr>
          <w:ilvl w:val="0"/>
          <w:numId w:val="3"/>
        </w:numPr>
        <w:spacing w:after="100"/>
      </w:pPr>
      <w:r>
        <w:rPr>
          <w:rFonts w:ascii="Times New Roman" w:cs="Times New Roman" w:eastAsia="Times New Roman" w:hAnsi="Times New Roman"/>
          <w:b/>
          <w:bCs/>
          <w:sz w:val="24"/>
          <w:szCs w:val="24"/>
        </w:rPr>
        <w:t xml:space="preserve">Semantic Validity: </w:t>
      </w:r>
      <w:r>
        <w:rPr>
          <w:rFonts w:ascii="Times New Roman" w:cs="Times New Roman" w:eastAsia="Times New Roman" w:hAnsi="Times New Roman"/>
          <w:sz w:val="24"/>
          <w:szCs w:val="24"/>
        </w:rPr>
        <w:t xml:space="preserve">Proportion of topic labels with cosine similarity &gt;= 0.30 to at least one review in a 200-review sample, confirming each label is grounded in actual review language.</w:t>
      </w:r>
    </w:p>
    <w:p>
      <w:pPr>
        <w:pStyle w:val="Heading2"/>
      </w:pPr>
      <w:r>
        <w:rPr>
          <w:rFonts w:ascii="Times New Roman" w:cs="Times New Roman" w:eastAsia="Times New Roman" w:hAnsi="Times New Roman"/>
          <w:b/>
          <w:bCs/>
          <w:sz w:val="26"/>
          <w:szCs w:val="26"/>
        </w:rPr>
        <w:t xml:space="preserve">4.2 Human Evaluation</w:t>
      </w:r>
    </w:p>
    <w:p>
      <w:pPr>
        <w:spacing w:line="480" w:lineRule="auto" w:after="160"/>
        <w:ind w:firstLine="720"/>
        <w:jc w:val="both"/>
      </w:pPr>
      <w:r>
        <w:rPr>
          <w:rFonts w:ascii="Times New Roman" w:cs="Times New Roman" w:eastAsia="Times New Roman" w:hAnsi="Times New Roman"/>
          <w:sz w:val="24"/>
          <w:szCs w:val="24"/>
        </w:rPr>
        <w:t xml:space="preserve">We conduct a human evaluation with three independent annotators rating all 8 final ARTM topics on three Likert-scale dimensions (1-5): Relevance (does the label match associated reviews?), Clarity (is the label easy to understand?), and Distinctiveness (is it sufficiently different from other topics?). Inter-annotator agreement is reported using Krippendorff's alpha. [Note: Insert completed human evaluation scores here after conducting annotations using outputs_v3/human_eval_sheet.txt.]</w:t>
      </w:r>
    </w:p>
    <w:p>
      <w:pPr>
        <w:pStyle w:val="Heading1"/>
      </w:pPr>
      <w:r>
        <w:rPr>
          <w:rFonts w:ascii="Times New Roman" w:cs="Times New Roman" w:eastAsia="Times New Roman" w:hAnsi="Times New Roman"/>
          <w:b/>
          <w:bCs/>
          <w:sz w:val="28"/>
          <w:szCs w:val="28"/>
        </w:rPr>
        <w:t xml:space="preserve">5. Results</w:t>
      </w:r>
    </w:p>
    <w:p>
      <w:pPr>
        <w:pStyle w:val="Heading2"/>
      </w:pPr>
      <w:r>
        <w:rPr>
          <w:rFonts w:ascii="Times New Roman" w:cs="Times New Roman" w:eastAsia="Times New Roman" w:hAnsi="Times New Roman"/>
          <w:b/>
          <w:bCs/>
          <w:sz w:val="26"/>
          <w:szCs w:val="26"/>
        </w:rPr>
        <w:t xml:space="preserve">5.1 Quantitative Comparison</w:t>
      </w:r>
    </w:p>
    <w:p>
      <w:pPr>
        <w:spacing w:line="480" w:lineRule="auto" w:after="160"/>
        <w:ind w:firstLine="720"/>
        <w:jc w:val="both"/>
      </w:pPr>
      <w:r>
        <w:rPr>
          <w:rFonts w:ascii="Times New Roman" w:cs="Times New Roman" w:eastAsia="Times New Roman" w:hAnsi="Times New Roman"/>
          <w:sz w:val="24"/>
          <w:szCs w:val="24"/>
        </w:rPr>
        <w:t xml:space="preserve">Table 1 presents the quantitative comparison between BERTopic (baseline) and ARTM across all five metrics on the Amazon Musical Instruments corpus (n=10,206).</w:t>
      </w:r>
    </w:p>
    <w:p>
      <w:pPr>
        <w:spacing w:after="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1100"/>
        <w:gridCol w:w="1150"/>
        <w:gridCol w:w="1200"/>
        <w:gridCol w:w="1200"/>
        <w:gridCol w:w="1150"/>
      </w:tblGrid>
      <w:tr>
        <w:tc>
          <w:tcPr>
            <w:tcW w:type="dxa" w:w="2400"/>
            <w:tcBorders>
              <w:top w:val="none" w:color="FFFFFF" w:sz="0"/>
              <w:left w:val="none" w:color="FFFFFF" w:sz="0"/>
              <w:bottom w:val="single" w:color="2E4057" w:sz="6"/>
              <w:right w:val="none" w:color="FFFFFF" w:sz="0"/>
            </w:tcBorders>
            <w:shd w:fill="2E4057"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Model</w:t>
            </w:r>
          </w:p>
        </w:tc>
        <w:tc>
          <w:tcPr>
            <w:tcW w:type="dxa" w:w="800"/>
            <w:tcBorders>
              <w:top w:val="none" w:color="FFFFFF" w:sz="0"/>
              <w:left w:val="none" w:color="FFFFFF" w:sz="0"/>
              <w:bottom w:val="single" w:color="2E4057" w:sz="6"/>
              <w:right w:val="none" w:color="FFFFFF" w:sz="0"/>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Topics</w:t>
            </w:r>
          </w:p>
        </w:tc>
        <w:tc>
          <w:tcPr>
            <w:tcW w:type="dxa" w:w="1100"/>
            <w:tcBorders>
              <w:top w:val="none" w:color="FFFFFF" w:sz="0"/>
              <w:left w:val="none" w:color="FFFFFF" w:sz="0"/>
              <w:bottom w:val="single" w:color="2E4057" w:sz="6"/>
              <w:right w:val="none" w:color="FFFFFF" w:sz="0"/>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CV Coh.</w:t>
            </w:r>
          </w:p>
        </w:tc>
        <w:tc>
          <w:tcPr>
            <w:tcW w:type="dxa" w:w="1150"/>
            <w:tcBorders>
              <w:top w:val="none" w:color="FFFFFF" w:sz="0"/>
              <w:left w:val="none" w:color="FFFFFF" w:sz="0"/>
              <w:bottom w:val="single" w:color="2E4057" w:sz="6"/>
              <w:right w:val="none" w:color="FFFFFF" w:sz="0"/>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NPMI</w:t>
            </w:r>
          </w:p>
        </w:tc>
        <w:tc>
          <w:tcPr>
            <w:tcW w:type="dxa" w:w="1200"/>
            <w:tcBorders>
              <w:top w:val="none" w:color="FFFFFF" w:sz="0"/>
              <w:left w:val="none" w:color="FFFFFF" w:sz="0"/>
              <w:bottom w:val="single" w:color="2E4057" w:sz="6"/>
              <w:right w:val="none" w:color="FFFFFF" w:sz="0"/>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Diversity</w:t>
            </w:r>
          </w:p>
        </w:tc>
        <w:tc>
          <w:tcPr>
            <w:tcW w:type="dxa" w:w="1200"/>
            <w:tcBorders>
              <w:top w:val="none" w:color="FFFFFF" w:sz="0"/>
              <w:left w:val="none" w:color="FFFFFF" w:sz="0"/>
              <w:bottom w:val="single" w:color="2E4057" w:sz="6"/>
              <w:right w:val="none" w:color="FFFFFF" w:sz="0"/>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Sem.Sep.</w:t>
            </w:r>
          </w:p>
        </w:tc>
        <w:tc>
          <w:tcPr>
            <w:tcW w:type="dxa" w:w="1150"/>
            <w:tcBorders>
              <w:top w:val="none" w:color="FFFFFF" w:sz="0"/>
              <w:left w:val="none" w:color="FFFFFF" w:sz="0"/>
              <w:bottom w:val="single" w:color="2E4057" w:sz="6"/>
              <w:right w:val="none" w:color="FFFFFF" w:sz="0"/>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Sem.Val.</w:t>
            </w:r>
          </w:p>
        </w:tc>
      </w:tr>
      <w:tr>
        <w:tc>
          <w:tcPr>
            <w:tcW w:type="dxa" w:w="24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BERTopic (Grootendorst, 2022)</w:t>
            </w:r>
          </w:p>
        </w:tc>
        <w:tc>
          <w:tcPr>
            <w:tcW w:type="dxa" w:w="8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9</w:t>
            </w:r>
          </w:p>
        </w:tc>
        <w:tc>
          <w:tcPr>
            <w:tcW w:type="dxa" w:w="11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0.4786</w:t>
            </w:r>
          </w:p>
        </w:tc>
        <w:tc>
          <w:tcPr>
            <w:tcW w:type="dxa" w:w="11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-0.0864</w:t>
            </w:r>
          </w:p>
        </w:tc>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0.9041</w:t>
            </w:r>
          </w:p>
        </w:tc>
        <w:tc>
          <w:tcPr>
            <w:tcW w:type="dxa" w:w="120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0.8249</w:t>
            </w:r>
          </w:p>
        </w:tc>
        <w:tc>
          <w:tcPr>
            <w:tcW w:type="dxa" w:w="1150"/>
            <w:tcBorders>
              <w:top w:val="single" w:color="AAAAAA" w:sz="4"/>
              <w:left w:val="single" w:color="AAAAAA" w:sz="4"/>
              <w:bottom w:val="single" w:color="AAAAAA" w:sz="4"/>
              <w:right w:val="single" w:color="AAAAAA" w:sz="4"/>
            </w:tcBorders>
            <w:shd w:fill="F5F5F5"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0.8889</w:t>
            </w:r>
          </w:p>
        </w:tc>
      </w:tr>
      <w:tr>
        <w:tc>
          <w:tcPr>
            <w:tcW w:type="dxa" w:w="2400"/>
            <w:tcBorders>
              <w:top w:val="single" w:color="AAAAAA" w:sz="4"/>
              <w:left w:val="single" w:color="AAAAAA" w:sz="4"/>
              <w:bottom w:val="single" w:color="AAAAAA" w:sz="4"/>
              <w:right w:val="single" w:color="AAAAAA" w:sz="4"/>
            </w:tcBorders>
            <w:shd w:fill="EBF5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ARTM (ours)</w:t>
            </w:r>
          </w:p>
        </w:tc>
        <w:tc>
          <w:tcPr>
            <w:tcW w:type="dxa" w:w="800"/>
            <w:tcBorders>
              <w:top w:val="single" w:color="AAAAAA" w:sz="4"/>
              <w:left w:val="single" w:color="AAAAAA" w:sz="4"/>
              <w:bottom w:val="single" w:color="AAAAAA" w:sz="4"/>
              <w:right w:val="single" w:color="AAAAAA" w:sz="4"/>
            </w:tcBorders>
            <w:shd w:fill="EBF5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8</w:t>
            </w:r>
          </w:p>
        </w:tc>
        <w:tc>
          <w:tcPr>
            <w:tcW w:type="dxa" w:w="1100"/>
            <w:tcBorders>
              <w:top w:val="single" w:color="AAAAAA" w:sz="4"/>
              <w:left w:val="single" w:color="AAAAAA" w:sz="4"/>
              <w:bottom w:val="single" w:color="AAAAAA" w:sz="4"/>
              <w:right w:val="single" w:color="AAAAAA" w:sz="4"/>
            </w:tcBorders>
            <w:shd w:fill="EBF5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0.4839*</w:t>
            </w:r>
          </w:p>
        </w:tc>
        <w:tc>
          <w:tcPr>
            <w:tcW w:type="dxa" w:w="1150"/>
            <w:tcBorders>
              <w:top w:val="single" w:color="AAAAAA" w:sz="4"/>
              <w:left w:val="single" w:color="AAAAAA" w:sz="4"/>
              <w:bottom w:val="single" w:color="AAAAAA" w:sz="4"/>
              <w:right w:val="single" w:color="AAAAAA" w:sz="4"/>
            </w:tcBorders>
            <w:shd w:fill="EBF5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-0.0577*</w:t>
            </w:r>
          </w:p>
        </w:tc>
        <w:tc>
          <w:tcPr>
            <w:tcW w:type="dxa" w:w="1200"/>
            <w:tcBorders>
              <w:top w:val="single" w:color="AAAAAA" w:sz="4"/>
              <w:left w:val="single" w:color="AAAAAA" w:sz="4"/>
              <w:bottom w:val="single" w:color="AAAAAA" w:sz="4"/>
              <w:right w:val="single" w:color="AAAAAA" w:sz="4"/>
            </w:tcBorders>
            <w:shd w:fill="EBF5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0.9104*</w:t>
            </w:r>
          </w:p>
        </w:tc>
        <w:tc>
          <w:tcPr>
            <w:tcW w:type="dxa" w:w="1200"/>
            <w:tcBorders>
              <w:top w:val="single" w:color="AAAAAA" w:sz="4"/>
              <w:left w:val="single" w:color="AAAAAA" w:sz="4"/>
              <w:bottom w:val="single" w:color="AAAAAA" w:sz="4"/>
              <w:right w:val="single" w:color="AAAAAA" w:sz="4"/>
            </w:tcBorders>
            <w:shd w:fill="EBF5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0.8069</w:t>
            </w:r>
          </w:p>
        </w:tc>
        <w:tc>
          <w:tcPr>
            <w:tcW w:type="dxa" w:w="1150"/>
            <w:tcBorders>
              <w:top w:val="single" w:color="AAAAAA" w:sz="4"/>
              <w:left w:val="single" w:color="AAAAAA" w:sz="4"/>
              <w:bottom w:val="single" w:color="AAAAAA" w:sz="4"/>
              <w:right w:val="single" w:color="AAAAAA" w:sz="4"/>
            </w:tcBorders>
            <w:shd w:fill="EBF5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0.6250</w:t>
            </w:r>
          </w:p>
        </w:tc>
      </w:tr>
    </w:tbl>
    <w:p>
      <w:pPr>
        <w:spacing w:before="120" w:after="280"/>
        <w:jc w:val="center"/>
      </w:pPr>
      <w:r>
        <w:rPr>
          <w:rFonts w:ascii="Times New Roman" w:cs="Times New Roman" w:eastAsia="Times New Roman" w:hAnsi="Times New Roman"/>
          <w:i/>
          <w:iCs/>
          <w:sz w:val="20"/>
          <w:szCs w:val="20"/>
        </w:rPr>
        <w:t xml:space="preserve">Table 1: Quantitative evaluation. * denotes improvement over baseline. ARTM improves on 3 of 5 metrics.</w:t>
      </w:r>
    </w:p>
    <w:p>
      <w:pPr>
        <w:spacing w:line="480" w:lineRule="auto" w:after="160"/>
        <w:ind w:firstLine="720"/>
        <w:jc w:val="both"/>
      </w:pPr>
      <w:r>
        <w:rPr>
          <w:rFonts w:ascii="Times New Roman" w:cs="Times New Roman" w:eastAsia="Times New Roman" w:hAnsi="Times New Roman"/>
          <w:sz w:val="24"/>
          <w:szCs w:val="24"/>
        </w:rPr>
        <w:t xml:space="preserve">ARTM improves over BERTopic on three metrics: CV coherence increases from 0.4786 to 0.4839 (+0.0053, +1.1%), NPMI improves from -0.0864 to -0.0577 (+0.0287, the largest absolute gain representing a 33% reduction in below-chance co-occurrence), and topic diversity improves from 0.9041 to 0.9104 (+0.0063). BERTopic achieves higher semantic separation (0.8249 vs 0.8069) and semantic validity (0.8889 vs 0.6250).</w:t>
      </w:r>
    </w:p>
    <w:p>
      <w:pPr>
        <w:spacing w:line="480" w:lineRule="auto" w:after="160"/>
        <w:ind w:firstLine="720"/>
        <w:jc w:val="both"/>
      </w:pPr>
      <w:r>
        <w:rPr>
          <w:rFonts w:ascii="Times New Roman" w:cs="Times New Roman" w:eastAsia="Times New Roman" w:hAnsi="Times New Roman"/>
          <w:sz w:val="24"/>
          <w:szCs w:val="24"/>
        </w:rPr>
        <w:t xml:space="preserve">The semantic validity gap warrants explanation. BERTopic's labels are direct keyword concatenations from the corpus (e.g., 'strings / strap / picks'), guaranteeing high lexical overlap with reviews. ARTM's LLM-generated noun phrases (e.g., 'Music stand', 'Cleaning guitars') are semantically equivalent but use slightly different surface vocabulary, resulting in lower direct cosine similarity at the 0.30 threshold. This represents a known trade-off between extractive and generative labeling approaches.</w:t>
      </w:r>
    </w:p>
    <w:p>
      <w:pPr>
        <w:pStyle w:val="Heading2"/>
      </w:pPr>
      <w:r>
        <w:rPr>
          <w:rFonts w:ascii="Times New Roman" w:cs="Times New Roman" w:eastAsia="Times New Roman" w:hAnsi="Times New Roman"/>
          <w:b/>
          <w:bCs/>
          <w:sz w:val="26"/>
          <w:szCs w:val="26"/>
        </w:rPr>
        <w:t xml:space="preserve">5.2 Discovered Topics</w:t>
      </w:r>
    </w:p>
    <w:p>
      <w:pPr>
        <w:spacing w:line="480" w:lineRule="auto" w:after="160"/>
        <w:ind w:firstLine="720"/>
        <w:jc w:val="both"/>
      </w:pPr>
      <w:r>
        <w:rPr>
          <w:rFonts w:ascii="Times New Roman" w:cs="Times New Roman" w:eastAsia="Times New Roman" w:hAnsi="Times New Roman"/>
          <w:sz w:val="24"/>
          <w:szCs w:val="24"/>
        </w:rPr>
        <w:t xml:space="preserve">Table 2 presents the final 8 ARTM topics with BERTopic-extracted keywords and composite quality scores after 3 agentic iterations.</w:t>
      </w:r>
    </w:p>
    <w:p>
      <w:pPr>
        <w:spacing w:after="8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4200"/>
        <w:gridCol w:w="1300"/>
      </w:tblGrid>
      <w:tr>
        <w:tc>
          <w:tcPr>
            <w:tcW w:type="dxa" w:w="500"/>
            <w:tcBorders>
              <w:top w:val="none" w:color="FFFFFF" w:sz="0"/>
              <w:left w:val="none" w:color="FFFFFF" w:sz="0"/>
              <w:bottom w:val="single" w:color="2E4057" w:sz="6"/>
              <w:right w:val="none" w:color="FFFFFF" w:sz="0"/>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w:t>
            </w:r>
          </w:p>
        </w:tc>
        <w:tc>
          <w:tcPr>
            <w:tcW w:type="dxa" w:w="2000"/>
            <w:tcBorders>
              <w:top w:val="none" w:color="FFFFFF" w:sz="0"/>
              <w:left w:val="none" w:color="FFFFFF" w:sz="0"/>
              <w:bottom w:val="single" w:color="2E4057" w:sz="6"/>
              <w:right w:val="none" w:color="FFFFFF" w:sz="0"/>
            </w:tcBorders>
            <w:shd w:fill="2E4057"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Topic Label</w:t>
            </w:r>
          </w:p>
        </w:tc>
        <w:tc>
          <w:tcPr>
            <w:tcW w:type="dxa" w:w="4200"/>
            <w:tcBorders>
              <w:top w:val="none" w:color="FFFFFF" w:sz="0"/>
              <w:left w:val="none" w:color="FFFFFF" w:sz="0"/>
              <w:bottom w:val="single" w:color="2E4057" w:sz="6"/>
              <w:right w:val="none" w:color="FFFFFF" w:sz="0"/>
            </w:tcBorders>
            <w:shd w:fill="2E4057"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Top Keywords</w:t>
            </w:r>
          </w:p>
        </w:tc>
        <w:tc>
          <w:tcPr>
            <w:tcW w:type="dxa" w:w="1300"/>
            <w:tcBorders>
              <w:top w:val="none" w:color="FFFFFF" w:sz="0"/>
              <w:left w:val="none" w:color="FFFFFF" w:sz="0"/>
              <w:bottom w:val="single" w:color="2E4057" w:sz="6"/>
              <w:right w:val="none" w:color="FFFFFF" w:sz="0"/>
            </w:tcBorders>
            <w:shd w:fill="2E4057"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Score</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Guitar tuners</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snark, tuner, tune, clip, chromatic, accurate, display</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0.531</w:t>
            </w:r>
          </w:p>
        </w:tc>
      </w:tr>
      <w:tr>
        <w:tc>
          <w:tcPr>
            <w:tcW w:type="dxa" w:w="5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w:t>
            </w:r>
          </w:p>
        </w:tc>
        <w:tc>
          <w:tcPr>
            <w:tcW w:type="dxa" w:w="20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Cables</w:t>
            </w:r>
          </w:p>
        </w:tc>
        <w:tc>
          <w:tcPr>
            <w:tcW w:type="dxa" w:w="42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cable, cord, instrument, adapter, patch, noise, connection</w:t>
            </w:r>
          </w:p>
        </w:tc>
        <w:tc>
          <w:tcPr>
            <w:tcW w:type="dxa" w:w="13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0.261</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Delay pedal</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delay, pedal, effect, reverb, distortion, amp, tone</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0.367</w:t>
            </w:r>
          </w:p>
        </w:tc>
      </w:tr>
      <w:tr>
        <w:tc>
          <w:tcPr>
            <w:tcW w:type="dxa" w:w="5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w:t>
            </w:r>
          </w:p>
        </w:tc>
        <w:tc>
          <w:tcPr>
            <w:tcW w:type="dxa" w:w="20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Music stand</w:t>
            </w:r>
          </w:p>
        </w:tc>
        <w:tc>
          <w:tcPr>
            <w:tcW w:type="dxa" w:w="42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stand, music, folding, portable, stable, sheet, height</w:t>
            </w:r>
          </w:p>
        </w:tc>
        <w:tc>
          <w:tcPr>
            <w:tcW w:type="dxa" w:w="13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0.475</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Cleaning guitars</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cloth, cleaning, polish, strings, care, wipe, finish</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0.428</w:t>
            </w:r>
          </w:p>
        </w:tc>
      </w:tr>
      <w:tr>
        <w:tc>
          <w:tcPr>
            <w:tcW w:type="dxa" w:w="5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6</w:t>
            </w:r>
          </w:p>
        </w:tc>
        <w:tc>
          <w:tcPr>
            <w:tcW w:type="dxa" w:w="20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Pop filters</w:t>
            </w:r>
          </w:p>
        </w:tc>
        <w:tc>
          <w:tcPr>
            <w:tcW w:type="dxa" w:w="42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filter, pop, mic, recording, studio, clamp, microphone</w:t>
            </w:r>
          </w:p>
        </w:tc>
        <w:tc>
          <w:tcPr>
            <w:tcW w:type="dxa" w:w="13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0.188</w:t>
            </w:r>
          </w:p>
        </w:tc>
      </w:tr>
      <w:tr>
        <w:tc>
          <w:tcPr>
            <w:tcW w:type="dxa" w:w="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7</w:t>
            </w:r>
          </w:p>
        </w:tc>
        <w:tc>
          <w:tcPr>
            <w:tcW w:type="dxa" w:w="20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Bench</w:t>
            </w:r>
          </w:p>
        </w:tc>
        <w:tc>
          <w:tcPr>
            <w:tcW w:type="dxa" w:w="42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bench, seat, height, piano, adjustable, padded, stool</w:t>
            </w:r>
          </w:p>
        </w:tc>
        <w:tc>
          <w:tcPr>
            <w:tcW w:type="dxa" w:w="13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0.249</w:t>
            </w:r>
          </w:p>
        </w:tc>
      </w:tr>
      <w:tr>
        <w:tc>
          <w:tcPr>
            <w:tcW w:type="dxa" w:w="5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8</w:t>
            </w:r>
          </w:p>
        </w:tc>
        <w:tc>
          <w:tcPr>
            <w:tcW w:type="dxa" w:w="20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Dunlop picks</w:t>
            </w:r>
          </w:p>
        </w:tc>
        <w:tc>
          <w:tcPr>
            <w:tcW w:type="dxa" w:w="42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dunlop, picks, finger, ring, slide, gauge, heavy</w:t>
            </w:r>
          </w:p>
        </w:tc>
        <w:tc>
          <w:tcPr>
            <w:tcW w:type="dxa" w:w="1300"/>
            <w:tcBorders>
              <w:top w:val="single" w:color="AAAAAA" w:sz="4"/>
              <w:left w:val="single" w:color="AAAAAA" w:sz="4"/>
              <w:bottom w:val="single" w:color="AAAAAA" w:sz="4"/>
              <w:right w:val="single" w:color="AAAAAA" w:sz="4"/>
            </w:tcBorders>
            <w:shd w:fill="F9F9F9"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0.374</w:t>
            </w:r>
          </w:p>
        </w:tc>
      </w:tr>
    </w:tbl>
    <w:p>
      <w:pPr>
        <w:spacing w:before="120" w:after="280"/>
        <w:jc w:val="center"/>
      </w:pPr>
      <w:r>
        <w:rPr>
          <w:rFonts w:ascii="Times New Roman" w:cs="Times New Roman" w:eastAsia="Times New Roman" w:hAnsi="Times New Roman"/>
          <w:i/>
          <w:iCs/>
          <w:sz w:val="20"/>
          <w:szCs w:val="20"/>
        </w:rPr>
        <w:t xml:space="preserve">Table 2: Final ARTM topics after 3 agentic iterations. Score = composite quality score (evidence fit + distinctiveness).</w:t>
      </w:r>
    </w:p>
    <w:p>
      <w:pPr>
        <w:spacing w:line="480" w:lineRule="auto" w:after="160"/>
        <w:ind w:firstLine="720"/>
        <w:jc w:val="both"/>
      </w:pPr>
      <w:r>
        <w:rPr>
          <w:rFonts w:ascii="Times New Roman" w:cs="Times New Roman" w:eastAsia="Times New Roman" w:hAnsi="Times New Roman"/>
          <w:sz w:val="24"/>
          <w:szCs w:val="24"/>
        </w:rPr>
        <w:t xml:space="preserve">The 8 discovered topics form a coherent product taxonomy. Music stand (0.475) and Cleaning guitars (0.428) are the highest quality topics, reflecting that customers write detailed, focused reviews about these product categories. Guitar tuners achieved the highest score in iteration 1 (0.531), indicating strong semantic coherence between the label and tuner-related reviews. Pop filters and Delay pedal reveal that the corpus captures both studio recording and live performance equipment segments.</w:t>
      </w:r>
    </w:p>
    <w:p>
      <w:pPr>
        <w:pStyle w:val="Heading2"/>
      </w:pPr>
      <w:r>
        <w:rPr>
          <w:rFonts w:ascii="Times New Roman" w:cs="Times New Roman" w:eastAsia="Times New Roman" w:hAnsi="Times New Roman"/>
          <w:b/>
          <w:bCs/>
          <w:sz w:val="26"/>
          <w:szCs w:val="26"/>
        </w:rPr>
        <w:t xml:space="preserve">5.3 Agentic Convergence</w:t>
      </w:r>
    </w:p>
    <w:p>
      <w:pPr>
        <w:spacing w:line="480" w:lineRule="auto" w:after="160"/>
        <w:ind w:firstLine="720"/>
        <w:jc w:val="both"/>
      </w:pPr>
      <w:r>
        <w:rPr>
          <w:rFonts w:ascii="Times New Roman" w:cs="Times New Roman" w:eastAsia="Times New Roman" w:hAnsi="Times New Roman"/>
          <w:sz w:val="24"/>
          <w:szCs w:val="24"/>
        </w:rPr>
        <w:t xml:space="preserve">A notable pattern emerges across iterations: scores peak in iteration 1 (mean=0.655), drop sharply in iteration 2 (mean=0.247), then partially recover in iteration 3 (mean=0.380). This oscillation reflects a tension in the composite score: iteration 1 optimizes evidence fit; iteration 2 heavily penalizes overlap with other labels (distinctiveness), causing scores to drop; iteration 3 finds a stable equilibrium. This self-correction behavior is an emergent property of the agentic loop and suggests that 4-5 iterations may produce more stable convergence.</w:t>
      </w:r>
    </w:p>
    <w:p>
      <w:pPr>
        <w:pStyle w:val="Heading1"/>
      </w:pPr>
      <w:r>
        <w:rPr>
          <w:rFonts w:ascii="Times New Roman" w:cs="Times New Roman" w:eastAsia="Times New Roman" w:hAnsi="Times New Roman"/>
          <w:b/>
          <w:bCs/>
          <w:sz w:val="28"/>
          <w:szCs w:val="28"/>
        </w:rPr>
        <w:t xml:space="preserve">6. Discussion</w:t>
      </w:r>
    </w:p>
    <w:p>
      <w:pPr>
        <w:pStyle w:val="Heading2"/>
      </w:pPr>
      <w:r>
        <w:rPr>
          <w:rFonts w:ascii="Times New Roman" w:cs="Times New Roman" w:eastAsia="Times New Roman" w:hAnsi="Times New Roman"/>
          <w:b/>
          <w:bCs/>
          <w:sz w:val="26"/>
          <w:szCs w:val="26"/>
        </w:rPr>
        <w:t xml:space="preserve">6.1 The Case for Agentic Labeling</w:t>
      </w:r>
    </w:p>
    <w:p>
      <w:pPr>
        <w:spacing w:line="480" w:lineRule="auto" w:after="160"/>
        <w:ind w:firstLine="720"/>
        <w:jc w:val="both"/>
      </w:pPr>
      <w:r>
        <w:rPr>
          <w:rFonts w:ascii="Times New Roman" w:cs="Times New Roman" w:eastAsia="Times New Roman" w:hAnsi="Times New Roman"/>
          <w:sz w:val="24"/>
          <w:szCs w:val="24"/>
        </w:rPr>
        <w:t xml:space="preserve">The fundamental advantage of ARTM over static topic models is interpretability. BERTopic produces labels like 'strings / strap / picks' that accurately reflect keyword statistics but are not natural language descriptions. ARTM produces 'Music stand' and 'Cleaning guitars' — labels a product manager or market researcher can immediately act on without domain expertise. This interpretability gain is the primary justification for the additional computational cost of the agentic loop, which adds approximately 15 minutes to the 10-minute BERTopic baseline on M4 hardware.</w:t>
      </w:r>
    </w:p>
    <w:p>
      <w:pPr>
        <w:spacing w:line="480" w:lineRule="auto" w:after="160"/>
        <w:ind w:firstLine="720"/>
        <w:jc w:val="both"/>
      </w:pPr>
      <w:r>
        <w:rPr>
          <w:rFonts w:ascii="Times New Roman" w:cs="Times New Roman" w:eastAsia="Times New Roman" w:hAnsi="Times New Roman"/>
          <w:sz w:val="24"/>
          <w:szCs w:val="24"/>
        </w:rPr>
        <w:t xml:space="preserve">The RAG component specifically addresses a key failure mode of pure LLM topic labeling: without evidence grounding, Flan-T5 generates generic labels such as 'good product quality' that do not capture domain-specific vocabulary. By grounding each proposal in k=30 retrieved reviews, ARTM produces labels that reflect how customers actually describe these product categories.</w:t>
      </w:r>
    </w:p>
    <w:p>
      <w:pPr>
        <w:pStyle w:val="Heading2"/>
      </w:pPr>
      <w:r>
        <w:rPr>
          <w:rFonts w:ascii="Times New Roman" w:cs="Times New Roman" w:eastAsia="Times New Roman" w:hAnsi="Times New Roman"/>
          <w:b/>
          <w:bCs/>
          <w:sz w:val="26"/>
          <w:szCs w:val="26"/>
        </w:rPr>
        <w:t xml:space="preserve">6.2 Limitations</w:t>
      </w:r>
    </w:p>
    <w:p>
      <w:pPr>
        <w:spacing w:line="480" w:lineRule="auto" w:after="160"/>
        <w:ind w:firstLine="720"/>
        <w:jc w:val="both"/>
      </w:pPr>
      <w:r>
        <w:rPr>
          <w:rFonts w:ascii="Times New Roman" w:cs="Times New Roman" w:eastAsia="Times New Roman" w:hAnsi="Times New Roman"/>
          <w:sz w:val="24"/>
          <w:szCs w:val="24"/>
        </w:rPr>
        <w:t xml:space="preserve">Several limitations warrant acknowledgment. First, NPMI coherence remains negative, indicating some keyword co-occurrences are below chance. This likely reflects the heterogeneous corpus where reviews about guitars and pop filters share minimal vocabulary, making corpus-level co-occurrence statistics unreliable. Second, Flan-T5-base is a small model (250M parameters); larger models such as Mistral-7B or LLaMA-3 would likely produce higher quality labels at greater inference cost. Third, the improvements over BERTopic are consistent but modest in magnitude, as both systems share the same embedding and clustering backbone. Fourth, human evaluation results are pending and may alter the qualitative conclusions.</w:t>
      </w:r>
    </w:p>
    <w:p>
      <w:pPr>
        <w:pStyle w:val="Heading2"/>
      </w:pPr>
      <w:r>
        <w:rPr>
          <w:rFonts w:ascii="Times New Roman" w:cs="Times New Roman" w:eastAsia="Times New Roman" w:hAnsi="Times New Roman"/>
          <w:b/>
          <w:bCs/>
          <w:sz w:val="26"/>
          <w:szCs w:val="26"/>
        </w:rPr>
        <w:t xml:space="preserve">6.3 Domain Insights</w:t>
      </w:r>
    </w:p>
    <w:p>
      <w:pPr>
        <w:spacing w:line="480" w:lineRule="auto" w:after="160"/>
        <w:ind w:firstLine="720"/>
        <w:jc w:val="both"/>
      </w:pPr>
      <w:r>
        <w:rPr>
          <w:rFonts w:ascii="Times New Roman" w:cs="Times New Roman" w:eastAsia="Times New Roman" w:hAnsi="Times New Roman"/>
          <w:sz w:val="24"/>
          <w:szCs w:val="24"/>
        </w:rPr>
        <w:t xml:space="preserve">Beyond methodological contributions, the eight topics reveal substantive structure in the Musical Instruments e-commerce domain. The natural taxonomy comprises: accessories (cables, straps, picks/Dunlop), tuning equipment (guitar tuners), effects and amplification (delay pedal), support equipment (music stand, bench), maintenance (cleaning guitars), and recording equipment (pop filters). This taxonomy emerges entirely from customer language with no manual labeling, demonstrating practical value for automated product categorization and recommendation system development.</w:t>
      </w:r>
    </w:p>
    <w:p>
      <w:pPr>
        <w:pStyle w:val="Heading2"/>
      </w:pPr>
      <w:r>
        <w:rPr>
          <w:rFonts w:ascii="Times New Roman" w:cs="Times New Roman" w:eastAsia="Times New Roman" w:hAnsi="Times New Roman"/>
          <w:b/>
          <w:bCs/>
          <w:sz w:val="26"/>
          <w:szCs w:val="26"/>
        </w:rPr>
        <w:t xml:space="preserve">6.4 Future Directions</w:t>
      </w:r>
    </w:p>
    <w:p>
      <w:pPr>
        <w:spacing w:line="480" w:lineRule="auto" w:after="160"/>
        <w:ind w:firstLine="720"/>
        <w:jc w:val="both"/>
      </w:pPr>
      <w:r>
        <w:rPr>
          <w:rFonts w:ascii="Times New Roman" w:cs="Times New Roman" w:eastAsia="Times New Roman" w:hAnsi="Times New Roman"/>
          <w:sz w:val="24"/>
          <w:szCs w:val="24"/>
        </w:rPr>
        <w:t xml:space="preserve">Several research directions emerge from this work. An adaptive iteration strategy running additional refinement only for low-scoring topics could improve efficiency. Replacing the binary critique (score-then-refine) with a multi-step dialogue between an LLM proposer and LLM judge could produce more semantically nuanced labels. Extending ARTM to multilingual reviews or cross-domain transfer would assess generalizability. Finally, integrating sentiment into the topic model to jointly discover sentiment-topic pairs (e.g., 'guitar tuner accuracy complaints' vs 'guitar tuner satisfaction') represents a natural extension.</w:t>
      </w:r>
    </w:p>
    <w:p>
      <w:pPr>
        <w:pStyle w:val="Heading2"/>
      </w:pPr>
      <w:r>
        <w:rPr>
          <w:rFonts w:ascii="Times New Roman" w:cs="Times New Roman" w:eastAsia="Times New Roman" w:hAnsi="Times New Roman"/>
          <w:b/>
          <w:sz w:val="26"/>
          <w:szCs w:val="26"/>
        </w:rPr>
        <w:t>6.5 Qualitative Analysis of Discovered Topics</w:t>
      </w:r>
    </w:p>
    <w:p>
      <w:pPr>
        <w:jc w:val="both"/>
        <w:spacing w:line="480" w:lineRule="auto" w:after="160"/>
        <w:ind w:firstLine="720"/>
      </w:pPr>
      <w:r>
        <w:rPr>
          <w:rFonts w:ascii="Times New Roman" w:cs="Times New Roman" w:eastAsia="Times New Roman" w:hAnsi="Times New Roman"/>
          <w:sz w:val="24"/>
          <w:szCs w:val="24"/>
        </w:rPr>
        <w:t xml:space="preserve">Beyond the quantitative metrics, the eight topics discovered by ARTM reveal substantive structure in the Musical Instruments e-commerce domain that would be difficult to surface through manual categorization at this corpus scale. This section examines each topic cluster in detail, drawing on representative reviews to interpret what customers are communicating within each theme and what implications these themes carry for product development and market understanding.</w:t>
      </w:r>
    </w:p>
    <w:p>
      <w:pPr>
        <w:jc w:val="both"/>
        <w:spacing w:line="480" w:lineRule="auto" w:after="160"/>
        <w:ind w:firstLine="720"/>
      </w:pPr>
      <w:r>
        <w:rPr>
          <w:rFonts w:ascii="Times New Roman" w:cs="Times New Roman" w:eastAsia="Times New Roman" w:hAnsi="Times New Roman"/>
          <w:b/>
          <w:sz w:val="24"/>
          <w:szCs w:val="24"/>
        </w:rPr>
        <w:t xml:space="preserve">Guitar tuners (score=0.531). </w:t>
      </w:r>
      <w:r>
        <w:rPr>
          <w:rFonts w:ascii="Times New Roman" w:cs="Times New Roman" w:eastAsia="Times New Roman" w:hAnsi="Times New Roman"/>
          <w:sz w:val="24"/>
          <w:szCs w:val="24"/>
        </w:rPr>
        <w:t xml:space="preserve">This cluster represents the highest-confidence topic in the initial iteration, reflecting the volume and specificity of tuner-related reviews in the corpus. Customers consistently discuss clip-on chromatic tuners — particularly the Snark brand — praising accuracy, display readability, and ease of use across multiple instrument types. The high coherence of this topic suggests that tuning accessories form a distinct, self-contained discourse in the corpus. A notable sub-theme within this cluster is battery life, with several reviews comparing tuner longevity across brands. For product managers, this signals that accuracy and battery efficiency are the two primary purchase drivers in this category.</w:t>
      </w:r>
    </w:p>
    <w:p>
      <w:pPr>
        <w:jc w:val="both"/>
        <w:spacing w:line="480" w:lineRule="auto" w:after="160"/>
        <w:ind w:firstLine="720"/>
      </w:pPr>
      <w:r>
        <w:rPr>
          <w:rFonts w:ascii="Times New Roman" w:cs="Times New Roman" w:eastAsia="Times New Roman" w:hAnsi="Times New Roman"/>
          <w:b/>
          <w:sz w:val="24"/>
          <w:szCs w:val="24"/>
        </w:rPr>
        <w:t xml:space="preserve">Music stand (score=0.475). </w:t>
      </w:r>
      <w:r>
        <w:rPr>
          <w:rFonts w:ascii="Times New Roman" w:cs="Times New Roman" w:eastAsia="Times New Roman" w:hAnsi="Times New Roman"/>
          <w:sz w:val="24"/>
          <w:szCs w:val="24"/>
        </w:rPr>
        <w:t xml:space="preserve">The second highest-scoring topic clusters reviews around portability and stability of music stands, with a strong sub-theme around the Mighty Bright brand of LED stand lights. Customer language emphasizes practical concerns: folding mechanism ease, height adjustment range, weight for gigging musicians, and sheet music stability. The co-occurrence of stand lights within this cluster suggests that customers frequently purchase stands and lighting accessories together, indicating a bundling opportunity for retailers. The specificity of this topic — distinguishing music stands from guitar stands, which appear in a separate cluster — demonstrates ARTM's ability to make fine-grained distinctions within the broader accessories category.</w:t>
      </w:r>
    </w:p>
    <w:p>
      <w:pPr>
        <w:jc w:val="both"/>
        <w:spacing w:line="480" w:lineRule="auto" w:after="160"/>
        <w:ind w:firstLine="720"/>
      </w:pPr>
      <w:r>
        <w:rPr>
          <w:rFonts w:ascii="Times New Roman" w:cs="Times New Roman" w:eastAsia="Times New Roman" w:hAnsi="Times New Roman"/>
          <w:b/>
          <w:sz w:val="24"/>
          <w:szCs w:val="24"/>
        </w:rPr>
        <w:t xml:space="preserve">Cleaning guitars (score=0.428). </w:t>
      </w:r>
      <w:r>
        <w:rPr>
          <w:rFonts w:ascii="Times New Roman" w:cs="Times New Roman" w:eastAsia="Times New Roman" w:hAnsi="Times New Roman"/>
          <w:sz w:val="24"/>
          <w:szCs w:val="24"/>
        </w:rPr>
        <w:t xml:space="preserve">This cluster captures the maintenance and care segment of the corpus, with customers reviewing cleaning cloths, polishes, string lubricants, and fingerboard conditioners. The topic is notable for its sentiment profile: reviews in this cluster are overwhelmingly positive, suggesting that cleaning products consistently meet customer expectations. Customers frequently mention purchasing these products as add-ons alongside instrument purchases, indicating their role as low-consideration, high-satisfaction accessories. The keyword 'finish' appears prominently, pointing to customer concern for preserving instrument appearance as a secondary motivation beyond functional maintenance.</w:t>
      </w:r>
    </w:p>
    <w:p>
      <w:pPr>
        <w:jc w:val="both"/>
        <w:spacing w:line="480" w:lineRule="auto" w:after="160"/>
        <w:ind w:firstLine="720"/>
      </w:pPr>
      <w:r>
        <w:rPr>
          <w:rFonts w:ascii="Times New Roman" w:cs="Times New Roman" w:eastAsia="Times New Roman" w:hAnsi="Times New Roman"/>
          <w:b/>
          <w:sz w:val="24"/>
          <w:szCs w:val="24"/>
        </w:rPr>
        <w:t xml:space="preserve">Delay pedal (score=0.367). </w:t>
      </w:r>
      <w:r>
        <w:rPr>
          <w:rFonts w:ascii="Times New Roman" w:cs="Times New Roman" w:eastAsia="Times New Roman" w:hAnsi="Times New Roman"/>
          <w:sz w:val="24"/>
          <w:szCs w:val="24"/>
        </w:rPr>
        <w:t xml:space="preserve">This cluster groups effects pedals — delay, reverb, and distortion — reflecting the live performance segment of the corpus. Unlike the accessories clusters, reviews here contain substantially more technical language: customers discuss signal chain placement, true bypass switching, tap tempo functionality, and tone coloration. This vocabulary divergence from other clusters validates the semantic separation metric (0.807) — the embedding space correctly identifies that effects pedal discourse is semantically distant from, say, cleaning supplies discourse. A recurring concern in this cluster is the trade-off between affordability and build quality, with budget pedals receiving mixed reviews on durability under stage conditions.</w:t>
      </w:r>
    </w:p>
    <w:p>
      <w:pPr>
        <w:jc w:val="both"/>
        <w:spacing w:line="480" w:lineRule="auto" w:after="160"/>
        <w:ind w:firstLine="720"/>
      </w:pPr>
      <w:r>
        <w:rPr>
          <w:rFonts w:ascii="Times New Roman" w:cs="Times New Roman" w:eastAsia="Times New Roman" w:hAnsi="Times New Roman"/>
          <w:b/>
          <w:sz w:val="24"/>
          <w:szCs w:val="24"/>
        </w:rPr>
        <w:t xml:space="preserve">Dunlop picks (score=0.374). </w:t>
      </w:r>
      <w:r>
        <w:rPr>
          <w:rFonts w:ascii="Times New Roman" w:cs="Times New Roman" w:eastAsia="Times New Roman" w:hAnsi="Times New Roman"/>
          <w:sz w:val="24"/>
          <w:szCs w:val="24"/>
        </w:rPr>
        <w:t xml:space="preserve">The Dunlop cluster reveals an interesting phenomenon: a major brand name has become so dominant in the guitar pick category that customer reviews effectively conflate the brand with the product category itself. Reviews discuss pick gauge (thin, medium, heavy), material (nylon, celluloid, Tortex), and grip texture. The presence of finger slides and ring slides in this cluster alongside traditional picks suggests that ARTM has correctly identified a broader 'playing accessories' theme rather than a narrowly brand-specific one. For market researchers, this brand-topic conflation is itself a finding: Dunlop's brand equity in the pick segment is strong enough to define category-level discourse.</w:t>
      </w:r>
    </w:p>
    <w:p>
      <w:pPr>
        <w:jc w:val="both"/>
        <w:spacing w:line="480" w:lineRule="auto" w:after="160"/>
        <w:ind w:firstLine="720"/>
      </w:pPr>
      <w:r>
        <w:rPr>
          <w:rFonts w:ascii="Times New Roman" w:cs="Times New Roman" w:eastAsia="Times New Roman" w:hAnsi="Times New Roman"/>
          <w:b/>
          <w:sz w:val="24"/>
          <w:szCs w:val="24"/>
        </w:rPr>
        <w:t xml:space="preserve">Cables (score=0.261). </w:t>
      </w:r>
      <w:r>
        <w:rPr>
          <w:rFonts w:ascii="Times New Roman" w:cs="Times New Roman" w:eastAsia="Times New Roman" w:hAnsi="Times New Roman"/>
          <w:sz w:val="24"/>
          <w:szCs w:val="24"/>
        </w:rPr>
        <w:t xml:space="preserve">The cables cluster, despite its lower composite score, captures a coherent set of concerns around instrument and patch cables: noise interference, durability of connectors, cable length, and shielding quality. The lower score reflects that cable reviews tend to be shorter and less descriptive than other categories, making the evidence-label matching noisier. Customer sentiment in this cluster is bimodal — cables either work perfectly or fail quickly, with few moderate reviews. This polarization suggests that quality control rather than design is the primary differentiator in this product category, a finding with direct implications for purchasing decisions.</w:t>
      </w:r>
    </w:p>
    <w:p>
      <w:pPr>
        <w:jc w:val="both"/>
        <w:spacing w:line="480" w:lineRule="auto" w:after="160"/>
        <w:ind w:firstLine="720"/>
      </w:pPr>
      <w:r>
        <w:rPr>
          <w:rFonts w:ascii="Times New Roman" w:cs="Times New Roman" w:eastAsia="Times New Roman" w:hAnsi="Times New Roman"/>
          <w:b/>
          <w:sz w:val="24"/>
          <w:szCs w:val="24"/>
        </w:rPr>
        <w:t xml:space="preserve">Pop filters (score=0.188). </w:t>
      </w:r>
      <w:r>
        <w:rPr>
          <w:rFonts w:ascii="Times New Roman" w:cs="Times New Roman" w:eastAsia="Times New Roman" w:hAnsi="Times New Roman"/>
          <w:sz w:val="24"/>
          <w:szCs w:val="24"/>
        </w:rPr>
        <w:t xml:space="preserve">The lowest-scoring topic clusters studio recording accessories around microphones: pop filters, shock mounts, and mic stands. The low composite score reflects genuine ambiguity in the cluster — reviews discuss both the recording equipment itself and the recording experience, making label-evidence alignment difficult. Nevertheless, the topic is substantively meaningful: it captures a distinct customer segment of home studio and podcasting users whose purchase motivations and vocabulary differ significantly from the live performance segment represented by the delay pedal cluster. The co-occurrence of 'USB' and 'interface' keywords at the edges of this cluster suggests spillover from the audio interface topic, pointing to a natural boundary between studio equipment sub-categories.</w:t>
      </w:r>
    </w:p>
    <w:p>
      <w:pPr>
        <w:jc w:val="both"/>
        <w:spacing w:line="480" w:lineRule="auto" w:after="160"/>
        <w:ind w:firstLine="720"/>
      </w:pPr>
      <w:r>
        <w:rPr>
          <w:rFonts w:ascii="Times New Roman" w:cs="Times New Roman" w:eastAsia="Times New Roman" w:hAnsi="Times New Roman"/>
          <w:b/>
          <w:sz w:val="24"/>
          <w:szCs w:val="24"/>
        </w:rPr>
        <w:t xml:space="preserve">Bench (score=0.249). </w:t>
      </w:r>
      <w:r>
        <w:rPr>
          <w:rFonts w:ascii="Times New Roman" w:cs="Times New Roman" w:eastAsia="Times New Roman" w:hAnsi="Times New Roman"/>
          <w:sz w:val="24"/>
          <w:szCs w:val="24"/>
        </w:rPr>
        <w:t xml:space="preserve">The keyboard bench cluster is the most demographically specific topic in the corpus, reflecting the concerns of pianists and keyboard players — a distinct sub-community within the broader musical instrument customer base. Reviews emphasize height adjustability for players of different heights, padding comfort for extended practice sessions, and weight capacity. The presence of this topic as a distinct cluster validates the corpus's breadth: the dataset captures not only guitar-centric accessories but also keyboard and piano equipment. For e-commerce platforms, this topic suggests that piano bench customers have specific ergonomic requirements that differentiate them from general music accessory buyers.</w:t>
      </w:r>
    </w:p>
    <w:p>
      <w:pPr>
        <w:jc w:val="both"/>
        <w:spacing w:line="480" w:lineRule="auto" w:after="160"/>
        <w:ind w:firstLine="720"/>
      </w:pPr>
      <w:r>
        <w:rPr>
          <w:rFonts w:ascii="Times New Roman" w:cs="Times New Roman" w:eastAsia="Times New Roman" w:hAnsi="Times New Roman"/>
          <w:sz w:val="24"/>
          <w:szCs w:val="24"/>
        </w:rPr>
        <w:t xml:space="preserve">Taken together, the eight topics form a natural taxonomy of the Musical Instruments e-commerce domain that maps cleanly onto real product categories: tuning (guitar tuners), amplification and effects (delay pedal), recording (pop filters), support equipment (music stand, bench), playing accessories (cables, Dunlop picks), and maintenance (cleaning guitars). This taxonomy emerges entirely from unsupervised analysis of customer language, with no manual labeling or domain expert intervention. The ability of ARTM to produce this structured, interpretable taxonomy from raw review text demonstrates practical value for automated product categorization, recommendation system design, and market segmentation.</w:t>
      </w:r>
    </w:p>
    <w:p>
      <w:pPr>
        <w:pStyle w:val="Heading2"/>
      </w:pPr>
      <w:r>
        <w:rPr>
          <w:rFonts w:ascii="Times New Roman" w:cs="Times New Roman" w:eastAsia="Times New Roman" w:hAnsi="Times New Roman"/>
          <w:b/>
          <w:sz w:val="26"/>
          <w:szCs w:val="26"/>
        </w:rPr>
        <w:t>6.6 Limitations and Future Work</w:t>
      </w:r>
    </w:p>
    <w:p>
      <w:pPr>
        <w:jc w:val="both"/>
        <w:spacing w:line="480" w:lineRule="auto" w:after="160"/>
        <w:ind w:firstLine="720"/>
      </w:pPr>
      <w:r>
        <w:rPr>
          <w:rFonts w:ascii="Times New Roman" w:cs="Times New Roman" w:eastAsia="Times New Roman" w:hAnsi="Times New Roman"/>
          <w:sz w:val="24"/>
          <w:szCs w:val="24"/>
        </w:rPr>
        <w:t xml:space="preserve">We acknowledge several limitations of the current system that contextualize the results and point toward directions for future research.</w:t>
      </w:r>
    </w:p>
    <w:p>
      <w:pPr>
        <w:jc w:val="both"/>
        <w:spacing w:line="480" w:lineRule="auto" w:after="160"/>
        <w:ind w:firstLine="720"/>
      </w:pPr>
      <w:r>
        <w:rPr>
          <w:rFonts w:ascii="Times New Roman" w:cs="Times New Roman" w:eastAsia="Times New Roman" w:hAnsi="Times New Roman"/>
          <w:b/>
          <w:sz w:val="24"/>
          <w:szCs w:val="24"/>
        </w:rPr>
        <w:t xml:space="preserve">Topic label quality variability. </w:t>
      </w:r>
      <w:r>
        <w:rPr>
          <w:rFonts w:ascii="Times New Roman" w:cs="Times New Roman" w:eastAsia="Times New Roman" w:hAnsi="Times New Roman"/>
          <w:sz w:val="24"/>
          <w:szCs w:val="24"/>
        </w:rPr>
        <w:t xml:space="preserve">The composite scores for the eight final topics range from 0.188 (Pop filters) to 0.531 (Guitar tuners), indicating significant variability in label quality. Low-scoring topics such as Pop filters and Bench reflect genuine ambiguity in the underlying review clusters — these product categories attract shorter, less descriptive reviews than guitar accessories, making evidence-label alignment inherently more difficult. Future work should explore adaptive retrieval strategies that increase the number of retrieved reviews for topics with low evidence density, potentially compensating for sparse review language.</w:t>
      </w:r>
    </w:p>
    <w:p>
      <w:pPr>
        <w:jc w:val="both"/>
        <w:spacing w:line="480" w:lineRule="auto" w:after="160"/>
        <w:ind w:firstLine="720"/>
      </w:pPr>
      <w:r>
        <w:rPr>
          <w:rFonts w:ascii="Times New Roman" w:cs="Times New Roman" w:eastAsia="Times New Roman" w:hAnsi="Times New Roman"/>
          <w:b/>
          <w:sz w:val="24"/>
          <w:szCs w:val="24"/>
        </w:rPr>
        <w:t xml:space="preserve">LLM scale constraints. </w:t>
      </w:r>
      <w:r>
        <w:rPr>
          <w:rFonts w:ascii="Times New Roman" w:cs="Times New Roman" w:eastAsia="Times New Roman" w:hAnsi="Times New Roman"/>
          <w:sz w:val="24"/>
          <w:szCs w:val="24"/>
        </w:rPr>
        <w:t xml:space="preserve">We use Flan-T5-base (250M parameters) as our LLM agent, selected for its tractable inference time on consumer hardware. Larger instruction-tuned models such as Mistral-7B-Instruct or LLaMA-3-8B would likely produce higher quality topic labels with better adherence to the noun-phrase constraint, at the cost of substantially increased inference time. A systematic comparison of LLM scale effects on ARTM label quality is an important direction for future work.</w:t>
      </w:r>
    </w:p>
    <w:p>
      <w:pPr>
        <w:jc w:val="both"/>
        <w:spacing w:line="480" w:lineRule="auto" w:after="160"/>
        <w:ind w:firstLine="720"/>
      </w:pPr>
      <w:r>
        <w:rPr>
          <w:rFonts w:ascii="Times New Roman" w:cs="Times New Roman" w:eastAsia="Times New Roman" w:hAnsi="Times New Roman"/>
          <w:b/>
          <w:sz w:val="24"/>
          <w:szCs w:val="24"/>
        </w:rPr>
        <w:t xml:space="preserve">NPMI coherence. </w:t>
      </w:r>
      <w:r>
        <w:rPr>
          <w:rFonts w:ascii="Times New Roman" w:cs="Times New Roman" w:eastAsia="Times New Roman" w:hAnsi="Times New Roman"/>
          <w:sz w:val="24"/>
          <w:szCs w:val="24"/>
        </w:rPr>
        <w:t xml:space="preserve">NPMI coherence remains negative across both ARTM and the BERTopic baseline (-0.0577 and -0.0864 respectively), indicating that some keyword co-occurrences are below chance levels. This is a known characteristic of highly heterogeneous corpora where product categories share minimal vocabulary — reviews about guitar picks and pop filters genuinely co-occur rarely. Future work should explore topic-specific coherence evaluation that accounts for sub-corpus vocabulary rather than measuring co-occurrence against the full corpus.</w:t>
      </w:r>
    </w:p>
    <w:p>
      <w:pPr>
        <w:jc w:val="both"/>
        <w:spacing w:line="480" w:lineRule="auto" w:after="160"/>
        <w:ind w:firstLine="720"/>
      </w:pPr>
      <w:r>
        <w:rPr>
          <w:rFonts w:ascii="Times New Roman" w:cs="Times New Roman" w:eastAsia="Times New Roman" w:hAnsi="Times New Roman"/>
          <w:b/>
          <w:sz w:val="24"/>
          <w:szCs w:val="24"/>
        </w:rPr>
        <w:t xml:space="preserve">Convergence instability. </w:t>
      </w:r>
      <w:r>
        <w:rPr>
          <w:rFonts w:ascii="Times New Roman" w:cs="Times New Roman" w:eastAsia="Times New Roman" w:hAnsi="Times New Roman"/>
          <w:sz w:val="24"/>
          <w:szCs w:val="24"/>
        </w:rPr>
        <w:t xml:space="preserve">The agentic loop exhibits score oscillation across iterations — high in iteration 1, low in iteration 2, recovering in iteration 3 — reflecting tension between the evidence fit and distinctiveness components of the composite score. A more sophisticated scoring function that gradually increases the distinctiveness weight across iterations, or an adaptive threshold that relaxes as iterations progress, could produce more stable convergence. We recommend experimenting with T=5 iterations in future applications of this framework.</w:t>
      </w:r>
    </w:p>
    <w:p>
      <w:pPr>
        <w:jc w:val="both"/>
        <w:spacing w:line="480" w:lineRule="auto" w:after="160"/>
        <w:ind w:firstLine="720"/>
      </w:pPr>
      <w:r>
        <w:rPr>
          <w:rFonts w:ascii="Times New Roman" w:cs="Times New Roman" w:eastAsia="Times New Roman" w:hAnsi="Times New Roman"/>
          <w:b/>
          <w:sz w:val="24"/>
          <w:szCs w:val="24"/>
        </w:rPr>
        <w:t xml:space="preserve">Human evaluation. </w:t>
      </w:r>
      <w:r>
        <w:rPr>
          <w:rFonts w:ascii="Times New Roman" w:cs="Times New Roman" w:eastAsia="Times New Roman" w:hAnsi="Times New Roman"/>
          <w:sz w:val="24"/>
          <w:szCs w:val="24"/>
        </w:rPr>
        <w:t xml:space="preserve">This paper relies on automatic metrics to evaluate topic quality. A formal human evaluation with domain expert annotators — ideally individuals with professional experience in musical instrument retail or product management — would provide stronger validation of the interpretability claims made in the qualitative analysis above. Human evaluation is a planned extension of this work, with annotator recruitment and inter-annotator agreement measurement (Krippendorff's alpha) as the primary methodology.</w:t>
      </w:r>
    </w:p>
    <w:p>
      <w:pPr>
        <w:jc w:val="both"/>
        <w:spacing w:line="480" w:lineRule="auto" w:after="160"/>
        <w:ind w:firstLine="720"/>
      </w:pPr>
      <w:r>
        <w:rPr>
          <w:rFonts w:ascii="Times New Roman" w:cs="Times New Roman" w:eastAsia="Times New Roman" w:hAnsi="Times New Roman"/>
          <w:b/>
          <w:sz w:val="24"/>
          <w:szCs w:val="24"/>
        </w:rPr>
        <w:t xml:space="preserve">Generalizability. </w:t>
      </w:r>
      <w:r>
        <w:rPr>
          <w:rFonts w:ascii="Times New Roman" w:cs="Times New Roman" w:eastAsia="Times New Roman" w:hAnsi="Times New Roman"/>
          <w:sz w:val="24"/>
          <w:szCs w:val="24"/>
        </w:rPr>
        <w:t xml:space="preserve">All experiments are conducted on a single domain (Musical Instruments) and a single language (English). The ARTM framework is domain-agnostic by design — the only domain-specific component is the dataset — but empirical validation on additional Amazon product categories (Electronics, Clothing, Books) and multilingual corpora (German, French, Mandarin reviews) is necessary before making broader generalizability claims. Cross-domain transfer experiments, where a model trained on Musical Instruments topics is used to initialize topic discovery in a related domain, represent a particularly promising direction.</w:t>
      </w:r>
    </w:p>
    <w:p>
      <w:pPr>
        <w:jc w:val="both"/>
        <w:spacing w:line="480" w:lineRule="auto" w:after="160"/>
        <w:ind w:firstLine="720"/>
      </w:pPr>
      <w:r>
        <w:rPr>
          <w:rFonts w:ascii="Times New Roman" w:cs="Times New Roman" w:eastAsia="Times New Roman" w:hAnsi="Times New Roman"/>
          <w:sz w:val="24"/>
          <w:szCs w:val="24"/>
        </w:rPr>
        <w:t xml:space="preserve">Despite these limitations, ARTM represents a meaningful step toward interpretable, evidence-grounded topic modeling for e-commerce product review corpora. The framework's modularity — any embedding model, vector index, clustering algorithm, or LLM agent can be substituted — makes it a flexible foundation for future work in agentic NLP systems.</w:t>
      </w:r>
    </w:p>
    <w:p>
      <w:pPr>
        <w:pStyle w:val="Heading1"/>
      </w:pPr>
      <w:r>
        <w:rPr>
          <w:rFonts w:ascii="Times New Roman" w:cs="Times New Roman" w:eastAsia="Times New Roman" w:hAnsi="Times New Roman"/>
          <w:b/>
          <w:bCs/>
          <w:sz w:val="28"/>
          <w:szCs w:val="28"/>
        </w:rPr>
        <w:t xml:space="preserve">7. Conclusion</w:t>
      </w:r>
    </w:p>
    <w:p>
      <w:pPr>
        <w:spacing w:line="480" w:lineRule="auto" w:after="160"/>
        <w:ind w:firstLine="720"/>
        <w:jc w:val="both"/>
      </w:pPr>
      <w:r>
        <w:rPr>
          <w:rFonts w:ascii="Times New Roman" w:cs="Times New Roman" w:eastAsia="Times New Roman" w:hAnsi="Times New Roman"/>
          <w:sz w:val="24"/>
          <w:szCs w:val="24"/>
        </w:rPr>
        <w:t xml:space="preserve">We presented ARTM, an agentic retrieval-augmented framework for topic modeling in product review corpora. By combining FAISS-based dense retrieval with an iterative Flan-T5 critique-and-refine loop, ARTM produces more coherent and human-interpretable topic labels than BERTopic on 10,206 Amazon Musical Instruments reviews. Our system improves CV coherence by 1.1%, NPMI by 33%, and topic diversity by 0.7% while producing an interpretable 8-topic product taxonomy.</w:t>
      </w:r>
    </w:p>
    <w:p>
      <w:pPr>
        <w:spacing w:line="480" w:lineRule="auto" w:after="160"/>
        <w:ind w:firstLine="720"/>
        <w:jc w:val="both"/>
      </w:pPr>
      <w:r>
        <w:rPr>
          <w:rFonts w:ascii="Times New Roman" w:cs="Times New Roman" w:eastAsia="Times New Roman" w:hAnsi="Times New Roman"/>
          <w:sz w:val="24"/>
          <w:szCs w:val="24"/>
        </w:rPr>
        <w:t xml:space="preserve">The core insight is that topic modeling quality has two distinct dimensions: statistical coherence and human interpretability. Static neural topic models optimize the former; agentic LLM refinement addresses the latter. ARTM provides a mechanism for improving both simultaneously through evidence-grounded iterative refinement. We believe the agentic paradigm represents a promising new direction for unsupervised NLP tasks more broadly, extending beyond topic modeling to any setting where quality must be assessed through semantic grounding rather than ground-truth labels.</w:t>
      </w:r>
    </w:p>
    <w:p>
      <w:pPr>
        <w:spacing w:line="480" w:lineRule="auto" w:after="160"/>
        <w:ind w:firstLine="720"/>
        <w:jc w:val="both"/>
      </w:pPr>
      <w:r>
        <w:rPr>
          <w:rFonts w:ascii="Times New Roman" w:cs="Times New Roman" w:eastAsia="Times New Roman" w:hAnsi="Times New Roman"/>
          <w:sz w:val="24"/>
          <w:szCs w:val="24"/>
        </w:rPr>
        <w:t xml:space="preserve">All code, data processing scripts, evaluation frameworks, and human evaluation templates are available for reproducibility. We encourage future work to explore larger LLMs, more iterations, and joint topic-sentiment modeling in this framework.</w:t>
      </w:r>
    </w:p>
    <w:p>
      <w:pPr>
        <w:pStyle w:val="Heading1"/>
      </w:pPr>
      <w:r>
        <w:rPr>
          <w:rFonts w:ascii="Times New Roman" w:cs="Times New Roman" w:eastAsia="Times New Roman" w:hAnsi="Times New Roman"/>
          <w:b/>
          <w:bCs/>
          <w:sz w:val="28"/>
          <w:szCs w:val="28"/>
        </w:rPr>
        <w:t xml:space="preserve">References</w:t>
      </w:r>
    </w:p>
    <w:p>
      <w:pPr>
        <w:spacing w:after="120" w:line="360" w:lineRule="auto"/>
        <w:ind w:left="720" w:hanging="720"/>
        <w:jc w:val="both"/>
      </w:pPr>
      <w:r>
        <w:rPr>
          <w:rFonts w:ascii="Times New Roman" w:cs="Times New Roman" w:eastAsia="Times New Roman" w:hAnsi="Times New Roman"/>
          <w:sz w:val="20"/>
          <w:szCs w:val="20"/>
        </w:rPr>
        <w:t xml:space="preserve">Bianchi, F., Terragni, S., Hovy, D., Nozza, D., &amp; Fersini, E. (2021). Pre-training is a hot topic: Contextualized document embeddings improve topic coherence. In Proceedings of ACL-IJCNLP 2021 (pp. 759-793).</w:t>
      </w:r>
    </w:p>
    <w:p>
      <w:pPr>
        <w:spacing w:after="120" w:line="360" w:lineRule="auto"/>
        <w:ind w:left="720" w:hanging="720"/>
        <w:jc w:val="both"/>
      </w:pPr>
      <w:r>
        <w:rPr>
          <w:rFonts w:ascii="Times New Roman" w:cs="Times New Roman" w:eastAsia="Times New Roman" w:hAnsi="Times New Roman"/>
          <w:sz w:val="20"/>
          <w:szCs w:val="20"/>
        </w:rPr>
        <w:t xml:space="preserve">Blei, D. M., Ng, A. Y., &amp; Jordan, M. I. (2003). Latent dirichlet allocation. Journal of Machine Learning Research, 3, 993-1022.</w:t>
      </w:r>
    </w:p>
    <w:p>
      <w:pPr>
        <w:spacing w:after="120" w:line="360" w:lineRule="auto"/>
        <w:ind w:left="720" w:hanging="720"/>
        <w:jc w:val="both"/>
      </w:pPr>
      <w:r>
        <w:rPr>
          <w:rFonts w:ascii="Times New Roman" w:cs="Times New Roman" w:eastAsia="Times New Roman" w:hAnsi="Times New Roman"/>
          <w:sz w:val="20"/>
          <w:szCs w:val="20"/>
        </w:rPr>
        <w:t xml:space="preserve">Dieng, A. B., Ruiz, F. J., &amp; Blei, D. M. (2020). Topic modeling in embedding spaces. Transactions of the Association for Computational Linguistics, 8, 439-453.</w:t>
      </w:r>
    </w:p>
    <w:p>
      <w:pPr>
        <w:spacing w:after="120" w:line="360" w:lineRule="auto"/>
        <w:ind w:left="720" w:hanging="720"/>
        <w:jc w:val="both"/>
      </w:pPr>
      <w:r>
        <w:rPr>
          <w:rFonts w:ascii="Times New Roman" w:cs="Times New Roman" w:eastAsia="Times New Roman" w:hAnsi="Times New Roman"/>
          <w:sz w:val="20"/>
          <w:szCs w:val="20"/>
        </w:rPr>
        <w:t xml:space="preserve">Frobe, M., Bittner, M., Kohler, J., Nanni, F., Fegert, J., Wolff, C., &amp; Potthast, M. (2021). The effect of sampling strategies on the reliability of topic model diversity measures. In CLEF 2021.</w:t>
      </w:r>
    </w:p>
    <w:p>
      <w:pPr>
        <w:spacing w:after="120" w:line="360" w:lineRule="auto"/>
        <w:ind w:left="720" w:hanging="720"/>
        <w:jc w:val="both"/>
      </w:pPr>
      <w:r>
        <w:rPr>
          <w:rFonts w:ascii="Times New Roman" w:cs="Times New Roman" w:eastAsia="Times New Roman" w:hAnsi="Times New Roman"/>
          <w:sz w:val="20"/>
          <w:szCs w:val="20"/>
        </w:rPr>
        <w:t xml:space="preserve">Grootendorst, M. (2022). BERTopic: Neural topic modelling with a class-based TF-IDF procedure. arXiv preprint arXiv:2203.05794.</w:t>
      </w:r>
    </w:p>
    <w:p>
      <w:pPr>
        <w:spacing w:after="120" w:line="360" w:lineRule="auto"/>
        <w:ind w:left="720" w:hanging="720"/>
        <w:jc w:val="both"/>
      </w:pPr>
      <w:r>
        <w:rPr>
          <w:rFonts w:ascii="Times New Roman" w:cs="Times New Roman" w:eastAsia="Times New Roman" w:hAnsi="Times New Roman"/>
          <w:sz w:val="20"/>
          <w:szCs w:val="20"/>
        </w:rPr>
        <w:t xml:space="preserve">He, R., &amp; McAuley, J. (2016). Ups and downs: Modeling the visual evolution of fashion trends with one-class collaborative filtering. In Proceedings of WWW 2016 (pp. 507-517).</w:t>
      </w:r>
    </w:p>
    <w:p>
      <w:pPr>
        <w:spacing w:after="120" w:line="360" w:lineRule="auto"/>
        <w:ind w:left="720" w:hanging="720"/>
        <w:jc w:val="both"/>
      </w:pPr>
      <w:r>
        <w:rPr>
          <w:rFonts w:ascii="Times New Roman" w:cs="Times New Roman" w:eastAsia="Times New Roman" w:hAnsi="Times New Roman"/>
          <w:sz w:val="20"/>
          <w:szCs w:val="20"/>
        </w:rPr>
        <w:t xml:space="preserve">Jo, Y., &amp; Oh, A. H. (2011). Aspect and sentiment unification model for online review analysis. In Proceedings of WSDM 2011 (pp. 815-824).</w:t>
      </w:r>
    </w:p>
    <w:p>
      <w:pPr>
        <w:spacing w:after="120" w:line="360" w:lineRule="auto"/>
        <w:ind w:left="720" w:hanging="720"/>
        <w:jc w:val="both"/>
      </w:pPr>
      <w:r>
        <w:rPr>
          <w:rFonts w:ascii="Times New Roman" w:cs="Times New Roman" w:eastAsia="Times New Roman" w:hAnsi="Times New Roman"/>
          <w:sz w:val="20"/>
          <w:szCs w:val="20"/>
        </w:rPr>
        <w:t xml:space="preserve">Johnson, J., Douze, M., &amp; Jegou, H. (2021). Billion-scale similarity search with GPUs. IEEE Transactions on Big Data, 7(3), 535-547.</w:t>
      </w:r>
    </w:p>
    <w:p>
      <w:pPr>
        <w:spacing w:after="120" w:line="360" w:lineRule="auto"/>
        <w:ind w:left="720" w:hanging="720"/>
        <w:jc w:val="both"/>
      </w:pPr>
      <w:r>
        <w:rPr>
          <w:rFonts w:ascii="Times New Roman" w:cs="Times New Roman" w:eastAsia="Times New Roman" w:hAnsi="Times New Roman"/>
          <w:sz w:val="20"/>
          <w:szCs w:val="20"/>
        </w:rPr>
        <w:t xml:space="preserve">Karpukhin, V., Oguz, B., Min, S., Lewis, P., Wu, L., Edunov, S., &amp; Yih, W. T. (2020). Dense passage retrieval for open-domain question answering. In Proceedings of EMNLP 2020 (pp. 6769-6781).</w:t>
      </w:r>
    </w:p>
    <w:p>
      <w:pPr>
        <w:spacing w:after="120" w:line="360" w:lineRule="auto"/>
        <w:ind w:left="720" w:hanging="720"/>
        <w:jc w:val="both"/>
      </w:pPr>
      <w:r>
        <w:rPr>
          <w:rFonts w:ascii="Times New Roman" w:cs="Times New Roman" w:eastAsia="Times New Roman" w:hAnsi="Times New Roman"/>
          <w:sz w:val="20"/>
          <w:szCs w:val="20"/>
        </w:rPr>
        <w:t xml:space="preserve">Lewis, P., Perez, E., Piktus, A., Petroni, F., Karpukhin, V., Goyal, N., &amp; Kiela, D. (2020). Retrieval-augmented generation for knowledge-intensive NLP tasks. In Proceedings of NeurIPS 2020 (pp. 9459-9474).</w:t>
      </w:r>
    </w:p>
    <w:p>
      <w:pPr>
        <w:spacing w:after="120" w:line="360" w:lineRule="auto"/>
        <w:ind w:left="720" w:hanging="720"/>
        <w:jc w:val="both"/>
      </w:pPr>
      <w:r>
        <w:rPr>
          <w:rFonts w:ascii="Times New Roman" w:cs="Times New Roman" w:eastAsia="Times New Roman" w:hAnsi="Times New Roman"/>
          <w:sz w:val="20"/>
          <w:szCs w:val="20"/>
        </w:rPr>
        <w:t xml:space="preserve">McAuley, J. J., &amp; Leskovec, J. (2013). Hidden factors and hidden topics: Understanding rating dimensions with review text. In Proceedings of RecSys 2013 (pp. 165-172).</w:t>
      </w:r>
    </w:p>
    <w:p>
      <w:pPr>
        <w:spacing w:after="120" w:line="360" w:lineRule="auto"/>
        <w:ind w:left="720" w:hanging="720"/>
        <w:jc w:val="both"/>
      </w:pPr>
      <w:r>
        <w:rPr>
          <w:rFonts w:ascii="Times New Roman" w:cs="Times New Roman" w:eastAsia="Times New Roman" w:hAnsi="Times New Roman"/>
          <w:sz w:val="20"/>
          <w:szCs w:val="20"/>
        </w:rPr>
        <w:t xml:space="preserve">Miao, Y., Yu, L., &amp; Blunsom, P. (2016). Neural variational inference for text processing. In Proceedings of ICML 2016 (pp. 1727-1736).</w:t>
      </w:r>
    </w:p>
    <w:p>
      <w:pPr>
        <w:spacing w:after="120" w:line="360" w:lineRule="auto"/>
        <w:ind w:left="720" w:hanging="720"/>
        <w:jc w:val="both"/>
      </w:pPr>
      <w:r>
        <w:rPr>
          <w:rFonts w:ascii="Times New Roman" w:cs="Times New Roman" w:eastAsia="Times New Roman" w:hAnsi="Times New Roman"/>
          <w:sz w:val="20"/>
          <w:szCs w:val="20"/>
        </w:rPr>
        <w:t xml:space="preserve">Reimers, N., &amp; Gurevych, I. (2019). Sentence-BERT: Sentence embeddings using siamese BERT-networks. In Proceedings of EMNLP-IJCNLP 2019 (pp. 3982-3992).</w:t>
      </w:r>
    </w:p>
    <w:p>
      <w:pPr>
        <w:spacing w:after="120" w:line="360" w:lineRule="auto"/>
        <w:ind w:left="720" w:hanging="720"/>
        <w:jc w:val="both"/>
      </w:pPr>
      <w:r>
        <w:rPr>
          <w:rFonts w:ascii="Times New Roman" w:cs="Times New Roman" w:eastAsia="Times New Roman" w:hAnsi="Times New Roman"/>
          <w:sz w:val="20"/>
          <w:szCs w:val="20"/>
        </w:rPr>
        <w:t xml:space="preserve">Roberts, M. E., Stewart, B. M., &amp; Tingley, D. (2016). Navigating the local modes of big data: The case of topic models. In Data Analytics in Social Science, Government, and Industry (pp. 51-97).</w:t>
      </w:r>
    </w:p>
    <w:p>
      <w:pPr>
        <w:spacing w:after="120" w:line="360" w:lineRule="auto"/>
        <w:ind w:left="720" w:hanging="720"/>
        <w:jc w:val="both"/>
      </w:pPr>
      <w:r>
        <w:rPr>
          <w:rFonts w:ascii="Times New Roman" w:cs="Times New Roman" w:eastAsia="Times New Roman" w:hAnsi="Times New Roman"/>
          <w:sz w:val="20"/>
          <w:szCs w:val="20"/>
        </w:rPr>
        <w:t xml:space="preserve">Roder, M., Both, A., &amp; Hinneburg, A. (2015). Exploring the space of topic coherence measures. In Proceedings of WSDM 2015 (pp. 399-408).</w:t>
      </w:r>
    </w:p>
    <w:p>
      <w:pPr>
        <w:spacing w:after="120" w:line="360" w:lineRule="auto"/>
        <w:ind w:left="720" w:hanging="720"/>
        <w:jc w:val="both"/>
      </w:pPr>
      <w:r>
        <w:rPr>
          <w:rFonts w:ascii="Times New Roman" w:cs="Times New Roman" w:eastAsia="Times New Roman" w:hAnsi="Times New Roman"/>
          <w:sz w:val="20"/>
          <w:szCs w:val="20"/>
        </w:rPr>
        <w:t xml:space="preserve">Shinn, N., Cassano, F., Berman, E., Gopinath, A., Narasimhan, K., &amp; Yao, S. (2023). Reflexion: Language agents with verbal reinforcement learning. In Proceedings of NeurIPS 2023.</w:t>
      </w:r>
    </w:p>
    <w:p>
      <w:pPr>
        <w:spacing w:after="120" w:line="360" w:lineRule="auto"/>
        <w:ind w:left="720" w:hanging="720"/>
        <w:jc w:val="both"/>
      </w:pPr>
      <w:r>
        <w:rPr>
          <w:rFonts w:ascii="Times New Roman" w:cs="Times New Roman" w:eastAsia="Times New Roman" w:hAnsi="Times New Roman"/>
          <w:sz w:val="20"/>
          <w:szCs w:val="20"/>
        </w:rPr>
        <w:t xml:space="preserve">Titov, I., &amp; McDonald, R. (2008). Modeling online reviews with multi-grain topic models. In Proceedings of WWW 2008 (pp. 111-120).</w:t>
      </w:r>
    </w:p>
    <w:p>
      <w:pPr>
        <w:spacing w:after="120" w:line="360" w:lineRule="auto"/>
        <w:ind w:left="720" w:hanging="720"/>
        <w:jc w:val="both"/>
      </w:pPr>
      <w:r>
        <w:rPr>
          <w:rFonts w:ascii="Times New Roman" w:cs="Times New Roman" w:eastAsia="Times New Roman" w:hAnsi="Times New Roman"/>
          <w:sz w:val="20"/>
          <w:szCs w:val="20"/>
        </w:rPr>
        <w:t xml:space="preserve">Wang, L., Ma, C., Feng, X., Zhang, Z., Yang, H., Zhang, J., &amp; Wen, J. R. (2024). A survey on large language model based autonomous agents. Frontiers of Computer Science, 18(6), 186345.</w:t>
      </w:r>
    </w:p>
    <w:p>
      <w:pPr>
        <w:spacing w:after="120" w:line="360" w:lineRule="auto"/>
        <w:ind w:left="720" w:hanging="720"/>
        <w:jc w:val="both"/>
      </w:pPr>
      <w:r>
        <w:rPr>
          <w:rFonts w:ascii="Times New Roman" w:cs="Times New Roman" w:eastAsia="Times New Roman" w:hAnsi="Times New Roman"/>
          <w:sz w:val="20"/>
          <w:szCs w:val="20"/>
        </w:rPr>
        <w:t xml:space="preserve">Yao, S., Zhao, J., Yu, D., Du, N., Shafran, I., Narasimhan, K., &amp; Cao, Y. (2023). ReAct: Synergizing reasoning and acting in language models. In Proceedings of ICLR 2023.</w:t>
      </w:r>
    </w:p>
    <w:sectPr>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80" w:after="240"/>
      <w:outlineLvl w:val="0"/>
    </w:pPr>
    <w:rPr>
      <w:rFonts w:ascii="Times New Roman" w:cs="Times New Roman" w:eastAsia="Times New Roman" w:hAnsi="Times New Roman"/>
      <w:b/>
      <w:bCs/>
      <w:sz w:val="28"/>
      <w:szCs w:val="28"/>
    </w:rPr>
  </w:style>
  <w:style w:type="paragraph" w:styleId="Heading2">
    <w:name w:val="Heading 2"/>
    <w:basedOn w:val="Normal"/>
    <w:next w:val="Normal"/>
    <w:pPr>
      <w:spacing w:before="320" w:after="16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2026-03-17T15:51:14.614Z</dcterms:created>
  <dcterms:modified xsi:type="dcterms:W3CDTF">2026-03-17T15:51:14.615Z</dcterms:modified>
</cp:coreProperties>
</file>

<file path=docProps/custom.xml><?xml version="1.0" encoding="utf-8"?>
<Properties xmlns="http://schemas.openxmlformats.org/officeDocument/2006/custom-properties" xmlns:vt="http://schemas.openxmlformats.org/officeDocument/2006/docPropsVTypes"/>
</file>