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Page: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Section 1: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page will begin with a sleek, modern header that includes the corporate logo. For visual appeal, a modest animation might be used.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Navbar: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The navbar will provide a navigation menu comprised of icons and text. The logo will be put on the left side of the page.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Sidebar: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sidebar will provide navigation links and symbols for each area. The toggle button for dark mode and bright mode will be located at the bottom of the sidebar.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Content Area: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Each topic (Design, Create, Legal, Publishing, Contact, Evaluation) will be presented in an attractive card design, with a focus on the part on good practices. A toggle button will allow you to switch between dark and light modes.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 Page: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Sidebar: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navigation links and mode toggle will remain in the sidebar.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Card Layout: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Each design topic (Effective Design Principles, Web Development Techniques) is going to be presented in appealing card formats. A prominent card will include a link for downloading storyboards and navigation diagrams.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Dark/Light Modes: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To improve reading and user experience, users may choose between dark and bright settings.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Page: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Navbar: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corporate logo and navigation choices will stay similar in the navbar and sidebar.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Sidebar: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There will be navigation links, including a mode toggle.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Card Design: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Good practices and approaches will be explained in visually attractive card designs, with visual examples and images included.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Dark Mode/Light Mode: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The toggle will allow users to select their favourite viewing mode.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Legal Requirements Page: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Navbar: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Keeps the logo and navigation links consistent, allowing for easy navigation.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navigation choices and mode toggle will remain in the sidebar.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Card Design: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Legal matters will be explained in a card format, using iconography to enhance visual appeal. Links to other legal compliance information will be offered in the form of clickable cards.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Publishing Page: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Navbar: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navbar and sidebar will keep on displaying the logo and navigation choices, keeping a consistent style.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Sidebar: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Menu links and a mode toggle will be available in the sidebar.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Card Layouts: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Card layouts will give step-by-step guidance to publishing a website, with graphic representations for each stage. Checkboxes inside a card will be used to design the checklist for a seamless publication procedure.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 Page: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Navbar: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The firm logo and navigation options are consistent in their branding.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Sidebar: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There will be navigation links, including a mode toggle.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Card Layout: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 card layouts, many contact mechanisms will be demonstrated. The inquiry form will be incorporated into a user-friendly and visually appealing card.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Evaluation Page: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Navbar: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Keeping the corporate logo and navigation links in a consistent style.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Sidebar: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The navigation links and mode toggle will be available.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Card Design: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Cards will be used to explain how the website complies with best practises and legal standards, maybe with interactive components. A slider style will be used to provide a demonstration of web design approaches.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