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80"/>
        <w:jc w:val="center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ARCHITECTURE &amp; IMPLEMENTATION REVIEW</w:t>
      </w:r>
    </w:p>
    <w:p>
      <w:pPr>
        <w:pStyle w:val="Title"/>
        <w:jc w:val="center"/>
      </w:pPr>
      <w:r>
        <w:rPr>
          <w:rFonts w:ascii="Calibri" w:cs="Calibri" w:eastAsia="Calibri" w:hAnsi="Calibri"/>
          <w:b/>
          <w:bCs/>
          <w:color w:val="17365D"/>
          <w:sz w:val="56"/>
          <w:szCs w:val="56"/>
        </w:rPr>
        <w:t xml:space="preserve">Privé ERP Final MVP</w:t>
      </w:r>
    </w:p>
    <w:p>
      <w:pPr>
        <w:pStyle w:val="Subtitle"/>
        <w:jc w:val="center"/>
      </w:pPr>
      <w:r>
        <w:rPr>
          <w:rFonts w:ascii="Calibri" w:cs="Calibri" w:eastAsia="Calibri" w:hAnsi="Calibri"/>
          <w:color w:val="1F4D78"/>
          <w:sz w:val="28"/>
          <w:szCs w:val="28"/>
        </w:rPr>
        <w:t xml:space="preserve">Database Design, Posting Workflows, and Operational Controls</w:t>
      </w:r>
    </w:p>
    <w:p>
      <w:pPr>
        <w:spacing w:before="540" w:after="80"/>
        <w:jc w:val="center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Implementation status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76B45"/>
          <w:sz w:val="22"/>
          <w:szCs w:val="22"/>
        </w:rPr>
        <w:t xml:space="preserve">Fully approved — final MVP architecture</w:t>
      </w:r>
    </w:p>
    <w:p>
      <w:pPr>
        <w:spacing w:before="520" w:after="40"/>
        <w:jc w:val="center"/>
      </w:pPr>
      <w:r>
        <w:rPr>
          <w:rFonts w:ascii="Calibri" w:cs="Calibri" w:eastAsia="Calibri" w:hAnsi="Calibri"/>
          <w:color w:val="667085"/>
          <w:sz w:val="20"/>
          <w:szCs w:val="20"/>
        </w:rPr>
        <w:t xml:space="preserve">Prepared for Privé ERP review</w:t>
      </w:r>
    </w:p>
    <w:p>
      <w:pPr>
        <w:jc w:val="center"/>
      </w:pPr>
      <w:r>
        <w:rPr>
          <w:rFonts w:ascii="Calibri" w:cs="Calibri" w:eastAsia="Calibri" w:hAnsi="Calibri"/>
          <w:color w:val="667085"/>
          <w:sz w:val="20"/>
          <w:szCs w:val="20"/>
        </w:rPr>
        <w:t xml:space="preserve">8 August 2026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1. Executive Summary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final MVP implementation preserves the approved domain split: Sales and Purchases own separate commercial documents, while Finance and Inventory each use one immutable signed operational ledger. The implementation deliberately avoids double-entry journals, universal document abstractions, cached balances, and advanced ERP subsystems.</w:t>
      </w:r>
    </w:p>
    <w:tbl>
      <w:tblPr>
        <w:tblW w:type="dxa" w:w="9360"/>
        <w:tblInd w:type="dxa" w:w="120"/>
        <w:tblBorders>
          <w:top w:val="none" w:color="FFFFFF" w:sz="0"/>
          <w:left w:val="single" w:color="17365D" w:sz="2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2"/>
                <w:szCs w:val="22"/>
              </w:rPr>
              <w:t xml:space="preserve">Final review status: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Fully approved. All minor schema and workflow corrections identified during final review are implemented and verified; remaining product wiring and expanded CI coverage are non-blocking.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 settings now explicitly identify the base currency and the shared Receivable and Payable control accounts. Posting never guesses an account.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five postable document types use atomic, serializable Draft → Posted transitions and exact reversal-based voiding.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Returns inherit the original line snapshot and cannot exceed the remaining returnable quantity.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Warehouses are optional for non-stock invoices and mandatory when tracked inventory appears.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MVP postings are base-currency only, invoice totals reconcile exactly, and negative stock is prohibited.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experimental migration lineage was replaced with one clean initial migration because there is no important data to preserve.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Implementation status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Area</w:t>
            </w:r>
          </w:p>
        </w:tc>
        <w:tc>
          <w:tcPr>
            <w:tcW w:type="dxa" w:w="15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Status</w:t>
            </w:r>
          </w:p>
        </w:tc>
        <w:tc>
          <w:tcPr>
            <w:tcW w:type="dxa" w:w="59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Review note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Relational model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Final source documents, ledgers, relationships, checks, and indexes are present.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Posting services</w:t>
            </w:r>
          </w:p>
        </w:tc>
        <w:tc>
          <w:tcPr>
            <w:tcW w:type="dxa" w:w="15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9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Sales, Purchases, Vouchers, Adjustments, and Transfers have post/void workflows.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Safety controls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Serializable transactions, status claims, append-only guards, and linked reversals.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Migration</w:t>
            </w:r>
          </w:p>
        </w:tc>
        <w:tc>
          <w:tcPr>
            <w:tcW w:type="dxa" w:w="15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9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Single clean migration: 20260807225956_InitialMvpArchitecture.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Automated verification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Passed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 build is clean; 11 unit/model tests pass; EF has no pending model changes.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Product screens and draft CRUD</w:t>
            </w:r>
          </w:p>
        </w:tc>
        <w:tc>
          <w:tcPr>
            <w:tcW w:type="dxa" w:w="15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Follow-up</w:t>
            </w:r>
          </w:p>
        </w:tc>
        <w:tc>
          <w:tcPr>
            <w:tcW w:type="dxa" w:w="59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New frontend routes and complete draft authoring surfaces remain.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 Approved Architecture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Source documents express business intent and lifecycle. Ledger rows express the authoritative posted financial or inventory effect. This separation keeps settlement, commercial history, and balance calculation explicit.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SALES                         PURCHASES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SalesInvoices                 PurchaseInvoices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└─ SalesInvoiceLines          └─ PurchaseInvoiceLines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       │                              │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       ├──────────┐        ┌──────────┤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       ▼          ▼        ▼          ▼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AccountTransactions      StockTransactions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       ▲                         ▲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       │                         │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FinancialVouchers       WarehouseTransfers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PaymentAllocations      StockAdjustments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Domain ownership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Domain</w:t>
            </w:r>
          </w:p>
        </w:tc>
        <w:tc>
          <w:tcPr>
            <w:tcW w:type="dxa" w:w="3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Owned source documents</w:t>
            </w:r>
          </w:p>
        </w:tc>
        <w:tc>
          <w:tcPr>
            <w:tcW w:type="dxa" w:w="42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Authoritative effect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Sales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SalesInvoices, SalesInvoiceLines</w:t>
            </w:r>
          </w:p>
        </w:tc>
        <w:tc>
          <w:tcPr>
            <w:tcW w:type="dxa" w:w="4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Requests receivable/income and stock movements.</w:t>
            </w:r>
          </w:p>
        </w:tc>
      </w:tr>
      <w:tr>
        <w:tc>
          <w:tcPr>
            <w:tcW w:type="dxa" w:w="17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Purchases</w:t>
            </w:r>
          </w:p>
        </w:tc>
        <w:tc>
          <w:tcPr>
            <w:tcW w:type="dxa" w:w="34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PurchaseInvoices, PurchaseInvoiceLines</w:t>
            </w:r>
          </w:p>
        </w:tc>
        <w:tc>
          <w:tcPr>
            <w:tcW w:type="dxa" w:w="42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Requests payable/expense and stock movements.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Finance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FinancialVouchers, PaymentAllocations</w:t>
            </w:r>
          </w:p>
        </w:tc>
        <w:tc>
          <w:tcPr>
            <w:tcW w:type="dxa" w:w="4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Owns AccountTransactions, the signed financial ledger.</w:t>
            </w:r>
          </w:p>
        </w:tc>
      </w:tr>
      <w:tr>
        <w:tc>
          <w:tcPr>
            <w:tcW w:type="dxa" w:w="17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Inventory / Warehouse</w:t>
            </w:r>
          </w:p>
        </w:tc>
        <w:tc>
          <w:tcPr>
            <w:tcW w:type="dxa" w:w="34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StockAdjustments and WarehouseTransfers with lines</w:t>
            </w:r>
          </w:p>
        </w:tc>
        <w:tc>
          <w:tcPr>
            <w:tcW w:type="dxa" w:w="42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Owns StockTransactions, the signed stock ledger.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Explicit exclusions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OperationalDocuments or OperationalDocumentLines universal abstraction.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JournalEntries or JournalEntryLines statutory double-entry engine.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mutable current balance, paid amount, or current stock columns.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tax engine, costing, COGS automation, reservations, lots, serials, period close, or FX accounting.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 Final Data Model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Master data and posting configuration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Accounts, Contacts, Currencies, Items, Units of Measure, Item-specific UoM conversions, Warehouses, and BusinessSettings form the shared master-data layer.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Entity</w:t>
            </w:r>
          </w:p>
        </w:tc>
        <w:tc>
          <w:tcPr>
            <w:tcW w:type="dxa" w:w="70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Key final rules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BusinessSettings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Database-enforced singleton with required BaseCurrencyId, DefaultReceivableAccountId, and DefaultPayableAccountId.</w:t>
            </w:r>
          </w:p>
        </w:tc>
      </w:tr>
      <w:tr>
        <w:tc>
          <w:tcPr>
            <w:tcW w:type="dxa" w:w="2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Accounts</w:t>
            </w:r>
          </w:p>
        </w:tc>
        <w:tc>
          <w:tcPr>
            <w:tcW w:type="dxa" w:w="70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Unique code, operational type, optional account currency, hierarchy, and no balance column.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Contacts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Customer/vendor identity only; no AccountId, OpeningBalance, or CurrentBalance.</w:t>
            </w:r>
          </w:p>
        </w:tc>
      </w:tr>
      <w:tr>
        <w:tc>
          <w:tcPr>
            <w:tcW w:type="dxa" w:w="2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Items</w:t>
            </w:r>
          </w:p>
        </w:tc>
        <w:tc>
          <w:tcPr>
            <w:tcW w:type="dxa" w:w="70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Product/service identity, inventory tracking flag, base UoM, and optional draft-time account defaults.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ItemUnitsOfMeasure</w:t>
            </w:r>
          </w:p>
        </w:tc>
        <w:tc>
          <w:tcPr>
            <w:tcW w:type="dxa" w:w="7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Unique item/UoM mapping with a positive conversion factor and constrained default selections.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Commercial documents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SalesInvoices and PurchaseInvoices share a lifecycle shape but remain separate entities. Each line snapshots the posting account, item, UoM, conversion factor, quantity, price, discount, and total required to preserve posted history.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Normal and return documents use positive source quantities and monetary values; IsReturn determines ledger sign.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return links to a posted normal original invoice, and each return line links to an original line.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WarehouseId is nullable at the database level and conditionally required by posting rules.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Authoritative ledgers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2300"/>
        <w:gridCol w:w="3650"/>
        <w:gridCol w:w="3410"/>
      </w:tblGrid>
      <w:tr>
        <w:trPr>
          <w:tblHeader/>
        </w:trPr>
        <w:tc>
          <w:tcPr>
            <w:tcW w:type="dxa" w:w="23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Ledger</w:t>
            </w:r>
          </w:p>
        </w:tc>
        <w:tc>
          <w:tcPr>
            <w:tcW w:type="dxa" w:w="36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Balance definition</w:t>
            </w:r>
          </w:p>
        </w:tc>
        <w:tc>
          <w:tcPr>
            <w:tcW w:type="dxa" w:w="341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Audit behavior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AccountTransactions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SUM(BaseAmount), optionally filtered by AccountId and ContactId.</w:t>
            </w:r>
          </w:p>
        </w:tc>
        <w:tc>
          <w:tcPr>
            <w:tcW w:type="dxa" w:w="3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Signed, append-only, typed source, exact linked reversal.</w:t>
            </w:r>
          </w:p>
        </w:tc>
      </w:tr>
      <w:tr>
        <w:tc>
          <w:tcPr>
            <w:tcW w:type="dxa" w:w="2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StockTransactions</w:t>
            </w:r>
          </w:p>
        </w:tc>
        <w:tc>
          <w:tcPr>
            <w:tcW w:type="dxa" w:w="365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SUM(QuantityBase) by WarehouseId and ItemId.</w:t>
            </w:r>
          </w:p>
        </w:tc>
        <w:tc>
          <w:tcPr>
            <w:tcW w:type="dxa" w:w="341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Signed, append-only, typed source, exact linked reversal.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 Posting Lifecycle and Concurrency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Sales Invoices, Purchase Invoices, Financial Vouchers, Stock Adjustments, and Warehouse Transfers use the same lifecycle.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1300"/>
        <w:gridCol w:w="1300"/>
        <w:gridCol w:w="3300"/>
        <w:gridCol w:w="3460"/>
      </w:tblGrid>
      <w:tr>
        <w:trPr>
          <w:tblHeader/>
        </w:trPr>
        <w:tc>
          <w:tcPr>
            <w:tcW w:type="dxa" w:w="13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State</w:t>
            </w:r>
          </w:p>
        </w:tc>
        <w:tc>
          <w:tcPr>
            <w:tcW w:type="dxa" w:w="13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Editable</w:t>
            </w:r>
          </w:p>
        </w:tc>
        <w:tc>
          <w:tcPr>
            <w:tcW w:type="dxa" w:w="33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Ledger effect</w:t>
            </w:r>
          </w:p>
        </w:tc>
        <w:tc>
          <w:tcPr>
            <w:tcW w:type="dxa" w:w="34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Allowed transition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Draft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3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after validation</w:t>
            </w:r>
          </w:p>
        </w:tc>
      </w:tr>
      <w:tr>
        <w:tc>
          <w:tcPr>
            <w:tcW w:type="dxa" w:w="1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Posted</w:t>
            </w:r>
          </w:p>
        </w:tc>
        <w:tc>
          <w:tcPr>
            <w:tcW w:type="dxa" w:w="1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3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Original movements exist</w:t>
            </w:r>
          </w:p>
        </w:tc>
        <w:tc>
          <w:tcPr>
            <w:tcW w:type="dxa" w:w="34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Void through exact reversal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Voided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Original and reversal remain</w:t>
            </w:r>
          </w:p>
        </w:tc>
        <w:tc>
          <w:tcPr>
            <w:tcW w:type="dxa" w:w="3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Terminal for MVP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Atomic posting algorithm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Begin a PostgreSQL SERIALIZABLE transaction.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Load the draft source document and all master-data snapshots required for validation.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Validate currency, accounts, totals, returns, warehouse requirements, stock, and source-specific rules.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Claim the state transition with a conditional update where Status = Draft.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Append every required financial and stock movement.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Save and commit once. A serialization, uniqueness, or concurrency loser becomes a clean conflict response.</w:t>
      </w:r>
    </w:p>
    <w:tbl>
      <w:tblPr>
        <w:tblW w:type="dxa" w:w="9360"/>
        <w:tblInd w:type="dxa" w:w="120"/>
        <w:tblBorders>
          <w:top w:val="none" w:color="FFFFFF" w:sz="0"/>
          <w:left w:val="single" w:color="176B45" w:sz="2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76B45"/>
                <w:sz w:val="22"/>
                <w:szCs w:val="22"/>
              </w:rPr>
              <w:t xml:space="preserve">Concurrency guarantee: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Two concurrent requests cannot both complete Draft → Posted or consume the same stock successfully. The losing transaction rolls back its state change and all pending ledger rows.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Immutability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DbContext rejects ordinary updates or deletes to AccountTransactions and StockTransactions.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DbContext rejects tracked edits or deletes to Posted and Voided source documents.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Controlled status transitions use conditional database updates inside the posting transaction.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Corrections use returns, void reversals, or explicit adjustments—never destructive edits.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5. Posting and Business Rules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Financial and stock signs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1650"/>
        <w:gridCol w:w="4730"/>
        <w:gridCol w:w="2980"/>
      </w:tblGrid>
      <w:tr>
        <w:trPr>
          <w:tblHeader/>
        </w:trPr>
        <w:tc>
          <w:tcPr>
            <w:tcW w:type="dxa" w:w="16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Event</w:t>
            </w:r>
          </w:p>
        </w:tc>
        <w:tc>
          <w:tcPr>
            <w:tcW w:type="dxa" w:w="473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Financial movements</w:t>
            </w:r>
          </w:p>
        </w:tc>
        <w:tc>
          <w:tcPr>
            <w:tcW w:type="dxa" w:w="298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Stock movement</w:t>
            </w:r>
          </w:p>
        </w:tc>
      </w:tr>
      <w:tr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Sale</w:t>
            </w:r>
          </w:p>
        </w:tc>
        <w:tc>
          <w:tcPr>
            <w:tcW w:type="dxa" w:w="4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Receivable +Total; Income +line totals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Tracked product −QuantityBase</w:t>
            </w:r>
          </w:p>
        </w:tc>
      </w:tr>
      <w:tr>
        <w:tc>
          <w:tcPr>
            <w:tcW w:type="dxa" w:w="165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Sales return</w:t>
            </w:r>
          </w:p>
        </w:tc>
        <w:tc>
          <w:tcPr>
            <w:tcW w:type="dxa" w:w="473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Receivable −Total; Income −line totals</w:t>
            </w:r>
          </w:p>
        </w:tc>
        <w:tc>
          <w:tcPr>
            <w:tcW w:type="dxa" w:w="2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Tracked product +QuantityBase</w:t>
            </w:r>
          </w:p>
        </w:tc>
      </w:tr>
      <w:tr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Purchase</w:t>
            </w:r>
          </w:p>
        </w:tc>
        <w:tc>
          <w:tcPr>
            <w:tcW w:type="dxa" w:w="4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Payable +Total; Purchase/Expense +line totals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Tracked product +QuantityBase</w:t>
            </w:r>
          </w:p>
        </w:tc>
      </w:tr>
      <w:tr>
        <w:tc>
          <w:tcPr>
            <w:tcW w:type="dxa" w:w="165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Purchase return</w:t>
            </w:r>
          </w:p>
        </w:tc>
        <w:tc>
          <w:tcPr>
            <w:tcW w:type="dxa" w:w="473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Payable −Total; Purchase/Expense −line totals</w:t>
            </w:r>
          </w:p>
        </w:tc>
        <w:tc>
          <w:tcPr>
            <w:tcW w:type="dxa" w:w="2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Tracked product −QuantityBase</w:t>
            </w:r>
          </w:p>
        </w:tc>
      </w:tr>
      <w:tr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Customer receipt</w:t>
            </w:r>
          </w:p>
        </w:tc>
        <w:tc>
          <w:tcPr>
            <w:tcW w:type="dxa" w:w="4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Cash/Bank +Amount; configured Receivable −Amount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5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payment</w:t>
            </w:r>
          </w:p>
        </w:tc>
        <w:tc>
          <w:tcPr>
            <w:tcW w:type="dxa" w:w="473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Cash/Bank −Amount; configured Payable −Amount</w:t>
            </w:r>
          </w:p>
        </w:tc>
        <w:tc>
          <w:tcPr>
            <w:tcW w:type="dxa" w:w="2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Direct expense</w:t>
            </w:r>
          </w:p>
        </w:tc>
        <w:tc>
          <w:tcPr>
            <w:tcW w:type="dxa" w:w="4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Cash/Bank −Amount; Expense +Amount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5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Internal transfer</w:t>
            </w:r>
          </w:p>
        </w:tc>
        <w:tc>
          <w:tcPr>
            <w:tcW w:type="dxa" w:w="473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Source −Amount; Destination +Amount</w:t>
            </w:r>
          </w:p>
        </w:tc>
        <w:tc>
          <w:tcPr>
            <w:tcW w:type="dxa" w:w="2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Warehouse transfer</w:t>
            </w:r>
          </w:p>
        </w:tc>
        <w:tc>
          <w:tcPr>
            <w:tcW w:type="dxa" w:w="4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Source −QuantityBase; destination +QuantityBase</w:t>
            </w:r>
          </w:p>
        </w:tc>
      </w:tr>
      <w:tr>
        <w:tc>
          <w:tcPr>
            <w:tcW w:type="dxa" w:w="165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Stock adjustment</w:t>
            </w:r>
          </w:p>
        </w:tc>
        <w:tc>
          <w:tcPr>
            <w:tcW w:type="dxa" w:w="473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2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Signed adjustment quantity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Base currency and configured accounts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Sales invoices use BusinessSettings.DefaultReceivableAccountId.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Purchase invoices use BusinessSettings.DefaultPayableAccountId.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Customer receipts and vendor payments use those same configured control accounts.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Invoices, vouchers, and generated account transactions must use BusinessSettings.BaseCurrencyId.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base currency must be active, marked as base, and have ExchangeRate = 1.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financial movement must have Amount = BaseAmount; the service and database both enforce equality.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Exact invoice totals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LineSubtotal  = ROUND(Quantity × UnitPrice, configured precision)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LineTotal     = LineSubtotal − DiscountAmount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Subtotal      = SUM(LineSubtotal)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DiscountTotal = SUM(DiscountAmount)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Total         = SUM(LineTotal)</w:t>
            </w:r>
          </w:p>
        </w:tc>
      </w:tr>
    </w:tbl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Posting rejects a line or header mismatch. A separate unallocated header discount is not supported.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 Returns, Allocations, and Voids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Return controls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return is a new commercial document, not an edit or reversal of its original. Posting confirms that the original is Posted, is not a return, and has the same contact and currency.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Return-line field</w:t>
            </w:r>
          </w:p>
        </w:tc>
        <w:tc>
          <w:tcPr>
            <w:tcW w:type="dxa" w:w="6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Required behavior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Original line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Must belong to the invoice identified by the return header.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ItemId</w:t>
            </w:r>
          </w:p>
        </w:tc>
        <w:tc>
          <w:tcPr>
            <w:tcW w:type="dxa" w:w="67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Must equal the original line item.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Posting account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SalesAccountId or PurchaseAccountId must equal the original snapshot.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UnitOfMeasureId</w:t>
            </w:r>
          </w:p>
        </w:tc>
        <w:tc>
          <w:tcPr>
            <w:tcW w:type="dxa" w:w="67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Must equal the original snapshot.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ConversionFactor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Must equal the original snapshot.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UnitPrice</w:t>
            </w:r>
          </w:p>
        </w:tc>
        <w:tc>
          <w:tcPr>
            <w:tcW w:type="dxa" w:w="67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Must equal the original snapshot.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Quantity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Current return plus all previously posted returns cannot exceed the original quantity.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Payment allocation model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An allocation creates settlement metadata only; it never creates an AccountTransaction.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Receipt may allocate only to a posted normal Sales Invoice.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Payment may allocate only to a posted normal Purchase Invoice.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Returns are never direct allocation targets.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voucher must itself be active, Posted, and non-Transfer.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allocation transaction locks the voucher and target invoice before checking voucher capacity and invoice outstanding.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Voucher capacity, invoice outstanding, contact, currency, and Customer/Vendor role must match.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Void behavior</w:t>
      </w:r>
    </w:p>
    <w:tbl>
      <w:tblPr>
        <w:tblW w:type="dxa" w:w="9360"/>
        <w:tblInd w:type="dxa" w:w="120"/>
        <w:tblBorders>
          <w:top w:val="none" w:color="FFFFFF" w:sz="0"/>
          <w:left w:val="single" w:color="17365D" w:sz="2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2"/>
                <w:szCs w:val="22"/>
              </w:rPr>
              <w:t xml:space="preserve">Voucher void: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Append exact opposite account movements, deactivate every active allocation, and mark the voucher Voided in one transaction.</w:t>
            </w:r>
          </w:p>
        </w:tc>
      </w:tr>
    </w:tbl>
    <w:tbl>
      <w:tblPr>
        <w:tblW w:type="dxa" w:w="9360"/>
        <w:tblInd w:type="dxa" w:w="120"/>
        <w:tblBorders>
          <w:top w:val="none" w:color="FFFFFF" w:sz="0"/>
          <w:left w:val="single" w:color="8A5A00" w:sz="2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2"/>
                <w:szCs w:val="22"/>
              </w:rPr>
              <w:t xml:space="preserve">Invoice void: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Reject the request while any active allocation targets the invoice or while an original invoice has a linked Posted return. Those dependencies must be reversed first.</w:t>
            </w:r>
          </w:p>
        </w:tc>
      </w:tr>
    </w:tbl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Invoice outstanding remains derived as Invoice Total minus active allocations minus linked Posted returns. It is separate from the general contact balance.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7. Warehouse and Inventory Controls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Conditional warehouse requirement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If any invoice line references an inventory-tracked item, WarehouseId is required and the warehouse must be active.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If all lines are services or non-tracked items, WarehouseId may be null.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dummy warehouse is assigned to rent, electricity, internet, professional services, or other non-stock purchases/sales.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No-negative-stock policy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Before any net stock decrease is inserted, the inventory ledger service calculates available stock for the warehouse/item pair. Posting fails if the final quantity would be negative.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Stock-decreasing event</w:t>
            </w:r>
          </w:p>
        </w:tc>
        <w:tc>
          <w:tcPr>
            <w:tcW w:type="dxa" w:w="61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Availability check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Sales Invoice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Available stock must cover the tracked quantity sold.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Purchase Return</w:t>
            </w:r>
          </w:p>
        </w:tc>
        <w:tc>
          <w:tcPr>
            <w:tcW w:type="dxa" w:w="61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Available stock must cover the quantity returned to the vendor.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Warehouse Transfer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Source warehouse must cover the transferred quantity.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Negative Stock Adjustment</w:t>
            </w:r>
          </w:p>
        </w:tc>
        <w:tc>
          <w:tcPr>
            <w:tcW w:type="dxa" w:w="61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Warehouse must cover the negative adjustment.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Void of stock-increasing source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The exact reversal is subject to the same availability rule.</w:t>
            </w:r>
          </w:p>
        </w:tc>
      </w:tr>
    </w:tbl>
    <w:tbl>
      <w:tblPr>
        <w:tblW w:type="dxa" w:w="9360"/>
        <w:tblInd w:type="dxa" w:w="120"/>
        <w:tblBorders>
          <w:top w:val="none" w:color="FFFFFF" w:sz="0"/>
          <w:left w:val="single" w:color="176B45" w:sz="2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76B45"/>
                <w:sz w:val="22"/>
                <w:szCs w:val="22"/>
              </w:rPr>
              <w:t xml:space="preserve">Concurrency model: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The balance query and movement insert run in the same serializable transaction. Concurrent consumers cannot both commit if their combined demand exceeds available stock.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8. Database Constraints, Indexes, and Migration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Key database enforcement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Unique account, item, voucher, invoice, transfer, and adjustment numbers/codes.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Positive invoice/transfer quantities, positive conversion factors, and nonzero ledger movements.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Exactly one Sales or Purchase target per PaymentAllocation.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Partial unique Item-UoM defaults are indexed on ItemId only; allocation uniqueness applies only to active rows.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Currency codes are unique and BusinessSettings accepts only its singleton identifier.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Document statuses and all other integer business enums have range/set checks.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Direct self-parent, self-return, and self-reversal references are rejected.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MVP AccountTransactions require Amount = BaseAmount.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Return header links must agree with IsReturn.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Transfer source and destination accounts/warehouses must differ.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Financial and stock SourceType values are constrained to the supported MVP enums.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Partial unique indexes ensure one reversal per original ledger transaction.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Operational indexes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Index</w:t>
            </w:r>
          </w:p>
        </w:tc>
        <w:tc>
          <w:tcPr>
            <w:tcW w:type="dxa" w:w="50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Primary query supported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AccountId, TransactionDateUtc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Account history and balance activity.</w:t>
            </w:r>
          </w:p>
        </w:tc>
      </w:tr>
      <w:tr>
        <w:tc>
          <w:tcPr>
            <w:tcW w:type="dxa" w:w="4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ContactId, TransactionDateUtc</w:t>
            </w:r>
          </w:p>
        </w:tc>
        <w:tc>
          <w:tcPr>
            <w:tcW w:type="dxa" w:w="50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Contact financial history.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ContactId, AccountId, TransactionDateUtc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Customer/vendor balance and statement queries.</w:t>
            </w:r>
          </w:p>
        </w:tc>
      </w:tr>
      <w:tr>
        <w:tc>
          <w:tcPr>
            <w:tcW w:type="dxa" w:w="4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SourceType, SourceId</w:t>
            </w:r>
          </w:p>
        </w:tc>
        <w:tc>
          <w:tcPr>
            <w:tcW w:type="dxa" w:w="50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Source posting and reversal lookup.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WarehouseId, ItemId, TransactionDateUtc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Stock balance/history per location and item.</w:t>
            </w:r>
          </w:p>
        </w:tc>
      </w:tr>
      <w:tr>
        <w:tc>
          <w:tcPr>
            <w:tcW w:type="dxa" w:w="4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CustomerId/VendorId, InvoiceDateUtc</w:t>
            </w:r>
          </w:p>
        </w:tc>
        <w:tc>
          <w:tcPr>
            <w:tcW w:type="dxa" w:w="50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Commercial document history.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Clean migration strategy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Migration 20260807225956_InitialMvpArchitecture creates the fully approved schema directly. Removed experimental migrations and obsolete universal documents, generic invoices/vouchers, double-entry journals, per-contact accounts, and stored contact balance fields are not preserved. Generated executable SQL has no duplicate unique-index definitions and no CREATE UNIQUE INDEX statements named PK_*.</w:t>
      </w:r>
    </w:p>
    <w:tbl>
      <w:tblPr>
        <w:tblW w:type="dxa" w:w="9360"/>
        <w:tblInd w:type="dxa" w:w="120"/>
        <w:tblBorders>
          <w:top w:val="none" w:color="FFFFFF" w:sz="0"/>
          <w:left w:val="single" w:color="8A5A00" w:sz="2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2"/>
                <w:szCs w:val="22"/>
              </w:rPr>
              <w:t xml:space="preserve">Database reset requirement: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A database created from the removed experimental migration lineage must be dropped and recreated before applying the clean initial migration.</w:t>
            </w:r>
          </w:p>
        </w:tc>
      </w:tr>
    </w:tbl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dotnet ef database drop --project Api/api.csproj --startup-project Api/api.csproj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7365D"/>
                <w:sz w:val="18"/>
                <w:szCs w:val="18"/>
              </w:rPr>
              <w:t xml:space="preserve">dotnet ef database update --project Api/api.csproj --startup-project Api/api.csproj</w:t>
            </w:r>
          </w:p>
        </w:tc>
      </w:tr>
    </w:tbl>
    <w:p>
      <w:pPr>
        <w:pStyle w:val="Normal"/>
      </w:pPr>
      <w:r>
        <w:rPr>
          <w:rFonts w:ascii="Calibri" w:cs="Calibri" w:eastAsia="Calibri" w:hAnsi="Calibri"/>
          <w:i/>
          <w:iCs/>
          <w:color w:val="667085"/>
          <w:sz w:val="22"/>
          <w:szCs w:val="22"/>
        </w:rPr>
        <w:t xml:space="preserve">Run the drop command only after verifying the connection target. The current project configuration points to the remote Neon database named neondb; credentials remain in .NET user secrets and are not included in this document.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9. Implemented Service Surface</w:t>
      </w:r>
    </w:p>
    <w:tbl>
      <w:tblPr>
        <w:tblW w:type="dxa" w:w="9360"/>
        <w:tblInd w:type="dxa" w:w="12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D9E1EA" w:sz="4"/>
          <w:insideV w:val="single" w:color="D9E1EA" w:sz="4"/>
        </w:tblBorders>
        <w:tblLayout w:type="fixed"/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Workflow</w:t>
            </w:r>
          </w:p>
        </w:tc>
        <w:tc>
          <w:tcPr>
            <w:tcW w:type="dxa" w:w="60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Header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 void Sales Invoice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/api/v1/sales/invoices/{id}/post | /void</w:t>
            </w:r>
          </w:p>
        </w:tc>
      </w:tr>
      <w:tr>
        <w:tc>
          <w:tcPr>
            <w:tcW w:type="dxa" w:w="3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 void Purchase Invoice</w:t>
            </w:r>
          </w:p>
        </w:tc>
        <w:tc>
          <w:tcPr>
            <w:tcW w:type="dxa" w:w="60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/api/v1/purchases/invoices/{id}/post | /void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 void Financial Voucher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/api/v1/finance/vouchers/{id}/post | /void</w:t>
            </w:r>
          </w:p>
        </w:tc>
      </w:tr>
      <w:tr>
        <w:tc>
          <w:tcPr>
            <w:tcW w:type="dxa" w:w="3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Payment Allocation</w:t>
            </w:r>
          </w:p>
        </w:tc>
        <w:tc>
          <w:tcPr>
            <w:tcW w:type="dxa" w:w="60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/api/v1/finance/payment-allocations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 void Stock Adjustment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/api/v1/inventory/stock-adjustments/{id}/post | /void</w:t>
            </w:r>
          </w:p>
        </w:tc>
      </w:tr>
      <w:tr>
        <w:tc>
          <w:tcPr>
            <w:tcW w:type="dxa" w:w="33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 void Warehouse Transfer</w:t>
            </w:r>
          </w:p>
        </w:tc>
        <w:tc>
          <w:tcPr>
            <w:tcW w:type="dxa" w:w="606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TableBody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POST /api/v1/inventory/warehouse-transfers/{id}/post | /void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Verification completed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API project builds with zero warnings and zero errors.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Eleven unit/model tests pass, covering exact totals, corrected partial indexes, singleton/enum/self-reference constraints, contact roles, voucher allocation eligibility, base-amount equality, legacy-field removal, and immutability.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Entity Framework reports no pending model changes.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clean migration can generate a complete SQL script from an empty database.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Repository diff whitespace validation passes.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Non-blocking implementation follow-up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Complete draft create, edit, read, and delete API surfaces for the new source documents.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Replace legacy finance frontend routes and types with the new module contracts.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Extend PostgreSQL-backed CI coverage for simultaneous posting, allocation, return, and stock consumption.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After the clean database is recreated, apply the initial migration and run a short posting smoke test.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10. Review and Sign-off Checklist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final-review checklist is complete. The architecture and implementation are fully approved for the MVP scope.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Separate Sales and Purchase source documents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Signed operational financial ledger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Shared configured Receivable/Payable accounts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Payment allocation and voucher-void behavior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Signed stock ledger and no-negative-stock policy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Return snapshot and returnable-quantity rules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Conditional warehouse behavior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Base-currency-only MVP behavior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Serializable posting and idempotency controls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Clean initial migration and database recreation approach approved.</w:t>
      </w:r>
    </w:p>
    <w:p>
      <w:pPr>
        <w:spacing w:after="80" w:line="280"/>
        <w:ind w:left="360" w:hanging="3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☑  Out-of-scope list confirmed.</w:t>
      </w:r>
    </w:p>
    <w:p>
      <w:pPr>
        <w:spacing w:before="500" w:after="1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Reviewer: 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6B45"/>
          <w:sz w:val="22"/>
          <w:szCs w:val="22"/>
        </w:rPr>
        <w:t xml:space="preserve">Decision:   ☑ Fully approved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Date: ______________________________________________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Notes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________________________________________________________________________________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________________________________________________________________________________</w:t>
      </w:r>
    </w:p>
    <w:p>
      <w:pPr>
        <w:pStyle w:val="Normal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________________________________________________________________________________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667085"/>
        <w:sz w:val="17"/>
        <w:szCs w:val="17"/>
      </w:rPr>
      <w:t xml:space="preserve">PRIVÉ ERP  •  IMPLEMENTATION &amp; DESIGN REVIEW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667085"/>
        <w:sz w:val="17"/>
        <w:szCs w:val="17"/>
      </w:rPr>
      <w:t xml:space="preserve">PRIVÉ ERP  •  IMPLEMENTATION &amp; DESIGN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667085"/>
        <w:sz w:val="17"/>
        <w:szCs w:val="17"/>
      </w:rPr>
      <w:t xml:space="preserve">PRIVÉ ERP  |  FINAL MVP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60" w:line="280"/>
        <w:ind w:left="720" w:hanging="360"/>
      </w:pPr>
    </w:lvl>
    <w:lvl w:ilvl="1" w15:tentative="1">
      <w:start w:val="1"/>
      <w:numFmt w:val="bullet"/>
      <w:lvlText w:val="–"/>
      <w:lvlJc w:val="left"/>
      <w:pPr>
        <w:spacing w:after="120" w:line="28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6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pPr>
      <w:spacing w:after="120"/>
    </w:pPr>
    <w:rPr>
      <w:rFonts w:ascii="Calibri" w:cs="Calibri" w:eastAsia="Calibri" w:hAnsi="Calibri"/>
      <w:b/>
      <w:bCs/>
      <w:color w:val="17365D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pPr>
      <w:spacing w:after="240"/>
    </w:pPr>
    <w:rPr>
      <w:rFonts w:ascii="Calibri" w:cs="Calibri" w:eastAsia="Calibri" w:hAnsi="Calibri"/>
      <w:color w:val="1F4D78"/>
      <w:sz w:val="28"/>
      <w:szCs w:val="28"/>
    </w:rPr>
  </w:style>
  <w:style w:type="paragraph" w:styleId="TableHeader">
    <w:name w:val="Table Header"/>
    <w:basedOn w:val="Normal"/>
    <w:pPr>
      <w:spacing w:after="0" w:line="240"/>
    </w:pPr>
    <w:rPr>
      <w:rFonts w:ascii="Calibri" w:cs="Calibri" w:eastAsia="Calibri" w:hAnsi="Calibri"/>
      <w:b/>
      <w:bCs/>
      <w:color w:val="17365D"/>
      <w:sz w:val="19"/>
      <w:szCs w:val="19"/>
    </w:rPr>
  </w:style>
  <w:style w:type="paragraph" w:styleId="TableBody">
    <w:name w:val="Table Body"/>
    <w:basedOn w:val="Normal"/>
    <w:pPr>
      <w:spacing w:after="0" w:line="240"/>
    </w:pPr>
    <w:rPr>
      <w:rFonts w:ascii="Calibri" w:cs="Calibri" w:eastAsia="Calibri" w:hAnsi="Calibri"/>
      <w:color w:val="111827"/>
      <w:sz w:val="19"/>
      <w:szCs w:val="19"/>
    </w:rPr>
  </w:style>
  <w:style w:type="paragraph" w:styleId="CodeBlock">
    <w:name w:val="Code Block"/>
    <w:basedOn w:val="Normal"/>
    <w:pPr>
      <w:spacing w:after="20" w:line="230"/>
    </w:pPr>
    <w:rPr>
      <w:rFonts w:ascii="Courier New" w:cs="Courier New" w:eastAsia="Courier New" w:hAnsi="Courier New"/>
      <w:color w:val="17365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Privé ERP Final MVP — Implementation and Design Review</dc:title>
  <dc:subject>Final MVP database architecture and posting implementation</dc:subject>
  <dc:creator>OpenAI Codex</dc:creator>
  <dc:description>Review document for the implemented Privé ERP operational MVP architecture.</dc:description>
  <cp:lastModifiedBy>Un-named</cp:lastModifiedBy>
  <cp:revision>1</cp:revision>
  <dcterms:created xsi:type="dcterms:W3CDTF">2026-08-07T23:05:40.075Z</dcterms:created>
  <dcterms:modified xsi:type="dcterms:W3CDTF">2026-08-07T23:05:40.078Z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