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B62DF"/>
        </w:rPr>
        <w:t>Board Meeting – Briefing Notes</w:t>
      </w:r>
    </w:p>
    <w:p>
      <w:r>
        <w:rPr>
          <w:i/>
        </w:rPr>
        <w:t>Prepared by the Executive Director for the meeting on Wednesday 18 November 2026. Draft – internal.</w:t>
      </w:r>
    </w:p>
    <w:p>
      <w:pPr>
        <w:pStyle w:val="Heading1"/>
      </w:pPr>
      <w:r>
        <w:t>1. Headlines</w:t>
      </w:r>
    </w:p>
    <w:p>
      <w:pPr>
        <w:pStyle w:val="ListBullet"/>
      </w:pPr>
      <w:r>
        <w:t>Survey fieldwork is about 55% complete. Tranche 2 is delayed by permissions in two districts; we expect to finish by end of January 2027.</w:t>
      </w:r>
    </w:p>
    <w:p>
      <w:pPr>
        <w:pStyle w:val="ListBullet"/>
      </w:pPr>
      <w:r>
        <w:t>Nine of twelve focus group discussions done and transcribed. Early themes: economic pressure is now the main lens through which people talk about reconciliation; young people more open to contact across communities but distrustful of institutions.</w:t>
      </w:r>
    </w:p>
    <w:p>
      <w:pPr>
        <w:pStyle w:val="ListBullet"/>
      </w:pPr>
      <w:r>
        <w:t>Young Researchers Programme on track. Third mentoring workshop held in Kandy in September.</w:t>
      </w:r>
    </w:p>
    <w:p>
      <w:pPr>
        <w:pStyle w:val="ListBullet"/>
      </w:pPr>
      <w:r>
        <w:t>Finance: spend at about 76% of the annual budget (LKR 51.4m of 67.9m) against 83% expected at end-October, mostly because fieldwork payments have slipped. Cash is tight in December–January until tranche 3 arrives.</w:t>
      </w:r>
    </w:p>
    <w:p>
      <w:pPr>
        <w:pStyle w:val="ListBullet"/>
      </w:pPr>
      <w:r>
        <w:t>First full year as an independent organisation: audit firm appointed, finance policies being formalised.</w:t>
      </w:r>
    </w:p>
    <w:p>
      <w:pPr>
        <w:pStyle w:val="Heading1"/>
      </w:pPr>
      <w:r>
        <w:t>2. Finance (from the Finance &amp; Administration Manager)</w:t>
      </w:r>
    </w:p>
    <w:p>
      <w:pPr>
        <w:pStyle w:val="ListBullet"/>
      </w:pPr>
      <w:r>
        <w:t>Underspends: survey fieldwork (timing), report design and printing (report due Q1 2027), community dialogues (two moved to November).</w:t>
      </w:r>
    </w:p>
    <w:p>
      <w:pPr>
        <w:pStyle w:val="ListBullet"/>
      </w:pPr>
      <w:r>
        <w:t>Overspends to explain to the donor: transcription and anonymisation (more FGD hours than planned, and one possible duplicate payment under review), field travel for young researchers, translation of outputs.</w:t>
      </w:r>
    </w:p>
    <w:p>
      <w:pPr>
        <w:pStyle w:val="ListBullet"/>
      </w:pPr>
      <w:r>
        <w:t>Data analysis software paid upfront for the year – timing, not an overspend.</w:t>
      </w:r>
    </w:p>
    <w:p>
      <w:pPr>
        <w:pStyle w:val="ListBullet"/>
      </w:pPr>
      <w:r>
        <w:t>Shared cost allocation: one cost line is allocated at only 95% – being corrected.</w:t>
      </w:r>
    </w:p>
    <w:p>
      <w:pPr>
        <w:pStyle w:val="ListBullet"/>
      </w:pPr>
      <w:r>
        <w:t>Cash flow: closing balance expected to go below the 2-month operating reserve in January 2027. Tranche 3 depends on the interim report being accepted.</w:t>
      </w:r>
    </w:p>
    <w:p>
      <w:pPr>
        <w:pStyle w:val="ListBullet"/>
      </w:pPr>
      <w:r>
        <w:t>Audit: expenditure verification for G1 planned for March 2027.</w:t>
      </w:r>
    </w:p>
    <w:p>
      <w:pPr>
        <w:pStyle w:val="Heading1"/>
      </w:pPr>
      <w:r>
        <w:t>3. Programmes and research</w:t>
      </w:r>
    </w:p>
    <w:p>
      <w:pPr>
        <w:pStyle w:val="ListBullet"/>
      </w:pPr>
      <w:r>
        <w:t>Questionnaire for Round 3 translated and back-translated into Sinhala and Tamil; cognitive pre-test completed.</w:t>
      </w:r>
    </w:p>
    <w:p>
      <w:pPr>
        <w:pStyle w:val="ListBullet"/>
      </w:pPr>
      <w:r>
        <w:t>Two district-level permissions still pending; fieldwork partner has re-sequenced districts.</w:t>
      </w:r>
    </w:p>
    <w:p>
      <w:pPr>
        <w:pStyle w:val="ListBullet"/>
      </w:pPr>
      <w:r>
        <w:t>Concept notes for the eight dimensions under internal review before the methodology partner's comments in December.</w:t>
      </w:r>
    </w:p>
    <w:p>
      <w:pPr>
        <w:pStyle w:val="ListBullet"/>
      </w:pPr>
      <w:r>
        <w:t>Policy brief on economic fairness and trust planned for February 2027.</w:t>
      </w:r>
    </w:p>
    <w:p>
      <w:pPr>
        <w:pStyle w:val="Heading1"/>
      </w:pPr>
      <w:r>
        <w:t>4. Outreach and communications</w:t>
      </w:r>
    </w:p>
    <w:p>
      <w:pPr>
        <w:pStyle w:val="ListBullet"/>
      </w:pPr>
      <w:r>
        <w:t>Four of six community dialogues held; two moved to November because of the monsoon.</w:t>
      </w:r>
    </w:p>
    <w:p>
      <w:pPr>
        <w:pStyle w:val="ListBullet"/>
      </w:pPr>
      <w:r>
        <w:t>Media workshop held for 22 journalists; second workshop planned for January.</w:t>
      </w:r>
    </w:p>
    <w:p>
      <w:pPr>
        <w:pStyle w:val="ListBullet"/>
      </w:pPr>
      <w:r>
        <w:t>Website traffic up after the Round 2 data release; social media spend lower than planned.</w:t>
      </w:r>
    </w:p>
    <w:p>
      <w:pPr>
        <w:pStyle w:val="Heading1"/>
      </w:pPr>
      <w:r>
        <w:t>5. People and organisation</w:t>
      </w:r>
    </w:p>
    <w:p>
      <w:pPr>
        <w:pStyle w:val="ListBullet"/>
      </w:pPr>
      <w:r>
        <w:t>Team of nine. Communications Officer joined in February; second Research Assistant joined in April.</w:t>
      </w:r>
    </w:p>
    <w:p>
      <w:pPr>
        <w:pStyle w:val="ListBullet"/>
      </w:pPr>
      <w:r>
        <w:t>Microsoft 365 Copilot licences purchased (5). Adoption programme starting November with an external consultant.</w:t>
      </w:r>
    </w:p>
    <w:p>
      <w:pPr>
        <w:pStyle w:val="ListBullet"/>
      </w:pPr>
      <w:r>
        <w:t>Draft AI use policy prepared – see decision 3.</w:t>
      </w:r>
    </w:p>
    <w:p>
      <w:pPr>
        <w:pStyle w:val="Heading1"/>
      </w:pPr>
      <w:r>
        <w:t>6. Key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Funding concentration – one donor provides about 70% of income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Funding diversification plan; 3 concept notes to new funders by Q2 2027</w:t>
            </w:r>
          </w:p>
        </w:tc>
      </w:tr>
      <w:tr>
        <w:tc>
          <w:tcPr>
            <w:tcW w:type="dxa" w:w="2880"/>
          </w:tcPr>
          <w:p>
            <w:r>
              <w:t>Fieldwork delay affects report timeline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Re-sequenced districts; no-cost extension discussion with donor if needed</w:t>
            </w:r>
          </w:p>
        </w:tc>
      </w:tr>
      <w:tr>
        <w:tc>
          <w:tcPr>
            <w:tcW w:type="dxa" w:w="2880"/>
          </w:tcPr>
          <w:p>
            <w:r>
              <w:t>Respondent data exposure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Restricted storage, anonymisation before analysis, sensitivity labels, AI use policy</w:t>
            </w:r>
          </w:p>
        </w:tc>
      </w:tr>
      <w:tr>
        <w:tc>
          <w:tcPr>
            <w:tcW w:type="dxa" w:w="2880"/>
          </w:tcPr>
          <w:p>
            <w:r>
              <w:t>Cash shortfall Dec–Jan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Defer non-essential spend; early submission of interim report</w:t>
            </w:r>
          </w:p>
        </w:tc>
      </w:tr>
      <w:tr>
        <w:tc>
          <w:tcPr>
            <w:tcW w:type="dxa" w:w="2880"/>
          </w:tcPr>
          <w:p>
            <w:r>
              <w:t>Exchange rate movement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Monitor monthly; report at actual rates as required</w:t>
            </w:r>
          </w:p>
        </w:tc>
      </w:tr>
    </w:tbl>
    <w:p/>
    <w:p>
      <w:pPr>
        <w:pStyle w:val="Heading1"/>
      </w:pPr>
      <w:r>
        <w:t>7. Decisions requested from the Board</w:t>
      </w:r>
    </w:p>
    <w:p>
      <w:pPr>
        <w:pStyle w:val="ListNumber"/>
      </w:pPr>
      <w:r>
        <w:t>Approve the Reserves Policy (target: 3 months of operating costs within 3 years).</w:t>
      </w:r>
    </w:p>
    <w:p>
      <w:pPr>
        <w:pStyle w:val="ListNumber"/>
      </w:pPr>
      <w:r>
        <w:t>Note the possible no-cost extension request for G1 (decision in February).</w:t>
      </w:r>
    </w:p>
    <w:p>
      <w:pPr>
        <w:pStyle w:val="ListNumber"/>
      </w:pPr>
      <w:r>
        <w:t>Approve the AI Use Policy and the Copilot pilot (5 licences, 6-month review).</w:t>
      </w:r>
    </w:p>
    <w:p>
      <w:pPr>
        <w:pStyle w:val="ListNumber"/>
      </w:pPr>
      <w:r>
        <w:t>Approve the 2027 board meeting calendar.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FA854F"/>
        <w:sz w:val="16"/>
      </w:rPr>
      <w:t>FICTIONAL SAMPLE — created for a Microsoft 365 Copilot demo. Not a real Insights document.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28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28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287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