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B62DF"/>
        </w:rPr>
        <w:t>Social Cohesion Evidence Fund 2027 – Call for Concept Notes</w:t>
      </w:r>
    </w:p>
    <w:p>
      <w:r>
        <w:rPr>
          <w:i/>
        </w:rPr>
        <w:t>Issued by the Meridian Trust for Inclusive Societies (a fictional funder). Reference: SCEF-2027-01</w:t>
      </w:r>
    </w:p>
    <w:p>
      <w:pPr>
        <w:pStyle w:val="Heading1"/>
      </w:pPr>
      <w:r>
        <w:t>1. Background</w:t>
      </w:r>
    </w:p>
    <w:p>
      <w:r>
        <w:rPr>
          <w:b w:val="0"/>
          <w:i w:val="0"/>
        </w:rPr>
        <w:t>The Social Cohesion Evidence Fund supports independent organisations in South and South-East Asia that generate credible evidence on social cohesion, inclusion and reconciliation, and use it to inform public policy and public debate. The Fund focuses on countries emerging from conflict or experiencing deep social and economic stress.</w:t>
      </w:r>
    </w:p>
    <w:p>
      <w:pPr>
        <w:pStyle w:val="Heading1"/>
      </w:pPr>
      <w:r>
        <w:t>2. Objectives</w:t>
      </w:r>
    </w:p>
    <w:p>
      <w:pPr>
        <w:pStyle w:val="ListBullet"/>
      </w:pPr>
      <w:r>
        <w:t>Generate rigorous, policy-relevant evidence on drivers of social cohesion and division.</w:t>
      </w:r>
    </w:p>
    <w:p>
      <w:pPr>
        <w:pStyle w:val="ListBullet"/>
      </w:pPr>
      <w:r>
        <w:t>Strengthen the use of evidence by policymakers, media and civil society.</w:t>
      </w:r>
    </w:p>
    <w:p>
      <w:pPr>
        <w:pStyle w:val="ListBullet"/>
      </w:pPr>
      <w:r>
        <w:t>Build the capacity of local research institutions, especially to involve young and women researchers.</w:t>
      </w:r>
    </w:p>
    <w:p>
      <w:pPr>
        <w:pStyle w:val="Heading1"/>
      </w:pPr>
      <w:r>
        <w:t>3. Priorities for 2027</w:t>
      </w:r>
    </w:p>
    <w:p>
      <w:pPr>
        <w:pStyle w:val="ListBullet"/>
      </w:pPr>
      <w:r>
        <w:t>The link between economic hardship and inter-group trust.</w:t>
      </w:r>
    </w:p>
    <w:p>
      <w:pPr>
        <w:pStyle w:val="ListBullet"/>
      </w:pPr>
      <w:r>
        <w:t>Youth perspectives on reconciliation and inclusion.</w:t>
      </w:r>
    </w:p>
    <w:p>
      <w:pPr>
        <w:pStyle w:val="ListBullet"/>
      </w:pPr>
      <w:r>
        <w:t>Making data accessible: open data, visualisation and public engagement in local languages.</w:t>
      </w:r>
    </w:p>
    <w:p>
      <w:pPr>
        <w:pStyle w:val="Heading1"/>
      </w:pPr>
      <w:r>
        <w:t>4. Grant size and duration</w:t>
      </w:r>
    </w:p>
    <w:p>
      <w:pPr>
        <w:pStyle w:val="ListBullet"/>
      </w:pPr>
      <w:r>
        <w:t>Grants of USD 150,000 to USD 400,000.</w:t>
      </w:r>
    </w:p>
    <w:p>
      <w:pPr>
        <w:pStyle w:val="ListBullet"/>
      </w:pPr>
      <w:r>
        <w:t>Duration of 18 to 30 months, starting no earlier than 1 July 2027.</w:t>
      </w:r>
    </w:p>
    <w:p>
      <w:pPr>
        <w:pStyle w:val="ListBullet"/>
      </w:pPr>
      <w:r>
        <w:t>Applicants must contribute at least 10% co-financing (cash or in-kind).</w:t>
      </w:r>
    </w:p>
    <w:p>
      <w:pPr>
        <w:pStyle w:val="Heading1"/>
      </w:pPr>
      <w:r>
        <w:t>5. Eligibility</w:t>
      </w:r>
    </w:p>
    <w:p>
      <w:pPr>
        <w:pStyle w:val="ListNumber"/>
      </w:pPr>
      <w:r>
        <w:t>Registered non-profit organisation in an eligible country (Sri Lanka is eligible).</w:t>
      </w:r>
    </w:p>
    <w:p>
      <w:pPr>
        <w:pStyle w:val="ListNumber"/>
      </w:pPr>
      <w:r>
        <w:t>At least three years of legal existence at the deadline.</w:t>
      </w:r>
    </w:p>
    <w:p>
      <w:pPr>
        <w:pStyle w:val="ListNumber"/>
      </w:pPr>
      <w:r>
        <w:t>Audited financial statements for the last two financial years.</w:t>
      </w:r>
    </w:p>
    <w:p>
      <w:pPr>
        <w:pStyle w:val="ListNumber"/>
      </w:pPr>
      <w:r>
        <w:t>Annual income of at least USD 100,000 in the last financial year.</w:t>
      </w:r>
    </w:p>
    <w:p>
      <w:pPr>
        <w:pStyle w:val="ListNumber"/>
      </w:pPr>
      <w:r>
        <w:t>Consortia are allowed; the lead applicant must meet all criteria. Co-applicants must meet criteria 1 and 2.</w:t>
      </w:r>
    </w:p>
    <w:p>
      <w:pPr>
        <w:pStyle w:val="ListNumber"/>
      </w:pPr>
      <w:r>
        <w:t>Organisations with an open grant from the Fund may not apply as lead.</w:t>
      </w:r>
    </w:p>
    <w:p>
      <w:pPr>
        <w:pStyle w:val="Heading1"/>
      </w:pPr>
      <w:r>
        <w:t>6. Evaluation criteria</w:t>
      </w:r>
    </w:p>
    <w:tbl>
      <w:tblPr>
        <w:tblStyle w:val="LightGrid-Accent1"/>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Weight</w:t>
            </w:r>
          </w:p>
        </w:tc>
      </w:tr>
      <w:tr>
        <w:tc>
          <w:tcPr>
            <w:tcW w:type="dxa" w:w="4320"/>
          </w:tcPr>
          <w:p>
            <w:r>
              <w:t>Relevance to Fund priorities and context analysis</w:t>
            </w:r>
          </w:p>
        </w:tc>
        <w:tc>
          <w:tcPr>
            <w:tcW w:type="dxa" w:w="4320"/>
          </w:tcPr>
          <w:p>
            <w:r>
              <w:t>25%</w:t>
            </w:r>
          </w:p>
        </w:tc>
      </w:tr>
      <w:tr>
        <w:tc>
          <w:tcPr>
            <w:tcW w:type="dxa" w:w="4320"/>
          </w:tcPr>
          <w:p>
            <w:r>
              <w:t>Quality and rigour of the research design</w:t>
            </w:r>
          </w:p>
        </w:tc>
        <w:tc>
          <w:tcPr>
            <w:tcW w:type="dxa" w:w="4320"/>
          </w:tcPr>
          <w:p>
            <w:r>
              <w:t>25%</w:t>
            </w:r>
          </w:p>
        </w:tc>
      </w:tr>
      <w:tr>
        <w:tc>
          <w:tcPr>
            <w:tcW w:type="dxa" w:w="4320"/>
          </w:tcPr>
          <w:p>
            <w:r>
              <w:t>Pathway to policy and public impact</w:t>
            </w:r>
          </w:p>
        </w:tc>
        <w:tc>
          <w:tcPr>
            <w:tcW w:type="dxa" w:w="4320"/>
          </w:tcPr>
          <w:p>
            <w:r>
              <w:t>20%</w:t>
            </w:r>
          </w:p>
        </w:tc>
      </w:tr>
      <w:tr>
        <w:tc>
          <w:tcPr>
            <w:tcW w:type="dxa" w:w="4320"/>
          </w:tcPr>
          <w:p>
            <w:r>
              <w:t>Organisational capacity and track record</w:t>
            </w:r>
          </w:p>
        </w:tc>
        <w:tc>
          <w:tcPr>
            <w:tcW w:type="dxa" w:w="4320"/>
          </w:tcPr>
          <w:p>
            <w:r>
              <w:t>15%</w:t>
            </w:r>
          </w:p>
        </w:tc>
      </w:tr>
      <w:tr>
        <w:tc>
          <w:tcPr>
            <w:tcW w:type="dxa" w:w="4320"/>
          </w:tcPr>
          <w:p>
            <w:r>
              <w:t>Value for money and sustainability</w:t>
            </w:r>
          </w:p>
        </w:tc>
        <w:tc>
          <w:tcPr>
            <w:tcW w:type="dxa" w:w="4320"/>
          </w:tcPr>
          <w:p>
            <w:r>
              <w:t>10%</w:t>
            </w:r>
          </w:p>
        </w:tc>
      </w:tr>
      <w:tr>
        <w:tc>
          <w:tcPr>
            <w:tcW w:type="dxa" w:w="4320"/>
          </w:tcPr>
          <w:p>
            <w:r>
              <w:t>Inclusion of young and women researchers</w:t>
            </w:r>
          </w:p>
        </w:tc>
        <w:tc>
          <w:tcPr>
            <w:tcW w:type="dxa" w:w="4320"/>
          </w:tcPr>
          <w:p>
            <w:r>
              <w:t>5%</w:t>
            </w:r>
          </w:p>
        </w:tc>
      </w:tr>
    </w:tbl>
    <w:p/>
    <w:p>
      <w:pPr>
        <w:pStyle w:val="Heading1"/>
      </w:pPr>
      <w:r>
        <w:t>7. How to apply</w:t>
      </w:r>
    </w:p>
    <w:p>
      <w:pPr>
        <w:pStyle w:val="ListBullet"/>
      </w:pPr>
      <w:r>
        <w:t>Stage 1: Concept note, maximum 4 pages, using the headings: Background and problem; Objectives; Approach and methodology; Expected results; Partnerships; Organisational capacity.</w:t>
      </w:r>
    </w:p>
    <w:p>
      <w:pPr>
        <w:pStyle w:val="ListBullet"/>
      </w:pPr>
      <w:r>
        <w:t>Annexes: registration certificate; audited accounts; indicative budget (one page); CVs of two key staff.</w:t>
      </w:r>
    </w:p>
    <w:p>
      <w:pPr>
        <w:pStyle w:val="ListBullet"/>
      </w:pPr>
      <w:r>
        <w:t>Deadline: 15 January 2027, 17:00 Colombo time. Late submissions will not be considered.</w:t>
      </w:r>
    </w:p>
    <w:p>
      <w:pPr>
        <w:pStyle w:val="ListBullet"/>
      </w:pPr>
      <w:r>
        <w:t>Shortlisted applicants will be invited to submit a full proposal by 31 March 2027.</w:t>
      </w:r>
    </w:p>
    <w:p>
      <w:pPr>
        <w:pStyle w:val="Heading1"/>
      </w:pPr>
      <w:r>
        <w:t>8. Ethics and data</w:t>
      </w:r>
    </w:p>
    <w:p>
      <w:r>
        <w:rPr>
          <w:b w:val="0"/>
          <w:i w:val="0"/>
        </w:rPr>
        <w:t>Applicants must describe how they will protect research participants, especially in sensitive contexts, including informed consent, anonymisation and secure data storage. Use of AI tools in research must be disclosed and described.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FA854F"/>
        <w:sz w:val="16"/>
      </w:rPr>
      <w:t>FICTIONAL SAMPLE — created for a Microsoft 365 Copilot demo. Not a real Insights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28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28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28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