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B62DF"/>
        </w:rPr>
        <w:t>Interim Narrative and Financial Report</w:t>
      </w:r>
    </w:p>
    <w:p>
      <w:r>
        <w:rPr>
          <w:i/>
        </w:rPr>
        <w:t>Grant G1 – Sri Lanka Barometer: Survey Round and Follow-up Research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Grant reference</w:t>
            </w:r>
          </w:p>
        </w:tc>
        <w:tc>
          <w:tcPr>
            <w:tcW w:type="dxa" w:w="4320"/>
          </w:tcPr>
          <w:p>
            <w:r>
              <w:t>G1 (sample)</w:t>
            </w:r>
          </w:p>
        </w:tc>
      </w:tr>
      <w:tr>
        <w:tc>
          <w:tcPr>
            <w:tcW w:type="dxa" w:w="4320"/>
          </w:tcPr>
          <w:p>
            <w:r>
              <w:t>Implementing organisation</w:t>
            </w:r>
          </w:p>
        </w:tc>
        <w:tc>
          <w:tcPr>
            <w:tcW w:type="dxa" w:w="4320"/>
          </w:tcPr>
          <w:p>
            <w:r>
              <w:t>The Insights Initiative (Guarantee) Limited</w:t>
            </w:r>
          </w:p>
        </w:tc>
      </w:tr>
      <w:tr>
        <w:tc>
          <w:tcPr>
            <w:tcW w:type="dxa" w:w="4320"/>
          </w:tcPr>
          <w:p>
            <w:r>
              <w:t>Reporting period</w:t>
            </w:r>
          </w:p>
        </w:tc>
        <w:tc>
          <w:tcPr>
            <w:tcW w:type="dxa" w:w="4320"/>
          </w:tcPr>
          <w:p>
            <w:r>
              <w:t>1 January 2026 – 31 December 2026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Interim (Year 1 of 2)</w:t>
            </w:r>
          </w:p>
        </w:tc>
      </w:tr>
      <w:tr>
        <w:tc>
          <w:tcPr>
            <w:tcW w:type="dxa" w:w="4320"/>
          </w:tcPr>
          <w:p>
            <w:r>
              <w:t>Submission deadline</w:t>
            </w:r>
          </w:p>
        </w:tc>
        <w:tc>
          <w:tcPr>
            <w:tcW w:type="dxa" w:w="4320"/>
          </w:tcPr>
          <w:p>
            <w:r>
              <w:t>1 March 2027 (60 days after period end – see Grant Agreement clause 4.2)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[Role]</w:t>
            </w:r>
          </w:p>
        </w:tc>
      </w:tr>
      <w:tr>
        <w:tc>
          <w:tcPr>
            <w:tcW w:type="dxa" w:w="4320"/>
          </w:tcPr>
          <w:p>
            <w:r>
              <w:t>Reviewed and approved by</w:t>
            </w:r>
          </w:p>
        </w:tc>
        <w:tc>
          <w:tcPr>
            <w:tcW w:type="dxa" w:w="4320"/>
          </w:tcPr>
          <w:p>
            <w:r>
              <w:t>[Executive Director]</w:t>
            </w:r>
          </w:p>
        </w:tc>
      </w:tr>
    </w:tbl>
    <w:p/>
    <w:p>
      <w:r>
        <w:rPr>
          <w:b w:val="0"/>
          <w:i/>
        </w:rPr>
        <w:t>Maximum length: 15 pages excluding annexes. Use the budget headings exactly as in the approved budget.</w:t>
      </w:r>
    </w:p>
    <w:p>
      <w:pPr>
        <w:pStyle w:val="Heading1"/>
      </w:pPr>
      <w:r>
        <w:t>1. Executive summary</w:t>
      </w:r>
    </w:p>
    <w:p>
      <w:r>
        <w:rPr>
          <w:i/>
          <w:color w:val="808080"/>
          <w:sz w:val="19"/>
        </w:rPr>
        <w:t>Guidance: Half a page. Main achievements, overall progress against the logframe, key challenges and how they were handled. Written for a reader who reads nothing else.</w:t>
      </w:r>
    </w:p>
    <w:p>
      <w:r>
        <w:rPr>
          <w:b w:val="0"/>
          <w:i w:val="0"/>
        </w:rPr>
        <w:t>[Write here]</w:t>
      </w:r>
    </w:p>
    <w:p>
      <w:pPr>
        <w:pStyle w:val="Heading1"/>
      </w:pPr>
      <w:r>
        <w:t>2. Context and changes in the operating environment</w:t>
      </w:r>
    </w:p>
    <w:p>
      <w:r>
        <w:rPr>
          <w:i/>
          <w:color w:val="808080"/>
          <w:sz w:val="19"/>
        </w:rPr>
        <w:t>Guidance: Political, economic or security developments that affected implementation. Any changes to assumptions or risks since the proposal.</w:t>
      </w:r>
    </w:p>
    <w:p>
      <w:r>
        <w:rPr>
          <w:b w:val="0"/>
          <w:i w:val="0"/>
        </w:rPr>
        <w:t>[Write here]</w:t>
      </w:r>
    </w:p>
    <w:p>
      <w:pPr>
        <w:pStyle w:val="Heading1"/>
      </w:pPr>
      <w:r>
        <w:t>3. Activities and outputs this period</w:t>
      </w:r>
    </w:p>
    <w:p>
      <w:r>
        <w:rPr>
          <w:i/>
          <w:color w:val="808080"/>
          <w:sz w:val="19"/>
        </w:rPr>
        <w:t>Guidance: For each output in the logframe: planned vs achieved, evidence, and explanation of any delay.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Planned activities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Achieved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1728"/>
          </w:tcPr>
          <w:p>
            <w:r>
              <w:t>1. Nationally representative survey completed</w:t>
            </w:r>
          </w:p>
        </w:tc>
        <w:tc>
          <w:tcPr>
            <w:tcW w:type="dxa" w:w="1728"/>
          </w:tcPr>
          <w:p>
            <w:r>
              <w:t>Questionnaire finalised; translation; pilot; fieldwork in 25 districts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 Follow-up qualitative research</w:t>
            </w:r>
          </w:p>
        </w:tc>
        <w:tc>
          <w:tcPr>
            <w:tcW w:type="dxa" w:w="1728"/>
          </w:tcPr>
          <w:p>
            <w:r>
              <w:t>12 focus group discussions; 20 key informant interviews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 Young researchers trained and published</w:t>
            </w:r>
          </w:p>
        </w:tc>
        <w:tc>
          <w:tcPr>
            <w:tcW w:type="dxa" w:w="1728"/>
          </w:tcPr>
          <w:p>
            <w:r>
              <w:t>Cohort of 8; 3 mentoring workshops; 1 publication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 Evidence shared with stakeholders</w:t>
            </w:r>
          </w:p>
        </w:tc>
        <w:tc>
          <w:tcPr>
            <w:tcW w:type="dxa" w:w="1728"/>
          </w:tcPr>
          <w:p>
            <w:r>
              <w:t>6 community dialogues; 2 media workshops; policy briefs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4. Progress against indicators</w:t>
      </w:r>
    </w:p>
    <w:p>
      <w:r>
        <w:rPr>
          <w:i/>
          <w:color w:val="808080"/>
          <w:sz w:val="19"/>
        </w:rPr>
        <w:t>Guidance: Use the indicator table from the approved logframe. Report baseline, target and current value. Mark estimates clearly.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(end of project)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this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# of survey interviews completed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Fieldwork tracker</w:t>
            </w:r>
          </w:p>
        </w:tc>
      </w:tr>
      <w:tr>
        <w:tc>
          <w:tcPr>
            <w:tcW w:type="dxa" w:w="1728"/>
          </w:tcPr>
          <w:p>
            <w:r>
              <w:t># of FGDs completed and transcribed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Research log</w:t>
            </w:r>
          </w:p>
        </w:tc>
      </w:tr>
      <w:tr>
        <w:tc>
          <w:tcPr>
            <w:tcW w:type="dxa" w:w="1728"/>
          </w:tcPr>
          <w:p>
            <w:r>
              <w:t># of stakeholders reached through dialogues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Attendance sheets</w:t>
            </w:r>
          </w:p>
        </w:tc>
      </w:tr>
      <w:tr>
        <w:tc>
          <w:tcPr>
            <w:tcW w:type="dxa" w:w="1728"/>
          </w:tcPr>
          <w:p>
            <w:r>
              <w:t># of media pieces citing SLB findings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Media monitoring</w:t>
            </w:r>
          </w:p>
        </w:tc>
      </w:tr>
    </w:tbl>
    <w:p/>
    <w:p>
      <w:pPr>
        <w:pStyle w:val="Heading1"/>
      </w:pPr>
      <w:r>
        <w:t>5. Financial summary</w:t>
      </w:r>
    </w:p>
    <w:p>
      <w:r>
        <w:rPr>
          <w:i/>
          <w:color w:val="808080"/>
          <w:sz w:val="19"/>
        </w:rPr>
        <w:t>Guidance: Summarise expenditure to date against the approved budget by budget heading. Figures must match the attached financial statement (Annex 2) exactly.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Budget heading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 annual budget (LKR)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Expenditure to date (LKR)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spent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Variance vs expected (LKR)</w:t>
            </w:r>
          </w:p>
        </w:tc>
      </w:tr>
      <w:tr>
        <w:tc>
          <w:tcPr>
            <w:tcW w:type="dxa" w:w="1728"/>
          </w:tcPr>
          <w:p>
            <w:r>
              <w:t>Personnel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Activities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Professional fees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Equipment &amp; software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Communications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Shared costs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</w:rPr>
        <w:t>[Narrative summary of spend – approx. 150 words]</w:t>
      </w:r>
    </w:p>
    <w:p>
      <w:pPr>
        <w:pStyle w:val="Heading1"/>
      </w:pPr>
      <w:r>
        <w:t>6. Budget variance explanation</w:t>
      </w:r>
    </w:p>
    <w:p>
      <w:r>
        <w:rPr>
          <w:i/>
          <w:color w:val="808080"/>
          <w:sz w:val="19"/>
        </w:rPr>
        <w:t>Guidance: Explain every budget line that is more than 10% above or below the expected spend for the period. State the reason, whether it is timing or a real over/under-spend, and the corrective action. Reallocations above 15% between headings need prior written approval (clause 6.3).</w:t>
      </w:r>
    </w:p>
    <w:p>
      <w:r>
        <w:rPr>
          <w:b w:val="0"/>
          <w:i w:val="0"/>
        </w:rPr>
        <w:t>[Write here]</w:t>
      </w:r>
    </w:p>
    <w:p>
      <w:pPr>
        <w:pStyle w:val="Heading1"/>
      </w:pPr>
      <w:r>
        <w:t>7. Risks, issues and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 / 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8. Safeguarding, data protection and ethics</w:t>
      </w:r>
    </w:p>
    <w:p>
      <w:r>
        <w:rPr>
          <w:i/>
          <w:color w:val="808080"/>
          <w:sz w:val="19"/>
        </w:rPr>
        <w:t>Guidance: Confirm how respondent data was protected (consent, anonymisation, storage, access). Report any incidents.</w:t>
      </w:r>
    </w:p>
    <w:p>
      <w:r>
        <w:rPr>
          <w:b w:val="0"/>
          <w:i w:val="0"/>
        </w:rPr>
        <w:t>[Write here]</w:t>
      </w:r>
    </w:p>
    <w:p>
      <w:pPr>
        <w:pStyle w:val="Heading1"/>
      </w:pPr>
      <w:r>
        <w:t>9. Visibility and communications</w:t>
      </w:r>
    </w:p>
    <w:p>
      <w:r>
        <w:rPr>
          <w:b w:val="0"/>
          <w:i w:val="0"/>
        </w:rPr>
        <w:t>[Write here]</w:t>
      </w:r>
    </w:p>
    <w:p>
      <w:pPr>
        <w:pStyle w:val="Heading1"/>
      </w:pPr>
      <w:r>
        <w:t>10. Plan for the next period</w:t>
      </w:r>
    </w:p>
    <w:p>
      <w:r>
        <w:rPr>
          <w:b w:val="0"/>
          <w:i w:val="0"/>
        </w:rPr>
        <w:t>[Write here]</w:t>
      </w:r>
    </w:p>
    <w:p>
      <w:pPr>
        <w:pStyle w:val="Heading1"/>
      </w:pPr>
      <w:r>
        <w:t>Annexes</w:t>
      </w:r>
    </w:p>
    <w:p>
      <w:pPr>
        <w:pStyle w:val="ListBullet"/>
      </w:pPr>
      <w:r>
        <w:t>Annex 1 – Updated logframe</w:t>
      </w:r>
    </w:p>
    <w:p>
      <w:pPr>
        <w:pStyle w:val="ListBullet"/>
      </w:pPr>
      <w:r>
        <w:t>Annex 2 – Financial statement (donor format)</w:t>
      </w:r>
    </w:p>
    <w:p>
      <w:pPr>
        <w:pStyle w:val="ListBullet"/>
      </w:pPr>
      <w:r>
        <w:t>Annex 3 – List of publications and media coverage</w:t>
      </w:r>
    </w:p>
    <w:p>
      <w:pPr>
        <w:pStyle w:val="ListBullet"/>
      </w:pPr>
      <w:r>
        <w:t>Annex 4 – Procurement record for contracts above LKR 3,000,000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FA854F"/>
        <w:sz w:val="16"/>
      </w:rPr>
      <w:t>FICTIONAL SAMPLE — created for a Microsoft 365 Copilot demo. Not a real Insights document.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28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28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28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