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B62DF"/>
        </w:rPr>
        <w:t>Grant Agreement G1 – Special Conditions (Extract)</w:t>
      </w:r>
    </w:p>
    <w:p>
      <w:r>
        <w:rPr>
          <w:i/>
        </w:rPr>
        <w:t>Extract of financial and reporting conditions. Fictional sample based on common donor practice, created for demonstration.</w:t>
      </w:r>
    </w:p>
    <w:p>
      <w:pPr>
        <w:pStyle w:val="Heading1"/>
      </w:pPr>
      <w:r>
        <w:t>1. Duration</w:t>
      </w:r>
    </w:p>
    <w:p>
      <w:r>
        <w:rPr>
          <w:b w:val="0"/>
          <w:i w:val="0"/>
        </w:rPr>
        <w:t>1.1 The implementation period runs from 1 January 2026 to 31 December 2027 (24 months).</w:t>
      </w:r>
    </w:p>
    <w:p>
      <w:r>
        <w:rPr>
          <w:b w:val="0"/>
          <w:i w:val="0"/>
        </w:rPr>
        <w:t>1.2 Costs incurred before the start date or after the end date are not eligible, except costs of the final audit and final report.</w:t>
      </w:r>
    </w:p>
    <w:p>
      <w:pPr>
        <w:pStyle w:val="Heading1"/>
      </w:pPr>
      <w:r>
        <w:t>2. Budget and currency</w:t>
      </w:r>
    </w:p>
    <w:p>
      <w:r>
        <w:rPr>
          <w:b w:val="0"/>
          <w:i w:val="0"/>
        </w:rPr>
        <w:t>2.1 The total eligible budget is the amount in Annex III. The donor contribution is up to 90% of total eligible costs; the remaining 10% must be co-financed by the Beneficiary.</w:t>
      </w:r>
    </w:p>
    <w:p>
      <w:r>
        <w:rPr>
          <w:b w:val="0"/>
          <w:i w:val="0"/>
        </w:rPr>
        <w:t>2.2 Accounts are kept in Sri Lankan Rupees (LKR). Reports must convert amounts at the rate at which each tranche was received.</w:t>
      </w:r>
    </w:p>
    <w:p>
      <w:r>
        <w:rPr>
          <w:b w:val="0"/>
          <w:i w:val="0"/>
        </w:rPr>
        <w:t>2.3 Exchange-rate losses are not eligible costs.</w:t>
      </w:r>
    </w:p>
    <w:p>
      <w:pPr>
        <w:pStyle w:val="Heading1"/>
      </w:pPr>
      <w:r>
        <w:t>3. Payments</w:t>
      </w:r>
    </w:p>
    <w:p>
      <w:r>
        <w:rPr>
          <w:b w:val="0"/>
          <w:i w:val="0"/>
        </w:rPr>
        <w:t>3.1 Tranche 1 (40%) on signature. Tranche 2 (30%) after acceptance of the 6-month progress update. Tranche 3 (20%) after acceptance of the interim report. Balance (10%) after acceptance of the final report.</w:t>
      </w:r>
    </w:p>
    <w:p>
      <w:r>
        <w:rPr>
          <w:b w:val="0"/>
          <w:i w:val="0"/>
        </w:rPr>
        <w:t>3.2 A further tranche is only paid once at least 70% of the previous tranches has been spent.</w:t>
      </w:r>
    </w:p>
    <w:p>
      <w:pPr>
        <w:pStyle w:val="Heading1"/>
      </w:pPr>
      <w:r>
        <w:t>4. Reporting</w:t>
      </w:r>
    </w:p>
    <w:p>
      <w:r>
        <w:rPr>
          <w:b w:val="0"/>
          <w:i w:val="0"/>
        </w:rPr>
        <w:t>4.1 A short progress update (narrative only) is due within 30 days after the end of month 6.</w:t>
      </w:r>
    </w:p>
    <w:p>
      <w:r>
        <w:rPr>
          <w:b w:val="0"/>
          <w:i w:val="0"/>
        </w:rPr>
        <w:t>4.2 An interim narrative and financial report is due within 60 days after the end of each 12-month period.</w:t>
      </w:r>
    </w:p>
    <w:p>
      <w:r>
        <w:rPr>
          <w:b w:val="0"/>
          <w:i w:val="0"/>
        </w:rPr>
        <w:t>4.3 The final narrative and financial report is due within 90 days after the end of the implementation period.</w:t>
      </w:r>
    </w:p>
    <w:p>
      <w:r>
        <w:rPr>
          <w:b w:val="0"/>
          <w:i w:val="0"/>
        </w:rPr>
        <w:t>4.4 Reports must use the donor templates. Budget variances above 10% per budget line must be explained.</w:t>
      </w:r>
    </w:p>
    <w:p>
      <w:r>
        <w:rPr>
          <w:b w:val="0"/>
          <w:i w:val="0"/>
        </w:rPr>
        <w:t>4.5 The Beneficiary must notify the donor within 15 days of any event that may materially affect implementation.</w:t>
      </w:r>
    </w:p>
    <w:p>
      <w:pPr>
        <w:pStyle w:val="Heading1"/>
      </w:pPr>
      <w:r>
        <w:t>5. Eligible costs</w:t>
      </w:r>
    </w:p>
    <w:p>
      <w:r>
        <w:rPr>
          <w:b w:val="0"/>
          <w:i w:val="0"/>
        </w:rPr>
        <w:t>5.1 Costs are eligible if they are actually incurred, necessary for the action, identifiable and verifiable, recorded in the accounts, reasonable and compliant with tax and social security law.</w:t>
      </w:r>
    </w:p>
    <w:p>
      <w:r>
        <w:rPr>
          <w:b w:val="0"/>
          <w:i w:val="0"/>
        </w:rPr>
        <w:t>5.2 Staff costs are eligible only for staff assigned to the action. Staff charged at less than 100% must keep monthly timesheets.</w:t>
      </w:r>
    </w:p>
    <w:p>
      <w:r>
        <w:rPr>
          <w:b w:val="0"/>
          <w:i w:val="0"/>
        </w:rPr>
        <w:t>5.3 Indirect costs are eligible at a flat rate of up to 7% of total direct eligible costs, with no supporting documents required.</w:t>
      </w:r>
    </w:p>
    <w:p>
      <w:r>
        <w:rPr>
          <w:b w:val="0"/>
          <w:i w:val="0"/>
        </w:rPr>
        <w:t>5.4 Shared costs (rent, utilities, administration) may be charged as direct costs only with a documented, consistent and fair allocation method.</w:t>
      </w:r>
    </w:p>
    <w:p>
      <w:pPr>
        <w:pStyle w:val="Heading1"/>
      </w:pPr>
      <w:r>
        <w:t>6. Ineligible costs and budget changes</w:t>
      </w:r>
    </w:p>
    <w:p>
      <w:r>
        <w:rPr>
          <w:b w:val="0"/>
          <w:i w:val="0"/>
        </w:rPr>
        <w:t>6.1 Ineligible: debts and provisions for losses; interest owed; items already financed from another source; purchases of land or buildings; currency exchange losses; fines and penalties; alcohol; gifts; entertainment not linked to the action.</w:t>
      </w:r>
    </w:p>
    <w:p>
      <w:r>
        <w:rPr>
          <w:b w:val="0"/>
          <w:i w:val="0"/>
        </w:rPr>
        <w:t>6.2 The Beneficiary may transfer up to 15% of a budget heading to another heading without prior approval, provided the purpose of the action is unchanged. It must be reported in the next report.</w:t>
      </w:r>
    </w:p>
    <w:p>
      <w:r>
        <w:rPr>
          <w:b w:val="0"/>
          <w:i w:val="0"/>
        </w:rPr>
        <w:t>6.3 Transfers above 15%, any increase in staff costs above 10%, new budget lines, and changes to the indirect cost rate require prior written approval.</w:t>
      </w:r>
    </w:p>
    <w:p>
      <w:r>
        <w:rPr>
          <w:b w:val="0"/>
          <w:i w:val="0"/>
        </w:rPr>
        <w:t>6.4 Requests for a no-cost extension must be submitted at least 60 days before the end date.</w:t>
      </w:r>
    </w:p>
    <w:p>
      <w:pPr>
        <w:pStyle w:val="Heading1"/>
      </w:pPr>
      <w:r>
        <w:t>7. Procurement</w:t>
      </w:r>
    </w:p>
    <w:p>
      <w:r>
        <w:rPr>
          <w:b w:val="0"/>
          <w:i w:val="0"/>
        </w:rPr>
        <w:t>7.1 Up to LKR 500,000: one quotation.</w:t>
      </w:r>
    </w:p>
    <w:p>
      <w:r>
        <w:rPr>
          <w:b w:val="0"/>
          <w:i w:val="0"/>
        </w:rPr>
        <w:t>7.2 LKR 500,001 to LKR 3,000,000: at least three written quotations.</w:t>
      </w:r>
    </w:p>
    <w:p>
      <w:r>
        <w:rPr>
          <w:b w:val="0"/>
          <w:i w:val="0"/>
        </w:rPr>
        <w:t>7.3 Above LKR 3,000,000: open, advertised tender with a written evaluation report.</w:t>
      </w:r>
    </w:p>
    <w:p>
      <w:r>
        <w:rPr>
          <w:b w:val="0"/>
          <w:i w:val="0"/>
        </w:rPr>
        <w:t>7.4 Contracts must not be split to avoid thresholds. Conflicts of interest must be declared and recorded.</w:t>
      </w:r>
    </w:p>
    <w:p>
      <w:pPr>
        <w:pStyle w:val="Heading1"/>
      </w:pPr>
      <w:r>
        <w:t>8. Records, audit and checks</w:t>
      </w:r>
    </w:p>
    <w:p>
      <w:r>
        <w:rPr>
          <w:b w:val="0"/>
          <w:i w:val="0"/>
        </w:rPr>
        <w:t>8.1 Supporting documents must be kept for 5 years after the final payment.</w:t>
      </w:r>
    </w:p>
    <w:p>
      <w:r>
        <w:rPr>
          <w:b w:val="0"/>
          <w:i w:val="0"/>
        </w:rPr>
        <w:t>8.2 An expenditure verification by an independent auditor is required with each interim and final financial report.</w:t>
      </w:r>
    </w:p>
    <w:p>
      <w:r>
        <w:rPr>
          <w:b w:val="0"/>
          <w:i w:val="0"/>
        </w:rPr>
        <w:t>8.3 The donor, its auditors and anti-fraud bodies may carry out checks and audits on the Beneficiary and its partners.</w:t>
      </w:r>
    </w:p>
    <w:p>
      <w:pPr>
        <w:pStyle w:val="Heading1"/>
      </w:pPr>
      <w:r>
        <w:t>9. Visibility</w:t>
      </w:r>
    </w:p>
    <w:p>
      <w:r>
        <w:rPr>
          <w:b w:val="0"/>
          <w:i w:val="0"/>
        </w:rPr>
        <w:t>9.1 All publications, events and communications must acknowledge the donor's funding and display its emblem as set out in the visibility guidelines.</w:t>
      </w:r>
    </w:p>
    <w:p>
      <w:r>
        <w:rPr>
          <w:b w:val="0"/>
          <w:i w:val="0"/>
        </w:rPr>
        <w:t>9.2 Publications must include the standard disclaimer that the content is the sole responsibility of the Beneficiary.</w:t>
      </w:r>
    </w:p>
    <w:p>
      <w:pPr>
        <w:pStyle w:val="Heading1"/>
      </w:pPr>
      <w:r>
        <w:t>10. Data protection and confidentiality</w:t>
      </w:r>
    </w:p>
    <w:p>
      <w:r>
        <w:rPr>
          <w:b w:val="0"/>
          <w:i w:val="0"/>
        </w:rPr>
        <w:t>10.1 Personal data must be processed in line with applicable law, including Sri Lanka's Personal Data Protection Act, No. 9 of 2022, and the donor's data protection requirements.</w:t>
      </w:r>
    </w:p>
    <w:p>
      <w:r>
        <w:rPr>
          <w:b w:val="0"/>
          <w:i w:val="0"/>
        </w:rPr>
        <w:t>10.2 Personal data of research participants must be collected with informed consent, pseudonymised or anonymised as early as possible, stored securely with access limited to authorised staff, and never published in identifiable form.</w:t>
      </w:r>
    </w:p>
    <w:p>
      <w:r>
        <w:rPr>
          <w:b w:val="0"/>
          <w:i w:val="0"/>
        </w:rPr>
        <w:t>10.3 Both parties must keep confidential any document or information disclosed in confidence, for at least 5 years after the final payment.</w:t>
      </w:r>
    </w:p>
    <w:p>
      <w:r>
        <w:rPr>
          <w:b w:val="0"/>
          <w:i w:val="0"/>
        </w:rPr>
        <w:t>10.4 The Beneficiary must inform the donor of any data breach affecting research participants within 72 hours.</w:t>
      </w:r>
    </w:p>
    <w:p>
      <w:pPr>
        <w:pStyle w:val="Heading1"/>
      </w:pPr>
      <w:r>
        <w:t>11. Sub-granting and partners</w:t>
      </w:r>
    </w:p>
    <w:p>
      <w:r>
        <w:rPr>
          <w:b w:val="0"/>
          <w:i w:val="0"/>
        </w:rPr>
        <w:t>11.1 Financial support to third parties is not allowed unless set out in Annex I.</w:t>
      </w:r>
    </w:p>
    <w:p>
      <w:r>
        <w:rPr>
          <w:b w:val="0"/>
          <w:i w:val="0"/>
        </w:rPr>
        <w:t>11.2 The Beneficiary remains fully responsible to the donor for work done by contractors and partners.</w:t>
      </w:r>
    </w:p>
    <w:p>
      <w:pPr>
        <w:pStyle w:val="Heading1"/>
      </w:pPr>
      <w:r>
        <w:t>Annex – Reporting and payment calendar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Deliverable</w:t>
            </w:r>
          </w:p>
        </w:tc>
        <w:tc>
          <w:tcPr>
            <w:tcW w:type="dxa" w:w="2160"/>
          </w:tcPr>
          <w:p>
            <w:r>
              <w:rPr>
                <w:b/>
              </w:rPr>
              <w:t>Period covered</w:t>
            </w:r>
          </w:p>
        </w:tc>
        <w:tc>
          <w:tcPr>
            <w:tcW w:type="dxa" w:w="2160"/>
          </w:tcPr>
          <w:p>
            <w:r>
              <w:rPr>
                <w:b/>
              </w:rPr>
              <w:t>Due date</w:t>
            </w:r>
          </w:p>
        </w:tc>
        <w:tc>
          <w:tcPr>
            <w:tcW w:type="dxa" w:w="2160"/>
          </w:tcPr>
          <w:p>
            <w:r>
              <w:rPr>
                <w:b/>
              </w:rPr>
              <w:t>Linked payment</w:t>
            </w:r>
          </w:p>
        </w:tc>
      </w:tr>
      <w:tr>
        <w:tc>
          <w:tcPr>
            <w:tcW w:type="dxa" w:w="2160"/>
          </w:tcPr>
          <w:p>
            <w:r>
              <w:t>Progress update (narrative)</w:t>
            </w:r>
          </w:p>
        </w:tc>
        <w:tc>
          <w:tcPr>
            <w:tcW w:type="dxa" w:w="2160"/>
          </w:tcPr>
          <w:p>
            <w:r>
              <w:t>Jan–Jun 2026</w:t>
            </w:r>
          </w:p>
        </w:tc>
        <w:tc>
          <w:tcPr>
            <w:tcW w:type="dxa" w:w="2160"/>
          </w:tcPr>
          <w:p>
            <w:r>
              <w:t>30 July 2026</w:t>
            </w:r>
          </w:p>
        </w:tc>
        <w:tc>
          <w:tcPr>
            <w:tcW w:type="dxa" w:w="2160"/>
          </w:tcPr>
          <w:p>
            <w:r>
              <w:t>Tranche 2 (30%)</w:t>
            </w:r>
          </w:p>
        </w:tc>
      </w:tr>
      <w:tr>
        <w:tc>
          <w:tcPr>
            <w:tcW w:type="dxa" w:w="2160"/>
          </w:tcPr>
          <w:p>
            <w:r>
              <w:t>Interim narrative &amp; financial report + expenditure verification</w:t>
            </w:r>
          </w:p>
        </w:tc>
        <w:tc>
          <w:tcPr>
            <w:tcW w:type="dxa" w:w="2160"/>
          </w:tcPr>
          <w:p>
            <w:r>
              <w:t>Jan–Dec 2026</w:t>
            </w:r>
          </w:p>
        </w:tc>
        <w:tc>
          <w:tcPr>
            <w:tcW w:type="dxa" w:w="2160"/>
          </w:tcPr>
          <w:p>
            <w:r>
              <w:t>1 March 2027</w:t>
            </w:r>
          </w:p>
        </w:tc>
        <w:tc>
          <w:tcPr>
            <w:tcW w:type="dxa" w:w="2160"/>
          </w:tcPr>
          <w:p>
            <w:r>
              <w:t>Tranche 3 (20%)</w:t>
            </w:r>
          </w:p>
        </w:tc>
      </w:tr>
      <w:tr>
        <w:tc>
          <w:tcPr>
            <w:tcW w:type="dxa" w:w="2160"/>
          </w:tcPr>
          <w:p>
            <w:r>
              <w:t>Progress update (narrative)</w:t>
            </w:r>
          </w:p>
        </w:tc>
        <w:tc>
          <w:tcPr>
            <w:tcW w:type="dxa" w:w="2160"/>
          </w:tcPr>
          <w:p>
            <w:r>
              <w:t>Jan–Jun 2027</w:t>
            </w:r>
          </w:p>
        </w:tc>
        <w:tc>
          <w:tcPr>
            <w:tcW w:type="dxa" w:w="2160"/>
          </w:tcPr>
          <w:p>
            <w:r>
              <w:t>30 July 2027</w:t>
            </w:r>
          </w:p>
        </w:tc>
        <w:tc>
          <w:tcPr>
            <w:tcW w:type="dxa" w:w="2160"/>
          </w:tcPr>
          <w:p>
            <w:r>
              <w:t>–</w:t>
            </w:r>
          </w:p>
        </w:tc>
      </w:tr>
      <w:tr>
        <w:tc>
          <w:tcPr>
            <w:tcW w:type="dxa" w:w="2160"/>
          </w:tcPr>
          <w:p>
            <w:r>
              <w:t>Final narrative &amp; financial report + expenditure verification</w:t>
            </w:r>
          </w:p>
        </w:tc>
        <w:tc>
          <w:tcPr>
            <w:tcW w:type="dxa" w:w="2160"/>
          </w:tcPr>
          <w:p>
            <w:r>
              <w:t>Jan 2026–Dec 2027</w:t>
            </w:r>
          </w:p>
        </w:tc>
        <w:tc>
          <w:tcPr>
            <w:tcW w:type="dxa" w:w="2160"/>
          </w:tcPr>
          <w:p>
            <w:r>
              <w:t>30 March 2028</w:t>
            </w:r>
          </w:p>
        </w:tc>
        <w:tc>
          <w:tcPr>
            <w:tcW w:type="dxa" w:w="2160"/>
          </w:tcPr>
          <w:p>
            <w:r>
              <w:t>Balance (10%)</w:t>
            </w:r>
          </w:p>
        </w:tc>
      </w:tr>
      <w:tr>
        <w:tc>
          <w:tcPr>
            <w:tcW w:type="dxa" w:w="2160"/>
          </w:tcPr>
          <w:p>
            <w:r>
              <w:t>Latest date for no-cost extension request</w:t>
            </w:r>
          </w:p>
        </w:tc>
        <w:tc>
          <w:tcPr>
            <w:tcW w:type="dxa" w:w="2160"/>
          </w:tcPr>
          <w:p>
            <w:r>
              <w:t>–</w:t>
            </w:r>
          </w:p>
        </w:tc>
        <w:tc>
          <w:tcPr>
            <w:tcW w:type="dxa" w:w="2160"/>
          </w:tcPr>
          <w:p>
            <w:r>
              <w:t>1 November 2027</w:t>
            </w:r>
          </w:p>
        </w:tc>
        <w:tc>
          <w:tcPr>
            <w:tcW w:type="dxa" w:w="2160"/>
          </w:tcPr>
          <w:p>
            <w:r>
              <w:t>–</w:t>
            </w:r>
          </w:p>
        </w:tc>
      </w:tr>
    </w:tbl>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FA854F"/>
        <w:sz w:val="16"/>
      </w:rPr>
      <w:t>FICTIONAL SAMPLE — created for a Microsoft 365 Copilot demo. Not a real Insights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7287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28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287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