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q35owdhzsw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Information Security Policy Template for Small Business Mechanic Shop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0e2z3t77ae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Purpose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Information Security Policy is to define the information security measures that [Mechanic Shop Name] will implement to protect its information assets from unauthorized access, disclosure, or destruction.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4cxgtlqclc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Scope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applies to all employees, contractors, and third-party vendors with access to [Mechanic Shop Name]'s information systems and sensitive data.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4wx6qv7ew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Data Classification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vm3zst84r31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Classification Levels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Confidential Data</w:t>
      </w:r>
      <w:r w:rsidDel="00000000" w:rsidR="00000000" w:rsidRPr="00000000">
        <w:rPr>
          <w:rtl w:val="0"/>
        </w:rPr>
        <w:t xml:space="preserve">: Customer repair histories, payment information, and employee payroll records.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Internal Use</w:t>
      </w:r>
      <w:r w:rsidDel="00000000" w:rsidR="00000000" w:rsidRPr="00000000">
        <w:rPr>
          <w:rtl w:val="0"/>
        </w:rPr>
        <w:t xml:space="preserve">: Operational procedures, maintenance logs, and internal communications.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Data</w:t>
      </w:r>
      <w:r w:rsidDel="00000000" w:rsidR="00000000" w:rsidRPr="00000000">
        <w:rPr>
          <w:rtl w:val="0"/>
        </w:rPr>
        <w:t xml:space="preserve">: Marketing materials, service lists, and company contact information.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uaysbqd256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Access Control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v9tayqvssf2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User Access Management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Access to confidential data is limited to authorized personnel only, based on their job functions.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accounts must be secured with strong passwords that include: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minimum of 10 characters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combination of letters, numbers, and special characters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Passwords must be changed every 90 days and stored securely.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lm8ek190orh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Authentication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Multi-factor authentication (MFA) is required for accessing sensitive data and systems.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qbc3vgbb8o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Data Protection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rh5i3opyuor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 Data Encryption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All confidential data must be encrypted both in transit and at rest, using appropriate encryption methods.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b60vvmdkmi4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 Data Backup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Regular backups of all critical data must be performed weekly and stored securely off-site or in a cloud environment.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q7rw1qnj01t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 Data Retention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Confidential data will be retained only as long as necessary for business purposes and securely disposed of afterward.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pc9qv3vghuv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Incident Response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izt7zh4s92m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 Incident Reporting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Employees must report any security incidents or breaches to the designated security officer immediately.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7soofj7eimu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 Incident Management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documented incident response plan will be enacted to investigate and respond to incidents effectively.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f493o36f2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Training and Awareness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itpwfeven72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 Security Training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All employees will receive information security training during onboarding and refresher training annually.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e8456idxfp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 Ongoing Awareness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Regular updates and security tips will be communicated to all employees to maintain a culture of security awareness.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0uirolyprti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Policy Compliance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871qb81ze50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8.1 Compliance Monitoring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Regular assessments will be conducted to ensure compliance with this policy and relevant regulations.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tcjz4rlwga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8.2 Violations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Violations of this policy may result in disciplinary action, including termination.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fr8gd5b8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Policy Review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will be reviewed annually and updated as needed to ensure it remains effective and compliant with applicable laws and regulations.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