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oqoruo678lg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Information Security Policy Template for Small Business Restaurant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zuse7g0sxg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Purpose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this Information Security Policy is to establish guidelines for protecting the information assets of [Restaurant Name], ensuring the confidentiality, integrity, and availability of sensitive data.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coakpul8jc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Scope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applies to all employees, contractors, and third-party service providers who access [Restaurant Name]'s information systems and data.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1fhcxwjiyg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Data Classification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mbbo6xzpv6l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Classification Levels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Confidential Data</w:t>
      </w:r>
      <w:r w:rsidDel="00000000" w:rsidR="00000000" w:rsidRPr="00000000">
        <w:rPr>
          <w:rtl w:val="0"/>
        </w:rPr>
        <w:t xml:space="preserve">: Includes customer payment information, employee records, and supplier contracts.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Internal Use</w:t>
      </w:r>
      <w:r w:rsidDel="00000000" w:rsidR="00000000" w:rsidRPr="00000000">
        <w:rPr>
          <w:rtl w:val="0"/>
        </w:rPr>
        <w:t xml:space="preserve">: Business operation documents, schedules, and internal communications.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 Data</w:t>
      </w:r>
      <w:r w:rsidDel="00000000" w:rsidR="00000000" w:rsidRPr="00000000">
        <w:rPr>
          <w:rtl w:val="0"/>
        </w:rPr>
        <w:t xml:space="preserve">: Menu information, promotional materials, and press releases.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b87k5elziv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Access Control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emac0hgfzre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 User Access Management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Access to confidential data is restricted to authorized personnel based on job roles.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Employees must use unique usernames and strong passwords that meet the following criteria: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Minimum of 12 characters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Includes uppercase and lowercase letters, numbers, and special characters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Passwords must be changed every 90 days.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ib3bjcd8sdy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Authentication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Multi-factor authentication (MFA) is required for access to sensitive systems.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3wd8gtgu2q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Data Protection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lep9q47j26j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 Data Encryption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All sensitive data must be encrypted in transit and at rest using industry-standard encryption methods.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lcw1jbkn8us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 Payment Card Industry Data Security Standard (PCI-DSS)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Customer payment information must be processed using PCI-DSS compliant systems.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2izqzxuw2zt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5.3 Data Retention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Confidential data must be retained only as long as necessary for business or legal purposes and securely disposed of when no longer needed.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owic4fkjhae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Incident Response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fijnfjb9eil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6.1 Incident Reporting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Employees must report any security incidents, including breaches, suspicious activities, or data loss, to management immediately.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fs23pj6jk44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 Incident Management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An incident response team will investigate reported incidents and document findings, including impact assessment and remedial actions taken.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ky0qqc4k8eq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Training and Awareness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duf9v5a4129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7.1 Security Training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All employees must complete mandatory information security training upon hiring and annually thereafter.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v9wkai0n9wo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7.2 Security Awareness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Regular security awareness communications, including phishing simulations and reminders, will be provided to staff.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ox59s6aga4d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Policy Compliance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lsphxe62ep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8.1 Compliance Monitoring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Regular audits will be conducted to ensure adherence to this policy and identify areas for improvement.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kpowier0dlq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8.2 Violations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Any violation of this policy may result in disciplinary action, up to and including termination of employment.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31ejby45a1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Policy Review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will be reviewed annually and updated as necessary to reflect changes in regulatory requirements, industry standards, and emerging threats.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