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322F2" w14:textId="77777777" w:rsidR="0052371C" w:rsidRPr="00395570" w:rsidRDefault="0052371C" w:rsidP="00236512">
      <w:pPr>
        <w:jc w:val="center"/>
        <w:rPr>
          <w:rFonts w:ascii="Times New Roman" w:hAnsi="Times New Roman" w:cs="Times New Roman"/>
        </w:rPr>
      </w:pPr>
    </w:p>
    <w:p w14:paraId="08D9BDCB" w14:textId="77777777" w:rsidR="000120B3" w:rsidRDefault="000120B3" w:rsidP="000120B3">
      <w:pPr>
        <w:jc w:val="center"/>
        <w:rPr>
          <w:rFonts w:ascii="Times New Roman" w:hAnsi="Times New Roman" w:cs="Times New Roman"/>
        </w:rPr>
      </w:pPr>
    </w:p>
    <w:p w14:paraId="1984259A" w14:textId="77777777" w:rsidR="000120B3" w:rsidRDefault="000120B3" w:rsidP="000120B3">
      <w:pPr>
        <w:jc w:val="center"/>
        <w:rPr>
          <w:rFonts w:ascii="Times New Roman" w:hAnsi="Times New Roman" w:cs="Times New Roman"/>
        </w:rPr>
      </w:pPr>
    </w:p>
    <w:p w14:paraId="06FA8A75" w14:textId="2452DA0F" w:rsidR="00853B10" w:rsidRPr="000120B3" w:rsidRDefault="00853B10" w:rsidP="000120B3">
      <w:pPr>
        <w:jc w:val="center"/>
        <w:rPr>
          <w:rFonts w:ascii="Times New Roman" w:hAnsi="Times New Roman" w:cs="Times New Roman"/>
          <w:b/>
          <w:bCs/>
          <w:sz w:val="32"/>
          <w:szCs w:val="32"/>
        </w:rPr>
      </w:pPr>
      <w:r w:rsidRPr="000120B3">
        <w:rPr>
          <w:rFonts w:ascii="Times New Roman" w:hAnsi="Times New Roman" w:cs="Times New Roman"/>
          <w:b/>
          <w:bCs/>
          <w:sz w:val="32"/>
          <w:szCs w:val="32"/>
        </w:rPr>
        <w:t>Investment Policy Statement</w:t>
      </w:r>
    </w:p>
    <w:p w14:paraId="1A89210A" w14:textId="77777777" w:rsidR="00236512" w:rsidRPr="00395570" w:rsidRDefault="00236512" w:rsidP="00FB5485">
      <w:pPr>
        <w:rPr>
          <w:rFonts w:ascii="Times New Roman" w:hAnsi="Times New Roman" w:cs="Times New Roman"/>
        </w:rPr>
      </w:pPr>
    </w:p>
    <w:p w14:paraId="46D7D8F1" w14:textId="77777777" w:rsidR="00236512" w:rsidRPr="00395570" w:rsidRDefault="00236512" w:rsidP="00236512">
      <w:pPr>
        <w:jc w:val="center"/>
        <w:rPr>
          <w:rFonts w:ascii="Times New Roman" w:hAnsi="Times New Roman" w:cs="Times New Roman"/>
        </w:rPr>
      </w:pPr>
    </w:p>
    <w:p w14:paraId="64910934" w14:textId="77777777" w:rsidR="00236512" w:rsidRPr="00395570" w:rsidRDefault="00236512" w:rsidP="00236512">
      <w:pPr>
        <w:jc w:val="center"/>
        <w:rPr>
          <w:rFonts w:ascii="Times New Roman" w:hAnsi="Times New Roman" w:cs="Times New Roman"/>
        </w:rPr>
      </w:pPr>
    </w:p>
    <w:p w14:paraId="319A1563" w14:textId="77777777" w:rsidR="0052371C" w:rsidRPr="00395570" w:rsidRDefault="0052371C" w:rsidP="00236512">
      <w:pPr>
        <w:jc w:val="center"/>
        <w:rPr>
          <w:rFonts w:ascii="Times New Roman" w:hAnsi="Times New Roman" w:cs="Times New Roman"/>
        </w:rPr>
      </w:pPr>
    </w:p>
    <w:p w14:paraId="107509D1" w14:textId="77777777" w:rsidR="000120B3" w:rsidRDefault="000120B3" w:rsidP="00847C54">
      <w:pPr>
        <w:jc w:val="center"/>
        <w:rPr>
          <w:rFonts w:ascii="Times New Roman" w:hAnsi="Times New Roman" w:cs="Times New Roman"/>
        </w:rPr>
      </w:pPr>
    </w:p>
    <w:p w14:paraId="0FE22641" w14:textId="77777777" w:rsidR="000120B3" w:rsidRDefault="000120B3" w:rsidP="00847C54">
      <w:pPr>
        <w:jc w:val="center"/>
        <w:rPr>
          <w:rFonts w:ascii="Times New Roman" w:hAnsi="Times New Roman" w:cs="Times New Roman"/>
        </w:rPr>
      </w:pPr>
    </w:p>
    <w:p w14:paraId="0FCEE4B4" w14:textId="77777777" w:rsidR="000120B3" w:rsidRDefault="000120B3" w:rsidP="00847C54">
      <w:pPr>
        <w:jc w:val="center"/>
        <w:rPr>
          <w:rFonts w:ascii="Times New Roman" w:hAnsi="Times New Roman" w:cs="Times New Roman"/>
        </w:rPr>
      </w:pPr>
    </w:p>
    <w:p w14:paraId="203512B4" w14:textId="77777777" w:rsidR="000120B3" w:rsidRDefault="000120B3" w:rsidP="00847C54">
      <w:pPr>
        <w:jc w:val="center"/>
        <w:rPr>
          <w:rFonts w:ascii="Times New Roman" w:hAnsi="Times New Roman" w:cs="Times New Roman"/>
        </w:rPr>
      </w:pPr>
    </w:p>
    <w:p w14:paraId="41F7F59D" w14:textId="77777777" w:rsidR="000120B3" w:rsidRPr="000120B3" w:rsidRDefault="000120B3" w:rsidP="00847C54">
      <w:pPr>
        <w:jc w:val="center"/>
        <w:rPr>
          <w:rFonts w:ascii="Times New Roman" w:hAnsi="Times New Roman" w:cs="Times New Roman"/>
          <w:b/>
          <w:bCs/>
        </w:rPr>
      </w:pPr>
    </w:p>
    <w:p w14:paraId="7DE9F7D6" w14:textId="2F1B361E" w:rsidR="000120B3" w:rsidRPr="000120B3" w:rsidRDefault="000120B3" w:rsidP="00847C54">
      <w:pPr>
        <w:jc w:val="center"/>
        <w:rPr>
          <w:rFonts w:ascii="Times New Roman" w:hAnsi="Times New Roman" w:cs="Times New Roman"/>
          <w:b/>
          <w:bCs/>
        </w:rPr>
      </w:pPr>
      <w:r w:rsidRPr="000120B3">
        <w:rPr>
          <w:rFonts w:ascii="Times New Roman" w:hAnsi="Times New Roman" w:cs="Times New Roman"/>
          <w:b/>
          <w:bCs/>
        </w:rPr>
        <w:t>Sahibjeet Singh</w:t>
      </w:r>
    </w:p>
    <w:p w14:paraId="4F703D0F" w14:textId="664BC7FA" w:rsidR="000120B3" w:rsidRPr="000120B3" w:rsidRDefault="0052371C" w:rsidP="00847C54">
      <w:pPr>
        <w:jc w:val="center"/>
        <w:rPr>
          <w:rFonts w:ascii="Times New Roman" w:hAnsi="Times New Roman" w:cs="Times New Roman"/>
          <w:b/>
          <w:bCs/>
        </w:rPr>
      </w:pPr>
      <w:r w:rsidRPr="000120B3">
        <w:rPr>
          <w:rFonts w:ascii="Times New Roman" w:hAnsi="Times New Roman" w:cs="Times New Roman"/>
          <w:b/>
          <w:bCs/>
        </w:rPr>
        <w:t>Jacob Mattic</w:t>
      </w:r>
      <w:r w:rsidR="000120B3" w:rsidRPr="000120B3">
        <w:rPr>
          <w:rFonts w:ascii="Times New Roman" w:hAnsi="Times New Roman" w:cs="Times New Roman"/>
          <w:b/>
          <w:bCs/>
        </w:rPr>
        <w:t>e</w:t>
      </w:r>
    </w:p>
    <w:p w14:paraId="656FA5C7" w14:textId="28945CC3" w:rsidR="00847C54" w:rsidRPr="000120B3" w:rsidRDefault="0052371C" w:rsidP="00847C54">
      <w:pPr>
        <w:jc w:val="center"/>
        <w:rPr>
          <w:rFonts w:ascii="Times New Roman" w:hAnsi="Times New Roman" w:cs="Times New Roman"/>
          <w:b/>
          <w:bCs/>
        </w:rPr>
      </w:pPr>
      <w:r w:rsidRPr="000120B3">
        <w:rPr>
          <w:rFonts w:ascii="Times New Roman" w:hAnsi="Times New Roman" w:cs="Times New Roman"/>
          <w:b/>
          <w:bCs/>
        </w:rPr>
        <w:t xml:space="preserve"> Collins Eneh</w:t>
      </w:r>
    </w:p>
    <w:p w14:paraId="30717F79" w14:textId="3DC08AB3" w:rsidR="00236512" w:rsidRPr="000120B3" w:rsidRDefault="00790CF5" w:rsidP="000120B3">
      <w:pPr>
        <w:jc w:val="center"/>
        <w:rPr>
          <w:rFonts w:ascii="Times New Roman" w:hAnsi="Times New Roman" w:cs="Times New Roman"/>
          <w:b/>
          <w:bCs/>
        </w:rPr>
      </w:pPr>
      <w:r w:rsidRPr="000120B3">
        <w:rPr>
          <w:rFonts w:ascii="Times New Roman" w:hAnsi="Times New Roman" w:cs="Times New Roman"/>
          <w:b/>
          <w:bCs/>
        </w:rPr>
        <w:t>Alan Shajahan</w:t>
      </w:r>
    </w:p>
    <w:p w14:paraId="23663BD3" w14:textId="77777777" w:rsidR="00236512" w:rsidRPr="00395570" w:rsidRDefault="00236512" w:rsidP="00236512">
      <w:pPr>
        <w:jc w:val="center"/>
        <w:rPr>
          <w:rFonts w:ascii="Times New Roman" w:hAnsi="Times New Roman" w:cs="Times New Roman"/>
        </w:rPr>
      </w:pPr>
    </w:p>
    <w:p w14:paraId="3CC7FFDD" w14:textId="77777777" w:rsidR="00236512" w:rsidRPr="00395570" w:rsidRDefault="00236512" w:rsidP="00236512">
      <w:pPr>
        <w:jc w:val="center"/>
        <w:rPr>
          <w:rFonts w:ascii="Times New Roman" w:hAnsi="Times New Roman" w:cs="Times New Roman"/>
        </w:rPr>
      </w:pPr>
    </w:p>
    <w:p w14:paraId="5ACB8266" w14:textId="77777777" w:rsidR="00236512" w:rsidRPr="00395570" w:rsidRDefault="00236512" w:rsidP="00236512">
      <w:pPr>
        <w:jc w:val="center"/>
        <w:rPr>
          <w:rFonts w:ascii="Times New Roman" w:hAnsi="Times New Roman" w:cs="Times New Roman"/>
        </w:rPr>
      </w:pPr>
    </w:p>
    <w:p w14:paraId="7DF4B685" w14:textId="77777777" w:rsidR="00790CF5" w:rsidRPr="00395570" w:rsidRDefault="00790CF5" w:rsidP="00236512">
      <w:pPr>
        <w:jc w:val="center"/>
        <w:rPr>
          <w:rFonts w:ascii="Times New Roman" w:hAnsi="Times New Roman" w:cs="Times New Roman"/>
        </w:rPr>
      </w:pPr>
    </w:p>
    <w:p w14:paraId="7C253CF8" w14:textId="77777777" w:rsidR="000120B3" w:rsidRDefault="000120B3" w:rsidP="0040745D">
      <w:pPr>
        <w:rPr>
          <w:sz w:val="40"/>
          <w:szCs w:val="40"/>
        </w:rPr>
      </w:pPr>
    </w:p>
    <w:p w14:paraId="27DF2153" w14:textId="77777777" w:rsidR="000120B3" w:rsidRDefault="000120B3" w:rsidP="0040745D">
      <w:pPr>
        <w:rPr>
          <w:sz w:val="40"/>
          <w:szCs w:val="40"/>
        </w:rPr>
      </w:pPr>
    </w:p>
    <w:p w14:paraId="5B75FF13" w14:textId="77777777" w:rsidR="000120B3" w:rsidRDefault="000120B3" w:rsidP="0040745D">
      <w:pPr>
        <w:rPr>
          <w:sz w:val="40"/>
          <w:szCs w:val="40"/>
        </w:rPr>
      </w:pPr>
    </w:p>
    <w:p w14:paraId="6C672E05" w14:textId="77777777" w:rsidR="000120B3" w:rsidRDefault="000120B3" w:rsidP="0040745D">
      <w:pPr>
        <w:rPr>
          <w:sz w:val="40"/>
          <w:szCs w:val="40"/>
        </w:rPr>
      </w:pPr>
    </w:p>
    <w:p w14:paraId="2953B045" w14:textId="166644B9" w:rsidR="0040745D" w:rsidRDefault="00C40B37" w:rsidP="0040745D">
      <w:pPr>
        <w:rPr>
          <w:sz w:val="40"/>
          <w:szCs w:val="40"/>
        </w:rPr>
      </w:pPr>
      <w:r w:rsidRPr="00B57A34">
        <w:rPr>
          <w:sz w:val="40"/>
          <w:szCs w:val="40"/>
        </w:rPr>
        <w:lastRenderedPageBreak/>
        <w:t xml:space="preserve">Investment Policy Statement Prepared for </w:t>
      </w:r>
      <w:r w:rsidR="00B57A34" w:rsidRPr="00B57A34">
        <w:rPr>
          <w:sz w:val="40"/>
          <w:szCs w:val="40"/>
        </w:rPr>
        <w:t>Peter and Hilda Inger</w:t>
      </w:r>
    </w:p>
    <w:p w14:paraId="0C8C3797" w14:textId="675E2FF3" w:rsidR="00B57A34" w:rsidRDefault="00B57A34" w:rsidP="0040745D">
      <w:pPr>
        <w:rPr>
          <w:b/>
          <w:bCs/>
          <w:sz w:val="28"/>
          <w:szCs w:val="28"/>
        </w:rPr>
      </w:pPr>
      <w:r w:rsidRPr="00B57A34">
        <w:rPr>
          <w:b/>
          <w:bCs/>
          <w:sz w:val="28"/>
          <w:szCs w:val="28"/>
        </w:rPr>
        <w:t>Background and Investment Objectives</w:t>
      </w:r>
    </w:p>
    <w:p w14:paraId="6FE73331" w14:textId="753F74F1" w:rsidR="00D20084" w:rsidRPr="00395570" w:rsidRDefault="00D20084" w:rsidP="0040745D">
      <w:pPr>
        <w:rPr>
          <w:rFonts w:ascii="Times New Roman" w:hAnsi="Times New Roman" w:cs="Times New Roman"/>
        </w:rPr>
      </w:pPr>
      <w:r w:rsidRPr="00395570">
        <w:rPr>
          <w:rFonts w:ascii="Times New Roman" w:hAnsi="Times New Roman" w:cs="Times New Roman"/>
        </w:rPr>
        <w:t>The Inger Family Investment Policy Statement (IPS) is designed to establish a clear understanding of their investment goals, objectives, and management policies. Peter Inger, 59, is the founder of Inger</w:t>
      </w:r>
      <w:r w:rsidR="614DEA2D" w:rsidRPr="00395570">
        <w:rPr>
          <w:rFonts w:ascii="Times New Roman" w:hAnsi="Times New Roman" w:cs="Times New Roman"/>
        </w:rPr>
        <w:t xml:space="preserve"> </w:t>
      </w:r>
      <w:r w:rsidRPr="00395570">
        <w:rPr>
          <w:rFonts w:ascii="Times New Roman" w:hAnsi="Times New Roman" w:cs="Times New Roman"/>
        </w:rPr>
        <w:t xml:space="preserve">Marine, a successful boat manufacturing business, and plans to sell the business for $5 million within the next three months and retire. Hilda Inger, 57, is a housewife and beneficiary of a family trust that provides an inflation-indexed annual payment of $75,000. The couple has two children, Christa (25) and Hans (30). </w:t>
      </w:r>
    </w:p>
    <w:p w14:paraId="0FF3FD38" w14:textId="2179E2DD" w:rsidR="00B57A34" w:rsidRPr="00395570" w:rsidRDefault="00D20084" w:rsidP="00D20084">
      <w:pPr>
        <w:ind w:firstLine="720"/>
        <w:rPr>
          <w:rFonts w:ascii="Times New Roman" w:hAnsi="Times New Roman" w:cs="Times New Roman"/>
        </w:rPr>
      </w:pPr>
      <w:r w:rsidRPr="00395570">
        <w:rPr>
          <w:rFonts w:ascii="Times New Roman" w:hAnsi="Times New Roman" w:cs="Times New Roman"/>
        </w:rPr>
        <w:t>The primary objective is to preserve capital while generating a stable income to maintain their standard of living, given Peter</w:t>
      </w:r>
      <w:r w:rsidRPr="00395570">
        <w:rPr>
          <w:rFonts w:ascii="Times New Roman" w:hAnsi="Times New Roman" w:cs="Times New Roman" w:hint="cs"/>
        </w:rPr>
        <w:t>’</w:t>
      </w:r>
      <w:r w:rsidRPr="00395570">
        <w:rPr>
          <w:rFonts w:ascii="Times New Roman" w:hAnsi="Times New Roman" w:cs="Times New Roman"/>
        </w:rPr>
        <w:t>s aversion to risk. The IPS aims to ensure a steady stream of income to support their lifestyle, including Hilda</w:t>
      </w:r>
      <w:r w:rsidRPr="00395570">
        <w:rPr>
          <w:rFonts w:ascii="Times New Roman" w:hAnsi="Times New Roman" w:cs="Times New Roman" w:hint="cs"/>
        </w:rPr>
        <w:t>’</w:t>
      </w:r>
      <w:r w:rsidRPr="00395570">
        <w:rPr>
          <w:rFonts w:ascii="Times New Roman" w:hAnsi="Times New Roman" w:cs="Times New Roman"/>
        </w:rPr>
        <w:t>s trust income and potential income from investments, while achieving moderate growth to keep pace with inflation and support future financial needs, such as building a new home. Peter is risk-averse, preferring low-risk investments and holding a position in gold bullion, while Hilda is risk-neutral with no strong preference for high-risk or low-risk investments. The investment time horizon includes immediate liquidity needs for the next 3-5 years, such as the sale of Inger</w:t>
      </w:r>
      <w:r w:rsidR="7ACF0490" w:rsidRPr="00395570">
        <w:rPr>
          <w:rFonts w:ascii="Times New Roman" w:hAnsi="Times New Roman" w:cs="Times New Roman"/>
        </w:rPr>
        <w:t xml:space="preserve"> </w:t>
      </w:r>
      <w:r w:rsidRPr="00395570">
        <w:rPr>
          <w:rFonts w:ascii="Times New Roman" w:hAnsi="Times New Roman" w:cs="Times New Roman"/>
        </w:rPr>
        <w:t xml:space="preserve">Marine and building a new home, and long-term planning for retirement and financial stability for the remainder of their lives. The asset allocation will include </w:t>
      </w:r>
      <w:r w:rsidR="00663A24" w:rsidRPr="00395570">
        <w:rPr>
          <w:rFonts w:ascii="Times New Roman" w:hAnsi="Times New Roman" w:cs="Times New Roman"/>
        </w:rPr>
        <w:t>4</w:t>
      </w:r>
      <w:r w:rsidR="00C03270" w:rsidRPr="00395570">
        <w:rPr>
          <w:rFonts w:ascii="Times New Roman" w:hAnsi="Times New Roman" w:cs="Times New Roman"/>
        </w:rPr>
        <w:t>5</w:t>
      </w:r>
      <w:r w:rsidRPr="00395570">
        <w:rPr>
          <w:rFonts w:ascii="Times New Roman" w:hAnsi="Times New Roman" w:cs="Times New Roman"/>
        </w:rPr>
        <w:t xml:space="preserve">% in fixed income to generate stable income and preserve capital, </w:t>
      </w:r>
      <w:r w:rsidR="007D334A" w:rsidRPr="00395570">
        <w:rPr>
          <w:rFonts w:ascii="Times New Roman" w:hAnsi="Times New Roman" w:cs="Times New Roman"/>
        </w:rPr>
        <w:t>5</w:t>
      </w:r>
      <w:r w:rsidR="00047512" w:rsidRPr="00395570">
        <w:rPr>
          <w:rFonts w:ascii="Times New Roman" w:hAnsi="Times New Roman" w:cs="Times New Roman"/>
        </w:rPr>
        <w:t>5</w:t>
      </w:r>
      <w:r w:rsidRPr="00395570">
        <w:rPr>
          <w:rFonts w:ascii="Times New Roman" w:hAnsi="Times New Roman" w:cs="Times New Roman"/>
        </w:rPr>
        <w:t>% in equities to achieve moderate growth and hedge against inflation</w:t>
      </w:r>
      <w:r w:rsidR="007D334A" w:rsidRPr="00395570">
        <w:rPr>
          <w:rFonts w:ascii="Times New Roman" w:hAnsi="Times New Roman" w:cs="Times New Roman"/>
        </w:rPr>
        <w:t>.</w:t>
      </w:r>
      <w:r w:rsidRPr="00395570">
        <w:rPr>
          <w:rFonts w:ascii="Times New Roman" w:hAnsi="Times New Roman" w:cs="Times New Roman"/>
        </w:rPr>
        <w:t xml:space="preserve"> Investments will be diversified across asset classes to minimize risk, with a preference for high-quality, low-risk investments, especially in fixed income and equities, and sufficient liquidity will be maintained to meet short-term needs and unexpected expenses. </w:t>
      </w:r>
      <w:r w:rsidR="00756182" w:rsidRPr="00395570">
        <w:rPr>
          <w:rFonts w:ascii="Times New Roman" w:hAnsi="Times New Roman" w:cs="Times New Roman"/>
        </w:rPr>
        <w:t>Peter and Hilda</w:t>
      </w:r>
      <w:r w:rsidR="00F15E06" w:rsidRPr="00395570">
        <w:rPr>
          <w:rFonts w:ascii="Times New Roman" w:hAnsi="Times New Roman" w:cs="Times New Roman"/>
        </w:rPr>
        <w:t xml:space="preserve"> have not articulated a specific dollar amount that they wish to leave to their children</w:t>
      </w:r>
      <w:r w:rsidR="009F79A6" w:rsidRPr="00395570">
        <w:rPr>
          <w:rFonts w:ascii="Times New Roman" w:hAnsi="Times New Roman" w:cs="Times New Roman"/>
        </w:rPr>
        <w:t xml:space="preserve">, but </w:t>
      </w:r>
      <w:r w:rsidR="0056397A" w:rsidRPr="00395570">
        <w:rPr>
          <w:rFonts w:ascii="Times New Roman" w:hAnsi="Times New Roman" w:cs="Times New Roman"/>
        </w:rPr>
        <w:t xml:space="preserve">Hilda’s trusts payments </w:t>
      </w:r>
      <w:r w:rsidR="00A627B6" w:rsidRPr="00395570">
        <w:rPr>
          <w:rFonts w:ascii="Times New Roman" w:hAnsi="Times New Roman" w:cs="Times New Roman"/>
        </w:rPr>
        <w:t xml:space="preserve">will stop at her death and will be transferred to a local charity. </w:t>
      </w:r>
      <w:r w:rsidRPr="00395570">
        <w:rPr>
          <w:rFonts w:ascii="Times New Roman" w:hAnsi="Times New Roman" w:cs="Times New Roman"/>
        </w:rPr>
        <w:t>The investment advisor is responsible for implementing the IPS, making investment decisions, and providing regular reports to the Inger family, who are responsible for communicating any changes in their financial situation or objectives to the investment advisor.</w:t>
      </w:r>
    </w:p>
    <w:p w14:paraId="60F8E429" w14:textId="069C7A34" w:rsidR="000869C5" w:rsidRPr="00A7485C" w:rsidRDefault="00A7485C" w:rsidP="00013E24">
      <w:pPr>
        <w:rPr>
          <w:i/>
          <w:iCs/>
        </w:rPr>
      </w:pPr>
      <w:r w:rsidRPr="00A7485C">
        <w:rPr>
          <w:i/>
          <w:iCs/>
        </w:rPr>
        <w:t>Current Combined Market Value</w:t>
      </w:r>
    </w:p>
    <w:p w14:paraId="002B5D3A" w14:textId="127B58C8" w:rsidR="00A7485C" w:rsidRDefault="00A7485C" w:rsidP="00013E24">
      <w:pPr>
        <w:rPr>
          <w:rFonts w:ascii="Times New Roman" w:hAnsi="Times New Roman" w:cs="Times New Roman"/>
        </w:rPr>
      </w:pPr>
      <w:r>
        <w:rPr>
          <w:sz w:val="22"/>
          <w:szCs w:val="22"/>
        </w:rPr>
        <w:tab/>
      </w:r>
      <w:r w:rsidRPr="00CD148E">
        <w:rPr>
          <w:rFonts w:ascii="Times New Roman" w:hAnsi="Times New Roman" w:cs="Times New Roman"/>
        </w:rPr>
        <w:t>$100,000</w:t>
      </w:r>
    </w:p>
    <w:p w14:paraId="0AB0D51A" w14:textId="77777777" w:rsidR="00B56922" w:rsidRPr="004418E5" w:rsidRDefault="00B56922" w:rsidP="00013E24">
      <w:pPr>
        <w:rPr>
          <w:rFonts w:ascii="Times New Roman" w:hAnsi="Times New Roman" w:cs="Times New Roman"/>
        </w:rPr>
      </w:pPr>
    </w:p>
    <w:p w14:paraId="43482191" w14:textId="2452C48E" w:rsidR="00A7485C" w:rsidRDefault="00A7485C" w:rsidP="00013E24">
      <w:pPr>
        <w:rPr>
          <w:b/>
          <w:bCs/>
          <w:sz w:val="28"/>
          <w:szCs w:val="28"/>
        </w:rPr>
      </w:pPr>
      <w:r w:rsidRPr="00B56922">
        <w:rPr>
          <w:b/>
          <w:bCs/>
          <w:sz w:val="28"/>
          <w:szCs w:val="28"/>
        </w:rPr>
        <w:t>Investment Parameters</w:t>
      </w:r>
    </w:p>
    <w:p w14:paraId="2B5C5E53" w14:textId="4D5A9024" w:rsidR="00B56922" w:rsidRDefault="00B56922" w:rsidP="00013E24">
      <w:pPr>
        <w:rPr>
          <w:i/>
          <w:iCs/>
        </w:rPr>
      </w:pPr>
      <w:r>
        <w:rPr>
          <w:i/>
          <w:iCs/>
        </w:rPr>
        <w:t>Risk Tolerance</w:t>
      </w:r>
    </w:p>
    <w:p w14:paraId="7F71D027" w14:textId="5AEBFCF4" w:rsidR="00350CE3" w:rsidRPr="00CD148E" w:rsidRDefault="00065ACB" w:rsidP="00013E24">
      <w:pPr>
        <w:rPr>
          <w:rFonts w:ascii="Times New Roman" w:hAnsi="Times New Roman" w:cs="Times New Roman"/>
        </w:rPr>
      </w:pPr>
      <w:r w:rsidRPr="00CD148E">
        <w:rPr>
          <w:rFonts w:ascii="Times New Roman" w:hAnsi="Times New Roman" w:cs="Times New Roman"/>
        </w:rPr>
        <w:lastRenderedPageBreak/>
        <w:t>Peter is risk-averse, preferring low-risk investments, while Hilda is risk-neutral with no strong preference for high-risk or low-risk investments.</w:t>
      </w:r>
    </w:p>
    <w:p w14:paraId="04CD2C3B" w14:textId="54AD2DF9" w:rsidR="00350CE3" w:rsidRDefault="00350CE3" w:rsidP="00013E24">
      <w:pPr>
        <w:rPr>
          <w:i/>
          <w:iCs/>
        </w:rPr>
      </w:pPr>
      <w:r>
        <w:rPr>
          <w:i/>
          <w:iCs/>
        </w:rPr>
        <w:t>Investment Time Horizon</w:t>
      </w:r>
    </w:p>
    <w:p w14:paraId="58B0416B" w14:textId="74826FB2" w:rsidR="00350CE3" w:rsidRPr="00CD148E" w:rsidRDefault="00C2322E" w:rsidP="00013E24">
      <w:pPr>
        <w:rPr>
          <w:rFonts w:ascii="Times New Roman" w:hAnsi="Times New Roman" w:cs="Times New Roman"/>
        </w:rPr>
      </w:pPr>
      <w:r w:rsidRPr="00CD148E">
        <w:rPr>
          <w:rFonts w:ascii="Times New Roman" w:hAnsi="Times New Roman" w:cs="Times New Roman"/>
        </w:rPr>
        <w:t xml:space="preserve">The investment time horizon includes immediate liquidity needs for the next 3-5 years, such as the sale of </w:t>
      </w:r>
      <w:proofErr w:type="spellStart"/>
      <w:r w:rsidRPr="00CD148E">
        <w:rPr>
          <w:rFonts w:ascii="Times New Roman" w:hAnsi="Times New Roman" w:cs="Times New Roman"/>
        </w:rPr>
        <w:t>IngerMarine</w:t>
      </w:r>
      <w:proofErr w:type="spellEnd"/>
      <w:r w:rsidRPr="00CD148E">
        <w:rPr>
          <w:rFonts w:ascii="Times New Roman" w:hAnsi="Times New Roman" w:cs="Times New Roman"/>
        </w:rPr>
        <w:t xml:space="preserve"> and building a new home, and long-term planning for retirement and financial stability for the remainder of their lives.</w:t>
      </w:r>
    </w:p>
    <w:p w14:paraId="7F5E7D1D" w14:textId="7A2324DD" w:rsidR="00350CE3" w:rsidRDefault="00350CE3" w:rsidP="00013E24">
      <w:pPr>
        <w:rPr>
          <w:i/>
          <w:iCs/>
        </w:rPr>
      </w:pPr>
      <w:r>
        <w:rPr>
          <w:i/>
          <w:iCs/>
        </w:rPr>
        <w:t>Asset Class Preference</w:t>
      </w:r>
    </w:p>
    <w:p w14:paraId="4D954D1B" w14:textId="3F6DC410" w:rsidR="007C337B" w:rsidRPr="00CD148E" w:rsidRDefault="00C346B9" w:rsidP="00013E24">
      <w:pPr>
        <w:rPr>
          <w:rFonts w:ascii="Times New Roman" w:hAnsi="Times New Roman" w:cs="Times New Roman"/>
        </w:rPr>
      </w:pPr>
      <w:r w:rsidRPr="00CD148E">
        <w:rPr>
          <w:rFonts w:ascii="Times New Roman" w:hAnsi="Times New Roman" w:cs="Times New Roman"/>
        </w:rPr>
        <w:t>We</w:t>
      </w:r>
      <w:r w:rsidR="005805D6" w:rsidRPr="00CD148E">
        <w:rPr>
          <w:rFonts w:ascii="Times New Roman" w:hAnsi="Times New Roman" w:cs="Times New Roman"/>
        </w:rPr>
        <w:t xml:space="preserve"> have selected the following asset classes:</w:t>
      </w:r>
    </w:p>
    <w:p w14:paraId="44A4EE15" w14:textId="7E14D461" w:rsidR="005805D6" w:rsidRPr="00CD148E" w:rsidRDefault="00CB43E3" w:rsidP="00FB7BFB">
      <w:pPr>
        <w:pStyle w:val="ListParagraph"/>
        <w:numPr>
          <w:ilvl w:val="0"/>
          <w:numId w:val="40"/>
        </w:numPr>
        <w:rPr>
          <w:rFonts w:ascii="Times New Roman" w:hAnsi="Times New Roman" w:cs="Times New Roman"/>
        </w:rPr>
      </w:pPr>
      <w:r w:rsidRPr="00CD148E">
        <w:rPr>
          <w:rFonts w:ascii="Times New Roman" w:hAnsi="Times New Roman" w:cs="Times New Roman"/>
        </w:rPr>
        <w:t>US Stocks</w:t>
      </w:r>
    </w:p>
    <w:p w14:paraId="12594789" w14:textId="4CB38758" w:rsidR="00CB43E3" w:rsidRPr="00CD148E" w:rsidRDefault="00F31498" w:rsidP="00FB7BFB">
      <w:pPr>
        <w:pStyle w:val="ListParagraph"/>
        <w:numPr>
          <w:ilvl w:val="0"/>
          <w:numId w:val="40"/>
        </w:numPr>
        <w:rPr>
          <w:rFonts w:ascii="Times New Roman" w:hAnsi="Times New Roman" w:cs="Times New Roman"/>
        </w:rPr>
      </w:pPr>
      <w:r w:rsidRPr="00CD148E">
        <w:rPr>
          <w:rFonts w:ascii="Times New Roman" w:hAnsi="Times New Roman" w:cs="Times New Roman"/>
        </w:rPr>
        <w:t>Long-term bond</w:t>
      </w:r>
      <w:r w:rsidR="003249D5">
        <w:rPr>
          <w:rFonts w:ascii="Times New Roman" w:hAnsi="Times New Roman" w:cs="Times New Roman"/>
        </w:rPr>
        <w:t xml:space="preserve"> ETFs </w:t>
      </w:r>
    </w:p>
    <w:p w14:paraId="7AF35059" w14:textId="534F6582" w:rsidR="00F31498" w:rsidRPr="00CD148E" w:rsidRDefault="0042644C" w:rsidP="00FB7BFB">
      <w:pPr>
        <w:pStyle w:val="ListParagraph"/>
        <w:numPr>
          <w:ilvl w:val="0"/>
          <w:numId w:val="40"/>
        </w:numPr>
        <w:rPr>
          <w:rFonts w:ascii="Times New Roman" w:hAnsi="Times New Roman" w:cs="Times New Roman"/>
        </w:rPr>
      </w:pPr>
      <w:r w:rsidRPr="00CD148E">
        <w:rPr>
          <w:rFonts w:ascii="Times New Roman" w:hAnsi="Times New Roman" w:cs="Times New Roman"/>
        </w:rPr>
        <w:t>Short</w:t>
      </w:r>
      <w:r w:rsidR="004F4013" w:rsidRPr="00CD148E">
        <w:rPr>
          <w:rFonts w:ascii="Times New Roman" w:hAnsi="Times New Roman" w:cs="Times New Roman"/>
        </w:rPr>
        <w:t>-term debt investments</w:t>
      </w:r>
    </w:p>
    <w:p w14:paraId="23D7F169" w14:textId="1E5C248C" w:rsidR="003928C7" w:rsidRPr="00CD148E" w:rsidRDefault="003928C7" w:rsidP="00FB7BFB">
      <w:pPr>
        <w:pStyle w:val="ListParagraph"/>
        <w:numPr>
          <w:ilvl w:val="0"/>
          <w:numId w:val="40"/>
        </w:numPr>
        <w:rPr>
          <w:rFonts w:ascii="Times New Roman" w:hAnsi="Times New Roman" w:cs="Times New Roman"/>
        </w:rPr>
      </w:pPr>
      <w:r w:rsidRPr="00CD148E">
        <w:rPr>
          <w:rFonts w:ascii="Times New Roman" w:hAnsi="Times New Roman" w:cs="Times New Roman"/>
        </w:rPr>
        <w:t>Intermediate-term bond</w:t>
      </w:r>
      <w:r w:rsidR="003249D5">
        <w:rPr>
          <w:rFonts w:ascii="Times New Roman" w:hAnsi="Times New Roman" w:cs="Times New Roman"/>
        </w:rPr>
        <w:t xml:space="preserve"> ETFs</w:t>
      </w:r>
    </w:p>
    <w:p w14:paraId="069E6DBE" w14:textId="200DD446" w:rsidR="00350CE3" w:rsidRDefault="00350CE3" w:rsidP="00013E24">
      <w:pPr>
        <w:rPr>
          <w:i/>
          <w:iCs/>
        </w:rPr>
      </w:pPr>
      <w:r>
        <w:rPr>
          <w:i/>
          <w:iCs/>
        </w:rPr>
        <w:t>Other Investment Preferences</w:t>
      </w:r>
    </w:p>
    <w:p w14:paraId="74B0C152" w14:textId="0BF60876" w:rsidR="005D7A0D" w:rsidRPr="00CD148E" w:rsidRDefault="005D7A0D" w:rsidP="005D7A0D">
      <w:pPr>
        <w:rPr>
          <w:rFonts w:ascii="Times New Roman" w:hAnsi="Times New Roman" w:cs="Times New Roman"/>
        </w:rPr>
      </w:pPr>
      <w:r w:rsidRPr="00CD148E">
        <w:rPr>
          <w:rFonts w:ascii="Times New Roman" w:hAnsi="Times New Roman" w:cs="Times New Roman"/>
        </w:rPr>
        <w:t>Peter already holds a position in gold bullion, which he intends to hold for the foreseeable future.</w:t>
      </w:r>
      <w:r w:rsidR="009F37A8" w:rsidRPr="00CD148E">
        <w:rPr>
          <w:rFonts w:ascii="Times New Roman" w:hAnsi="Times New Roman" w:cs="Times New Roman"/>
        </w:rPr>
        <w:t xml:space="preserve"> The wealth manager has taken his </w:t>
      </w:r>
      <w:r w:rsidR="00647668" w:rsidRPr="00CD148E">
        <w:rPr>
          <w:rFonts w:ascii="Times New Roman" w:hAnsi="Times New Roman" w:cs="Times New Roman"/>
        </w:rPr>
        <w:t>interest in commodities into consideration</w:t>
      </w:r>
      <w:r w:rsidR="001A6355" w:rsidRPr="00CD148E">
        <w:rPr>
          <w:rFonts w:ascii="Times New Roman" w:hAnsi="Times New Roman" w:cs="Times New Roman"/>
        </w:rPr>
        <w:t>.</w:t>
      </w:r>
    </w:p>
    <w:p w14:paraId="45832FE7" w14:textId="7D3EFE5A" w:rsidR="00350CE3" w:rsidRPr="005D7A0D" w:rsidRDefault="00350CE3" w:rsidP="005D7A0D">
      <w:pPr>
        <w:rPr>
          <w:sz w:val="22"/>
          <w:szCs w:val="22"/>
        </w:rPr>
      </w:pPr>
      <w:r>
        <w:rPr>
          <w:i/>
          <w:iCs/>
        </w:rPr>
        <w:t>Liquidity Preferences</w:t>
      </w:r>
    </w:p>
    <w:p w14:paraId="090BD00F" w14:textId="5B1153C2" w:rsidR="00856651" w:rsidRPr="00DD46BD" w:rsidRDefault="00856651" w:rsidP="00013E24">
      <w:pPr>
        <w:rPr>
          <w:rFonts w:ascii="Times New Roman" w:hAnsi="Times New Roman" w:cs="Times New Roman"/>
        </w:rPr>
      </w:pPr>
      <w:r w:rsidRPr="00DD46BD">
        <w:rPr>
          <w:rFonts w:ascii="Times New Roman" w:hAnsi="Times New Roman" w:cs="Times New Roman"/>
        </w:rPr>
        <w:t xml:space="preserve">Peter and Hilda do not </w:t>
      </w:r>
      <w:r w:rsidR="00DD46BD" w:rsidRPr="00DD46BD">
        <w:rPr>
          <w:rFonts w:ascii="Times New Roman" w:hAnsi="Times New Roman" w:cs="Times New Roman"/>
        </w:rPr>
        <w:t>prefer</w:t>
      </w:r>
      <w:r w:rsidRPr="00DD46BD">
        <w:rPr>
          <w:rFonts w:ascii="Times New Roman" w:hAnsi="Times New Roman" w:cs="Times New Roman"/>
        </w:rPr>
        <w:t xml:space="preserve"> a specific cash amount in their portfolio. However, given their plans to purchase a new home soon, we will need to maintain liquidity through cash or cash equivalents.</w:t>
      </w:r>
    </w:p>
    <w:p w14:paraId="1B85B7D8" w14:textId="4D6DD186" w:rsidR="00350CE3" w:rsidRDefault="00350CE3" w:rsidP="00013E24">
      <w:pPr>
        <w:rPr>
          <w:i/>
          <w:iCs/>
        </w:rPr>
      </w:pPr>
      <w:r>
        <w:rPr>
          <w:i/>
          <w:iCs/>
        </w:rPr>
        <w:t>Constraints</w:t>
      </w:r>
    </w:p>
    <w:p w14:paraId="5B68AEA4" w14:textId="54F3DA7E" w:rsidR="00DE1F38" w:rsidRPr="00DD46BD" w:rsidRDefault="00935061" w:rsidP="00013E24">
      <w:pPr>
        <w:rPr>
          <w:rFonts w:ascii="Times New Roman" w:hAnsi="Times New Roman" w:cs="Times New Roman"/>
        </w:rPr>
      </w:pPr>
      <w:r w:rsidRPr="00DD46BD">
        <w:rPr>
          <w:rFonts w:ascii="Times New Roman" w:hAnsi="Times New Roman" w:cs="Times New Roman"/>
        </w:rPr>
        <w:t xml:space="preserve">Although we don’t know the </w:t>
      </w:r>
      <w:r w:rsidR="00CE2049" w:rsidRPr="00DD46BD">
        <w:rPr>
          <w:rFonts w:ascii="Times New Roman" w:hAnsi="Times New Roman" w:cs="Times New Roman"/>
        </w:rPr>
        <w:t>number,</w:t>
      </w:r>
      <w:r w:rsidRPr="00DD46BD">
        <w:rPr>
          <w:rFonts w:ascii="Times New Roman" w:hAnsi="Times New Roman" w:cs="Times New Roman"/>
        </w:rPr>
        <w:t xml:space="preserve"> we could only assume that the sale of the home </w:t>
      </w:r>
      <w:r w:rsidR="009D6A56" w:rsidRPr="00DD46BD">
        <w:rPr>
          <w:rFonts w:ascii="Times New Roman" w:hAnsi="Times New Roman" w:cs="Times New Roman"/>
        </w:rPr>
        <w:t>would call for some sizable taxable capital gains.</w:t>
      </w:r>
    </w:p>
    <w:p w14:paraId="701617E3" w14:textId="77777777" w:rsidR="00350CE3" w:rsidRDefault="00350CE3" w:rsidP="00013E24"/>
    <w:p w14:paraId="06790CD6" w14:textId="6E2D6014" w:rsidR="00CC067E" w:rsidRPr="00DD46BD" w:rsidRDefault="00DE1F38" w:rsidP="00013E24">
      <w:pPr>
        <w:rPr>
          <w:b/>
          <w:sz w:val="28"/>
          <w:szCs w:val="28"/>
        </w:rPr>
      </w:pPr>
      <w:r w:rsidRPr="00DD46BD">
        <w:rPr>
          <w:b/>
          <w:sz w:val="28"/>
          <w:szCs w:val="28"/>
        </w:rPr>
        <w:t>Portfolio Asset Allocation</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330"/>
        <w:gridCol w:w="1910"/>
        <w:gridCol w:w="1960"/>
        <w:gridCol w:w="2150"/>
      </w:tblGrid>
      <w:tr w:rsidR="00E429CE" w14:paraId="19683344" w14:textId="77777777" w:rsidTr="004F4013">
        <w:tc>
          <w:tcPr>
            <w:tcW w:w="3330" w:type="dxa"/>
          </w:tcPr>
          <w:p w14:paraId="43748C90" w14:textId="77777777" w:rsidR="00E429CE" w:rsidRPr="00DD46BD" w:rsidRDefault="00E429CE" w:rsidP="00013E24">
            <w:pPr>
              <w:rPr>
                <w:rFonts w:ascii="Times New Roman" w:hAnsi="Times New Roman" w:cs="Times New Roman"/>
              </w:rPr>
            </w:pPr>
          </w:p>
        </w:tc>
        <w:tc>
          <w:tcPr>
            <w:tcW w:w="1910" w:type="dxa"/>
          </w:tcPr>
          <w:p w14:paraId="69413744" w14:textId="4507A382" w:rsidR="00E429CE" w:rsidRPr="00DD46BD" w:rsidRDefault="00E429CE" w:rsidP="000A5028">
            <w:pPr>
              <w:jc w:val="center"/>
              <w:rPr>
                <w:rFonts w:ascii="Times New Roman" w:hAnsi="Times New Roman" w:cs="Times New Roman"/>
              </w:rPr>
            </w:pPr>
            <w:r w:rsidRPr="00DD46BD">
              <w:rPr>
                <w:rFonts w:ascii="Times New Roman" w:hAnsi="Times New Roman" w:cs="Times New Roman"/>
              </w:rPr>
              <w:t>Lower Rebalancing L</w:t>
            </w:r>
            <w:r w:rsidR="004D279B" w:rsidRPr="00DD46BD">
              <w:rPr>
                <w:rFonts w:ascii="Times New Roman" w:hAnsi="Times New Roman" w:cs="Times New Roman"/>
              </w:rPr>
              <w:t>imit</w:t>
            </w:r>
          </w:p>
        </w:tc>
        <w:tc>
          <w:tcPr>
            <w:tcW w:w="1960" w:type="dxa"/>
          </w:tcPr>
          <w:p w14:paraId="05F22C6F" w14:textId="497DE96E" w:rsidR="00E429CE" w:rsidRPr="00DD46BD" w:rsidRDefault="004D279B" w:rsidP="000A5028">
            <w:pPr>
              <w:jc w:val="center"/>
              <w:rPr>
                <w:rFonts w:ascii="Times New Roman" w:hAnsi="Times New Roman" w:cs="Times New Roman"/>
              </w:rPr>
            </w:pPr>
            <w:r w:rsidRPr="00DD46BD">
              <w:rPr>
                <w:rFonts w:ascii="Times New Roman" w:hAnsi="Times New Roman" w:cs="Times New Roman"/>
              </w:rPr>
              <w:t>Strategic Allocation</w:t>
            </w:r>
          </w:p>
        </w:tc>
        <w:tc>
          <w:tcPr>
            <w:tcW w:w="2150" w:type="dxa"/>
          </w:tcPr>
          <w:p w14:paraId="369F540C" w14:textId="316F0187" w:rsidR="00E429CE" w:rsidRPr="00DD46BD" w:rsidRDefault="00651C08" w:rsidP="000A5028">
            <w:pPr>
              <w:jc w:val="center"/>
              <w:rPr>
                <w:rFonts w:ascii="Times New Roman" w:hAnsi="Times New Roman" w:cs="Times New Roman"/>
              </w:rPr>
            </w:pPr>
            <w:r w:rsidRPr="00DD46BD">
              <w:rPr>
                <w:rFonts w:ascii="Times New Roman" w:hAnsi="Times New Roman" w:cs="Times New Roman"/>
              </w:rPr>
              <w:t>Upper Rebalancing Limit</w:t>
            </w:r>
          </w:p>
        </w:tc>
      </w:tr>
      <w:tr w:rsidR="00E429CE" w14:paraId="3BC819E6" w14:textId="77777777" w:rsidTr="004F4013">
        <w:tc>
          <w:tcPr>
            <w:tcW w:w="3330" w:type="dxa"/>
          </w:tcPr>
          <w:p w14:paraId="4D83888D" w14:textId="59E1BAC7" w:rsidR="00E429CE" w:rsidRPr="00DD46BD" w:rsidRDefault="00DA10C2" w:rsidP="00013E24">
            <w:pPr>
              <w:rPr>
                <w:rFonts w:ascii="Times New Roman" w:hAnsi="Times New Roman" w:cs="Times New Roman"/>
              </w:rPr>
            </w:pPr>
            <w:bookmarkStart w:id="0" w:name="OLE_LINK1"/>
            <w:r w:rsidRPr="00DD46BD">
              <w:rPr>
                <w:rFonts w:ascii="Times New Roman" w:hAnsi="Times New Roman" w:cs="Times New Roman"/>
              </w:rPr>
              <w:t>U.S Stocks</w:t>
            </w:r>
          </w:p>
        </w:tc>
        <w:tc>
          <w:tcPr>
            <w:tcW w:w="1910" w:type="dxa"/>
          </w:tcPr>
          <w:p w14:paraId="4A1A62B0" w14:textId="13F25792" w:rsidR="00E429CE" w:rsidRPr="00DD46BD" w:rsidRDefault="00922559" w:rsidP="006F6EA9">
            <w:pPr>
              <w:jc w:val="center"/>
              <w:rPr>
                <w:rFonts w:ascii="Times New Roman" w:hAnsi="Times New Roman" w:cs="Times New Roman"/>
              </w:rPr>
            </w:pPr>
            <w:r w:rsidRPr="00DD46BD">
              <w:rPr>
                <w:rFonts w:ascii="Times New Roman" w:hAnsi="Times New Roman" w:cs="Times New Roman"/>
              </w:rPr>
              <w:t>50%</w:t>
            </w:r>
          </w:p>
        </w:tc>
        <w:tc>
          <w:tcPr>
            <w:tcW w:w="1960" w:type="dxa"/>
          </w:tcPr>
          <w:p w14:paraId="7148CF21" w14:textId="5A4A0721" w:rsidR="00E429CE" w:rsidRPr="00DD46BD" w:rsidRDefault="006F6EA9" w:rsidP="006F6EA9">
            <w:pPr>
              <w:jc w:val="center"/>
              <w:rPr>
                <w:rFonts w:ascii="Times New Roman" w:hAnsi="Times New Roman" w:cs="Times New Roman"/>
              </w:rPr>
            </w:pPr>
            <w:r w:rsidRPr="00DD46BD">
              <w:rPr>
                <w:rFonts w:ascii="Times New Roman" w:hAnsi="Times New Roman" w:cs="Times New Roman"/>
              </w:rPr>
              <w:t>55%</w:t>
            </w:r>
          </w:p>
        </w:tc>
        <w:tc>
          <w:tcPr>
            <w:tcW w:w="2150" w:type="dxa"/>
          </w:tcPr>
          <w:p w14:paraId="113F12FC" w14:textId="0433A6BB" w:rsidR="00E429CE" w:rsidRPr="00DD46BD" w:rsidRDefault="00922559" w:rsidP="006F6EA9">
            <w:pPr>
              <w:jc w:val="center"/>
              <w:rPr>
                <w:rFonts w:ascii="Times New Roman" w:hAnsi="Times New Roman" w:cs="Times New Roman"/>
              </w:rPr>
            </w:pPr>
            <w:r w:rsidRPr="00DD46BD">
              <w:rPr>
                <w:rFonts w:ascii="Times New Roman" w:hAnsi="Times New Roman" w:cs="Times New Roman"/>
              </w:rPr>
              <w:t>60%</w:t>
            </w:r>
          </w:p>
        </w:tc>
      </w:tr>
      <w:tr w:rsidR="00E429CE" w14:paraId="32F81480" w14:textId="77777777" w:rsidTr="004F4013">
        <w:tc>
          <w:tcPr>
            <w:tcW w:w="3330" w:type="dxa"/>
          </w:tcPr>
          <w:p w14:paraId="069669EB" w14:textId="7244BF0D" w:rsidR="00E429CE" w:rsidRPr="00DD46BD" w:rsidRDefault="00A201E6" w:rsidP="00013E24">
            <w:pPr>
              <w:rPr>
                <w:rFonts w:ascii="Times New Roman" w:hAnsi="Times New Roman" w:cs="Times New Roman"/>
              </w:rPr>
            </w:pPr>
            <w:r w:rsidRPr="00DD46BD">
              <w:rPr>
                <w:rFonts w:ascii="Times New Roman" w:hAnsi="Times New Roman" w:cs="Times New Roman"/>
              </w:rPr>
              <w:t>Long</w:t>
            </w:r>
            <w:r w:rsidR="001D75A5" w:rsidRPr="00DD46BD">
              <w:rPr>
                <w:rFonts w:ascii="Times New Roman" w:hAnsi="Times New Roman" w:cs="Times New Roman"/>
              </w:rPr>
              <w:t>-term bonds</w:t>
            </w:r>
          </w:p>
        </w:tc>
        <w:tc>
          <w:tcPr>
            <w:tcW w:w="1910" w:type="dxa"/>
          </w:tcPr>
          <w:p w14:paraId="536A1C49" w14:textId="3E13F893" w:rsidR="00E429CE" w:rsidRPr="00DD46BD" w:rsidRDefault="0053305E" w:rsidP="006F6EA9">
            <w:pPr>
              <w:jc w:val="center"/>
              <w:rPr>
                <w:rFonts w:ascii="Times New Roman" w:hAnsi="Times New Roman" w:cs="Times New Roman"/>
              </w:rPr>
            </w:pPr>
            <w:r w:rsidRPr="00DD46BD">
              <w:rPr>
                <w:rFonts w:ascii="Times New Roman" w:hAnsi="Times New Roman" w:cs="Times New Roman"/>
              </w:rPr>
              <w:t>7</w:t>
            </w:r>
            <w:r w:rsidR="0039334A" w:rsidRPr="00DD46BD">
              <w:rPr>
                <w:rFonts w:ascii="Times New Roman" w:hAnsi="Times New Roman" w:cs="Times New Roman"/>
              </w:rPr>
              <w:t>%</w:t>
            </w:r>
          </w:p>
        </w:tc>
        <w:tc>
          <w:tcPr>
            <w:tcW w:w="1960" w:type="dxa"/>
          </w:tcPr>
          <w:p w14:paraId="28CBF40A" w14:textId="2DCD2963" w:rsidR="00E429CE" w:rsidRPr="00DD46BD" w:rsidRDefault="00DE785A" w:rsidP="006F6EA9">
            <w:pPr>
              <w:jc w:val="center"/>
              <w:rPr>
                <w:rFonts w:ascii="Times New Roman" w:hAnsi="Times New Roman" w:cs="Times New Roman"/>
              </w:rPr>
            </w:pPr>
            <w:r w:rsidRPr="00DD46BD">
              <w:rPr>
                <w:rFonts w:ascii="Times New Roman" w:hAnsi="Times New Roman" w:cs="Times New Roman"/>
              </w:rPr>
              <w:t>9</w:t>
            </w:r>
            <w:r w:rsidR="0039334A" w:rsidRPr="00DD46BD">
              <w:rPr>
                <w:rFonts w:ascii="Times New Roman" w:hAnsi="Times New Roman" w:cs="Times New Roman"/>
              </w:rPr>
              <w:t>%</w:t>
            </w:r>
          </w:p>
        </w:tc>
        <w:tc>
          <w:tcPr>
            <w:tcW w:w="2150" w:type="dxa"/>
          </w:tcPr>
          <w:p w14:paraId="335DDD1B" w14:textId="0293035D" w:rsidR="00E429CE" w:rsidRPr="00DD46BD" w:rsidRDefault="0053305E" w:rsidP="006F6EA9">
            <w:pPr>
              <w:jc w:val="center"/>
              <w:rPr>
                <w:rFonts w:ascii="Times New Roman" w:hAnsi="Times New Roman" w:cs="Times New Roman"/>
              </w:rPr>
            </w:pPr>
            <w:r w:rsidRPr="00DD46BD">
              <w:rPr>
                <w:rFonts w:ascii="Times New Roman" w:hAnsi="Times New Roman" w:cs="Times New Roman"/>
              </w:rPr>
              <w:t>11</w:t>
            </w:r>
            <w:r w:rsidR="0039334A" w:rsidRPr="00DD46BD">
              <w:rPr>
                <w:rFonts w:ascii="Times New Roman" w:hAnsi="Times New Roman" w:cs="Times New Roman"/>
              </w:rPr>
              <w:t>%</w:t>
            </w:r>
          </w:p>
        </w:tc>
      </w:tr>
      <w:tr w:rsidR="00D06A6F" w14:paraId="6A423710" w14:textId="77777777" w:rsidTr="004F4013">
        <w:tc>
          <w:tcPr>
            <w:tcW w:w="3330" w:type="dxa"/>
          </w:tcPr>
          <w:p w14:paraId="311E1381" w14:textId="7E0D5AC8" w:rsidR="00D06A6F" w:rsidRPr="00DD46BD" w:rsidRDefault="00D06A6F" w:rsidP="00013E24">
            <w:pPr>
              <w:rPr>
                <w:rFonts w:ascii="Times New Roman" w:hAnsi="Times New Roman" w:cs="Times New Roman"/>
              </w:rPr>
            </w:pPr>
            <w:r w:rsidRPr="00DD46BD">
              <w:rPr>
                <w:rFonts w:ascii="Times New Roman" w:hAnsi="Times New Roman" w:cs="Times New Roman"/>
              </w:rPr>
              <w:t>Intermediate</w:t>
            </w:r>
            <w:r w:rsidR="000D57C6" w:rsidRPr="00DD46BD">
              <w:rPr>
                <w:rFonts w:ascii="Times New Roman" w:hAnsi="Times New Roman" w:cs="Times New Roman"/>
              </w:rPr>
              <w:t>-term</w:t>
            </w:r>
            <w:r w:rsidRPr="00DD46BD">
              <w:rPr>
                <w:rFonts w:ascii="Times New Roman" w:hAnsi="Times New Roman" w:cs="Times New Roman"/>
              </w:rPr>
              <w:t xml:space="preserve"> bonds</w:t>
            </w:r>
          </w:p>
        </w:tc>
        <w:tc>
          <w:tcPr>
            <w:tcW w:w="1910" w:type="dxa"/>
          </w:tcPr>
          <w:p w14:paraId="69DF097D" w14:textId="5064E7AC" w:rsidR="00D06A6F" w:rsidRPr="00DD46BD" w:rsidRDefault="0053305E" w:rsidP="006F6EA9">
            <w:pPr>
              <w:jc w:val="center"/>
              <w:rPr>
                <w:rFonts w:ascii="Times New Roman" w:hAnsi="Times New Roman" w:cs="Times New Roman"/>
              </w:rPr>
            </w:pPr>
            <w:r w:rsidRPr="00DD46BD">
              <w:rPr>
                <w:rFonts w:ascii="Times New Roman" w:hAnsi="Times New Roman" w:cs="Times New Roman"/>
              </w:rPr>
              <w:t>14</w:t>
            </w:r>
            <w:r w:rsidR="004C6936" w:rsidRPr="00DD46BD">
              <w:rPr>
                <w:rFonts w:ascii="Times New Roman" w:hAnsi="Times New Roman" w:cs="Times New Roman"/>
              </w:rPr>
              <w:t>%</w:t>
            </w:r>
          </w:p>
        </w:tc>
        <w:tc>
          <w:tcPr>
            <w:tcW w:w="1960" w:type="dxa"/>
          </w:tcPr>
          <w:p w14:paraId="2C7BE125" w14:textId="19604EB7" w:rsidR="00D06A6F" w:rsidRPr="00DD46BD" w:rsidRDefault="00DE785A" w:rsidP="006F6EA9">
            <w:pPr>
              <w:jc w:val="center"/>
              <w:rPr>
                <w:rFonts w:ascii="Times New Roman" w:hAnsi="Times New Roman" w:cs="Times New Roman"/>
              </w:rPr>
            </w:pPr>
            <w:r w:rsidRPr="00DD46BD">
              <w:rPr>
                <w:rFonts w:ascii="Times New Roman" w:hAnsi="Times New Roman" w:cs="Times New Roman"/>
              </w:rPr>
              <w:t>1</w:t>
            </w:r>
            <w:r w:rsidR="0053305E" w:rsidRPr="00DD46BD">
              <w:rPr>
                <w:rFonts w:ascii="Times New Roman" w:hAnsi="Times New Roman" w:cs="Times New Roman"/>
              </w:rPr>
              <w:t>8</w:t>
            </w:r>
            <w:r w:rsidR="004C6936" w:rsidRPr="00DD46BD">
              <w:rPr>
                <w:rFonts w:ascii="Times New Roman" w:hAnsi="Times New Roman" w:cs="Times New Roman"/>
              </w:rPr>
              <w:t>%</w:t>
            </w:r>
          </w:p>
        </w:tc>
        <w:tc>
          <w:tcPr>
            <w:tcW w:w="2150" w:type="dxa"/>
          </w:tcPr>
          <w:p w14:paraId="27790F07" w14:textId="49C14D16" w:rsidR="00D06A6F" w:rsidRPr="00DD46BD" w:rsidRDefault="0053305E" w:rsidP="006F6EA9">
            <w:pPr>
              <w:jc w:val="center"/>
              <w:rPr>
                <w:rFonts w:ascii="Times New Roman" w:hAnsi="Times New Roman" w:cs="Times New Roman"/>
              </w:rPr>
            </w:pPr>
            <w:r w:rsidRPr="00DD46BD">
              <w:rPr>
                <w:rFonts w:ascii="Times New Roman" w:hAnsi="Times New Roman" w:cs="Times New Roman"/>
              </w:rPr>
              <w:t>22</w:t>
            </w:r>
            <w:r w:rsidR="004C6936" w:rsidRPr="00DD46BD">
              <w:rPr>
                <w:rFonts w:ascii="Times New Roman" w:hAnsi="Times New Roman" w:cs="Times New Roman"/>
              </w:rPr>
              <w:t>%</w:t>
            </w:r>
          </w:p>
        </w:tc>
      </w:tr>
      <w:tr w:rsidR="00954B3D" w14:paraId="7C47B33A" w14:textId="77777777" w:rsidTr="004F4013">
        <w:tc>
          <w:tcPr>
            <w:tcW w:w="3330" w:type="dxa"/>
          </w:tcPr>
          <w:p w14:paraId="4E8DFCC3" w14:textId="135B640F" w:rsidR="00954B3D" w:rsidRPr="00DD46BD" w:rsidRDefault="00954B3D" w:rsidP="00013E24">
            <w:pPr>
              <w:rPr>
                <w:rFonts w:ascii="Times New Roman" w:hAnsi="Times New Roman" w:cs="Times New Roman"/>
              </w:rPr>
            </w:pPr>
            <w:r w:rsidRPr="00DD46BD">
              <w:rPr>
                <w:rFonts w:ascii="Times New Roman" w:hAnsi="Times New Roman" w:cs="Times New Roman"/>
              </w:rPr>
              <w:t xml:space="preserve">Short-term </w:t>
            </w:r>
            <w:r w:rsidR="0042644C" w:rsidRPr="00DD46BD">
              <w:rPr>
                <w:rFonts w:ascii="Times New Roman" w:hAnsi="Times New Roman" w:cs="Times New Roman"/>
              </w:rPr>
              <w:t>debt investments</w:t>
            </w:r>
          </w:p>
        </w:tc>
        <w:tc>
          <w:tcPr>
            <w:tcW w:w="1910" w:type="dxa"/>
          </w:tcPr>
          <w:p w14:paraId="3826AFC3" w14:textId="2EF1ADD0" w:rsidR="00954B3D" w:rsidRPr="00DD46BD" w:rsidRDefault="0053305E" w:rsidP="006F6EA9">
            <w:pPr>
              <w:jc w:val="center"/>
              <w:rPr>
                <w:rFonts w:ascii="Times New Roman" w:hAnsi="Times New Roman" w:cs="Times New Roman"/>
              </w:rPr>
            </w:pPr>
            <w:r w:rsidRPr="00DD46BD">
              <w:rPr>
                <w:rFonts w:ascii="Times New Roman" w:hAnsi="Times New Roman" w:cs="Times New Roman"/>
              </w:rPr>
              <w:t>14%</w:t>
            </w:r>
          </w:p>
        </w:tc>
        <w:tc>
          <w:tcPr>
            <w:tcW w:w="1960" w:type="dxa"/>
          </w:tcPr>
          <w:p w14:paraId="3F31AD66" w14:textId="41371361" w:rsidR="00954B3D" w:rsidRPr="00DD46BD" w:rsidRDefault="0053305E" w:rsidP="006F6EA9">
            <w:pPr>
              <w:jc w:val="center"/>
              <w:rPr>
                <w:rFonts w:ascii="Times New Roman" w:hAnsi="Times New Roman" w:cs="Times New Roman"/>
              </w:rPr>
            </w:pPr>
            <w:r w:rsidRPr="00DD46BD">
              <w:rPr>
                <w:rFonts w:ascii="Times New Roman" w:hAnsi="Times New Roman" w:cs="Times New Roman"/>
              </w:rPr>
              <w:t>18%</w:t>
            </w:r>
          </w:p>
        </w:tc>
        <w:tc>
          <w:tcPr>
            <w:tcW w:w="2150" w:type="dxa"/>
          </w:tcPr>
          <w:p w14:paraId="6FD5E88F" w14:textId="7511863A" w:rsidR="00954B3D" w:rsidRPr="00DD46BD" w:rsidRDefault="0053305E" w:rsidP="006F6EA9">
            <w:pPr>
              <w:jc w:val="center"/>
              <w:rPr>
                <w:rFonts w:ascii="Times New Roman" w:hAnsi="Times New Roman" w:cs="Times New Roman"/>
              </w:rPr>
            </w:pPr>
            <w:r w:rsidRPr="00DD46BD">
              <w:rPr>
                <w:rFonts w:ascii="Times New Roman" w:hAnsi="Times New Roman" w:cs="Times New Roman"/>
              </w:rPr>
              <w:t>22%</w:t>
            </w:r>
          </w:p>
        </w:tc>
      </w:tr>
      <w:bookmarkEnd w:id="0"/>
    </w:tbl>
    <w:p w14:paraId="07BD3250" w14:textId="77777777" w:rsidR="00CC067E" w:rsidRDefault="00CC067E" w:rsidP="00013E24"/>
    <w:p w14:paraId="77880CAC" w14:textId="383B0292" w:rsidR="00CC0104" w:rsidRDefault="004F4013" w:rsidP="00CC0104">
      <w:pPr>
        <w:jc w:val="center"/>
      </w:pPr>
      <w:r>
        <w:rPr>
          <w:noProof/>
        </w:rPr>
        <w:lastRenderedPageBreak/>
        <w:drawing>
          <wp:inline distT="0" distB="0" distL="0" distR="0" wp14:anchorId="41D4DD5C" wp14:editId="4084181B">
            <wp:extent cx="5276850" cy="3190875"/>
            <wp:effectExtent l="0" t="0" r="0" b="0"/>
            <wp:docPr id="1349973433" name="Chart 1">
              <a:extLst xmlns:a="http://schemas.openxmlformats.org/drawingml/2006/main">
                <a:ext uri="{FF2B5EF4-FFF2-40B4-BE49-F238E27FC236}">
                  <a16:creationId xmlns:a16="http://schemas.microsoft.com/office/drawing/2014/main" id="{635A3731-87A6-9C32-72E7-CA01064699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51B5077" w14:textId="77777777" w:rsidR="00CC0104" w:rsidRDefault="00CC0104" w:rsidP="00013E24"/>
    <w:p w14:paraId="53291F40" w14:textId="77777777" w:rsidR="00CC0104" w:rsidRDefault="00CC0104" w:rsidP="00013E24"/>
    <w:p w14:paraId="0DFBD59C" w14:textId="3F311D62" w:rsidR="00CC0104" w:rsidRPr="0097270D" w:rsidRDefault="003D6CBA" w:rsidP="00013E24">
      <w:pPr>
        <w:rPr>
          <w:b/>
          <w:sz w:val="28"/>
          <w:szCs w:val="28"/>
        </w:rPr>
      </w:pPr>
      <w:r w:rsidRPr="0097270D">
        <w:rPr>
          <w:b/>
          <w:bCs/>
          <w:sz w:val="28"/>
          <w:szCs w:val="28"/>
        </w:rPr>
        <w:t>Portfolio Management</w:t>
      </w:r>
    </w:p>
    <w:p w14:paraId="0D170E9B" w14:textId="64C9D6CB" w:rsidR="003D6CBA" w:rsidRPr="0097270D" w:rsidRDefault="00752C0A" w:rsidP="00013E24">
      <w:pPr>
        <w:rPr>
          <w:i/>
          <w:iCs/>
          <w:sz w:val="26"/>
          <w:szCs w:val="26"/>
        </w:rPr>
      </w:pPr>
      <w:r w:rsidRPr="0097270D">
        <w:rPr>
          <w:i/>
          <w:iCs/>
          <w:sz w:val="26"/>
          <w:szCs w:val="26"/>
        </w:rPr>
        <w:t>Discretionary Authority</w:t>
      </w:r>
    </w:p>
    <w:p w14:paraId="38FD1BB8" w14:textId="3B7CF98F" w:rsidR="00752C0A" w:rsidRPr="00DD46BD" w:rsidRDefault="0097270D" w:rsidP="00013E24">
      <w:pPr>
        <w:rPr>
          <w:rFonts w:ascii="Times New Roman" w:hAnsi="Times New Roman" w:cs="Times New Roman"/>
        </w:rPr>
      </w:pPr>
      <w:r w:rsidRPr="00DD46BD">
        <w:rPr>
          <w:rFonts w:ascii="Times New Roman" w:hAnsi="Times New Roman" w:cs="Times New Roman"/>
        </w:rPr>
        <w:t>The portfolio manager is granted discretionary authority to make investment decisions in alignment with th</w:t>
      </w:r>
      <w:r w:rsidR="0039329B">
        <w:rPr>
          <w:rFonts w:ascii="Times New Roman" w:hAnsi="Times New Roman" w:cs="Times New Roman"/>
        </w:rPr>
        <w:t>is policy's</w:t>
      </w:r>
      <w:r w:rsidRPr="00DD46BD">
        <w:rPr>
          <w:rFonts w:ascii="Times New Roman" w:hAnsi="Times New Roman" w:cs="Times New Roman"/>
        </w:rPr>
        <w:t xml:space="preserve"> stated objectives and guidelines. This enables timely adjustments to the portfolio to capitalize on market opportunities and manage risks effectively.</w:t>
      </w:r>
    </w:p>
    <w:p w14:paraId="0AE8B60C" w14:textId="333FF4B8" w:rsidR="0097270D" w:rsidRPr="00F01FDC" w:rsidRDefault="00C155D4" w:rsidP="00013E24">
      <w:pPr>
        <w:rPr>
          <w:i/>
          <w:sz w:val="26"/>
          <w:szCs w:val="26"/>
        </w:rPr>
      </w:pPr>
      <w:r w:rsidRPr="00F01FDC">
        <w:rPr>
          <w:i/>
          <w:sz w:val="26"/>
          <w:szCs w:val="26"/>
        </w:rPr>
        <w:t>Rebalancing</w:t>
      </w:r>
    </w:p>
    <w:p w14:paraId="795E3990" w14:textId="095C377B" w:rsidR="00C155D4" w:rsidRPr="00DD46BD" w:rsidRDefault="00727A73" w:rsidP="00013E24">
      <w:pPr>
        <w:rPr>
          <w:rFonts w:ascii="Times New Roman" w:hAnsi="Times New Roman" w:cs="Times New Roman"/>
        </w:rPr>
      </w:pPr>
      <w:r w:rsidRPr="00DD46BD">
        <w:rPr>
          <w:rFonts w:ascii="Times New Roman" w:hAnsi="Times New Roman" w:cs="Times New Roman"/>
        </w:rPr>
        <w:t>As the investment manager, we will periodically rebalance the portfolio to maintain the target asset allocation established in this policy. This ensures the portfolio stays aligned with the client’s objectives and risk tolerance, even as market conditions change.</w:t>
      </w:r>
    </w:p>
    <w:p w14:paraId="0D92A6FF" w14:textId="36C31A22" w:rsidR="00727A73" w:rsidRPr="00F01FDC" w:rsidRDefault="00727A73" w:rsidP="00013E24">
      <w:pPr>
        <w:rPr>
          <w:i/>
          <w:sz w:val="26"/>
          <w:szCs w:val="26"/>
        </w:rPr>
      </w:pPr>
      <w:r w:rsidRPr="00F01FDC">
        <w:rPr>
          <w:i/>
          <w:sz w:val="26"/>
          <w:szCs w:val="26"/>
        </w:rPr>
        <w:t>Implementation</w:t>
      </w:r>
    </w:p>
    <w:p w14:paraId="0ADAD27C" w14:textId="53A24223" w:rsidR="00727A73" w:rsidRPr="00DD46BD" w:rsidRDefault="00CC3A58" w:rsidP="00013E24">
      <w:pPr>
        <w:rPr>
          <w:rFonts w:ascii="Times New Roman" w:hAnsi="Times New Roman" w:cs="Times New Roman"/>
        </w:rPr>
      </w:pPr>
      <w:r w:rsidRPr="00DD46BD">
        <w:rPr>
          <w:rFonts w:ascii="Times New Roman" w:hAnsi="Times New Roman" w:cs="Times New Roman"/>
        </w:rPr>
        <w:t>The portfolio will be constructed using a mix of equity and fixed-income securities to achieve a balance between growth and income, in alignment with the stated investment objectives and risk tolerance. The equity allocation will provide growth potential through investments in high-quality companies across various sectors, while the fixed-income allocation will offer stability and income through a combination of corporate, municipal, and Treasury bonds with varying maturities.</w:t>
      </w:r>
      <w:r w:rsidR="00F66578" w:rsidRPr="00DD46BD">
        <w:rPr>
          <w:rFonts w:ascii="Times New Roman" w:hAnsi="Times New Roman" w:cs="Times New Roman"/>
        </w:rPr>
        <w:t xml:space="preserve"> </w:t>
      </w:r>
      <w:r w:rsidRPr="00DD46BD">
        <w:rPr>
          <w:rFonts w:ascii="Times New Roman" w:hAnsi="Times New Roman" w:cs="Times New Roman"/>
        </w:rPr>
        <w:t xml:space="preserve">Securities have been carefully selected to provide diversification, reduce risk, and optimize returns. Portfolio performance will be monitored regularly, with rebalancing conducted </w:t>
      </w:r>
      <w:r w:rsidRPr="00DD46BD">
        <w:rPr>
          <w:rFonts w:ascii="Times New Roman" w:hAnsi="Times New Roman" w:cs="Times New Roman"/>
        </w:rPr>
        <w:lastRenderedPageBreak/>
        <w:t>as needed to maintain the target allocation and adapt to market conditions. All investment decisions will be made within the framework of this policy to ensure consistency with the client’s goals.</w:t>
      </w:r>
    </w:p>
    <w:p w14:paraId="25ADB2A2" w14:textId="77777777" w:rsidR="00CC0104" w:rsidRDefault="00CC0104" w:rsidP="00013E24"/>
    <w:p w14:paraId="15607154" w14:textId="01B3DBA8" w:rsidR="00CC0104" w:rsidRPr="001F4E9A" w:rsidRDefault="001F4E9A" w:rsidP="00013E24">
      <w:pPr>
        <w:rPr>
          <w:b/>
          <w:sz w:val="28"/>
          <w:szCs w:val="28"/>
        </w:rPr>
      </w:pPr>
      <w:r w:rsidRPr="001F4E9A">
        <w:rPr>
          <w:b/>
          <w:bCs/>
          <w:sz w:val="28"/>
          <w:szCs w:val="28"/>
        </w:rPr>
        <w:t>Duties and Responsibilities</w:t>
      </w:r>
    </w:p>
    <w:p w14:paraId="46AE11CB" w14:textId="3D8DD732" w:rsidR="00E253F7" w:rsidRPr="00DD46BD" w:rsidRDefault="00076685" w:rsidP="00E253F7">
      <w:pPr>
        <w:rPr>
          <w:rFonts w:ascii="Times New Roman" w:hAnsi="Times New Roman" w:cs="Times New Roman"/>
        </w:rPr>
      </w:pPr>
      <w:r w:rsidRPr="00DD46BD">
        <w:rPr>
          <w:rFonts w:ascii="Times New Roman" w:hAnsi="Times New Roman" w:cs="Times New Roman"/>
        </w:rPr>
        <w:t>The</w:t>
      </w:r>
      <w:r w:rsidR="00DF0A36" w:rsidRPr="00DD46BD">
        <w:rPr>
          <w:rFonts w:ascii="Times New Roman" w:hAnsi="Times New Roman" w:cs="Times New Roman"/>
        </w:rPr>
        <w:t xml:space="preserve"> wealth manager </w:t>
      </w:r>
      <w:r w:rsidR="00B1050B" w:rsidRPr="00DD46BD">
        <w:rPr>
          <w:rFonts w:ascii="Times New Roman" w:hAnsi="Times New Roman" w:cs="Times New Roman"/>
        </w:rPr>
        <w:t xml:space="preserve">is responsible </w:t>
      </w:r>
      <w:r w:rsidR="00A91B5A" w:rsidRPr="00DD46BD">
        <w:rPr>
          <w:rFonts w:ascii="Times New Roman" w:hAnsi="Times New Roman" w:cs="Times New Roman"/>
        </w:rPr>
        <w:t>for the following:</w:t>
      </w:r>
    </w:p>
    <w:p w14:paraId="7C0A8CB4" w14:textId="3AC22FBC" w:rsidR="00E253F7" w:rsidRPr="00DD46BD" w:rsidRDefault="00E253F7" w:rsidP="00FB7BFB">
      <w:pPr>
        <w:pStyle w:val="ListParagraph"/>
        <w:numPr>
          <w:ilvl w:val="0"/>
          <w:numId w:val="41"/>
        </w:numPr>
        <w:rPr>
          <w:rFonts w:ascii="Times New Roman" w:hAnsi="Times New Roman" w:cs="Times New Roman"/>
        </w:rPr>
      </w:pPr>
      <w:r w:rsidRPr="00DD46BD">
        <w:rPr>
          <w:rFonts w:ascii="Times New Roman" w:hAnsi="Times New Roman" w:cs="Times New Roman"/>
        </w:rPr>
        <w:t>Portfolio Construction</w:t>
      </w:r>
    </w:p>
    <w:p w14:paraId="3BC4D6DE" w14:textId="77777777" w:rsidR="00E253F7" w:rsidRPr="00DD46BD" w:rsidRDefault="00E253F7" w:rsidP="00FB7BFB">
      <w:pPr>
        <w:pStyle w:val="ListParagraph"/>
        <w:numPr>
          <w:ilvl w:val="0"/>
          <w:numId w:val="41"/>
        </w:numPr>
        <w:rPr>
          <w:rFonts w:ascii="Times New Roman" w:hAnsi="Times New Roman" w:cs="Times New Roman"/>
        </w:rPr>
      </w:pPr>
      <w:r w:rsidRPr="00DD46BD">
        <w:rPr>
          <w:rFonts w:ascii="Times New Roman" w:hAnsi="Times New Roman" w:cs="Times New Roman"/>
        </w:rPr>
        <w:t>Asset Allocation</w:t>
      </w:r>
    </w:p>
    <w:p w14:paraId="0973D7B2" w14:textId="77777777" w:rsidR="00E253F7" w:rsidRPr="00DD46BD" w:rsidRDefault="00E253F7" w:rsidP="00FB7BFB">
      <w:pPr>
        <w:pStyle w:val="ListParagraph"/>
        <w:numPr>
          <w:ilvl w:val="0"/>
          <w:numId w:val="41"/>
        </w:numPr>
        <w:rPr>
          <w:rFonts w:ascii="Times New Roman" w:hAnsi="Times New Roman" w:cs="Times New Roman"/>
        </w:rPr>
      </w:pPr>
      <w:r w:rsidRPr="00DD46BD">
        <w:rPr>
          <w:rFonts w:ascii="Times New Roman" w:hAnsi="Times New Roman" w:cs="Times New Roman"/>
        </w:rPr>
        <w:t>Monitoring and Rebalancing</w:t>
      </w:r>
    </w:p>
    <w:p w14:paraId="3C26815C" w14:textId="77777777" w:rsidR="00E253F7" w:rsidRPr="00DD46BD" w:rsidRDefault="00E253F7" w:rsidP="00FB7BFB">
      <w:pPr>
        <w:pStyle w:val="ListParagraph"/>
        <w:numPr>
          <w:ilvl w:val="0"/>
          <w:numId w:val="41"/>
        </w:numPr>
        <w:rPr>
          <w:rFonts w:ascii="Times New Roman" w:hAnsi="Times New Roman" w:cs="Times New Roman"/>
        </w:rPr>
      </w:pPr>
      <w:r w:rsidRPr="00DD46BD">
        <w:rPr>
          <w:rFonts w:ascii="Times New Roman" w:hAnsi="Times New Roman" w:cs="Times New Roman"/>
        </w:rPr>
        <w:t>Risk Management</w:t>
      </w:r>
    </w:p>
    <w:p w14:paraId="3F8B1039" w14:textId="4092AD47" w:rsidR="00D05F7E" w:rsidRPr="00DD46BD" w:rsidRDefault="003000C8" w:rsidP="00FB7BFB">
      <w:pPr>
        <w:pStyle w:val="ListParagraph"/>
        <w:numPr>
          <w:ilvl w:val="0"/>
          <w:numId w:val="41"/>
        </w:numPr>
        <w:rPr>
          <w:rFonts w:ascii="Times New Roman" w:hAnsi="Times New Roman" w:cs="Times New Roman"/>
        </w:rPr>
      </w:pPr>
      <w:r w:rsidRPr="00DD46BD">
        <w:rPr>
          <w:rFonts w:ascii="Times New Roman" w:hAnsi="Times New Roman" w:cs="Times New Roman"/>
        </w:rPr>
        <w:t>Maintaining the IPS</w:t>
      </w:r>
    </w:p>
    <w:p w14:paraId="2C3D7B04" w14:textId="77777777" w:rsidR="00E253F7" w:rsidRPr="00DD46BD" w:rsidRDefault="00E253F7" w:rsidP="00FB7BFB">
      <w:pPr>
        <w:pStyle w:val="ListParagraph"/>
        <w:numPr>
          <w:ilvl w:val="0"/>
          <w:numId w:val="41"/>
        </w:numPr>
        <w:rPr>
          <w:rFonts w:ascii="Times New Roman" w:hAnsi="Times New Roman" w:cs="Times New Roman"/>
        </w:rPr>
      </w:pPr>
      <w:r w:rsidRPr="00DD46BD">
        <w:rPr>
          <w:rFonts w:ascii="Times New Roman" w:hAnsi="Times New Roman" w:cs="Times New Roman"/>
        </w:rPr>
        <w:t>Client Communication</w:t>
      </w:r>
    </w:p>
    <w:p w14:paraId="4DA52510" w14:textId="77777777" w:rsidR="00E253F7" w:rsidRPr="00DD46BD" w:rsidRDefault="00E253F7" w:rsidP="00FB7BFB">
      <w:pPr>
        <w:pStyle w:val="ListParagraph"/>
        <w:numPr>
          <w:ilvl w:val="0"/>
          <w:numId w:val="41"/>
        </w:numPr>
        <w:rPr>
          <w:rFonts w:ascii="Times New Roman" w:hAnsi="Times New Roman" w:cs="Times New Roman"/>
        </w:rPr>
      </w:pPr>
      <w:r w:rsidRPr="00DD46BD">
        <w:rPr>
          <w:rFonts w:ascii="Times New Roman" w:hAnsi="Times New Roman" w:cs="Times New Roman"/>
        </w:rPr>
        <w:t>Third-Party Management Oversight</w:t>
      </w:r>
    </w:p>
    <w:p w14:paraId="7F2A6245" w14:textId="538BC422" w:rsidR="00CC0104" w:rsidRPr="00DD46BD" w:rsidRDefault="00E253F7" w:rsidP="00FB7BFB">
      <w:pPr>
        <w:pStyle w:val="ListParagraph"/>
        <w:numPr>
          <w:ilvl w:val="0"/>
          <w:numId w:val="41"/>
        </w:numPr>
        <w:rPr>
          <w:rFonts w:ascii="Times New Roman" w:hAnsi="Times New Roman" w:cs="Times New Roman"/>
        </w:rPr>
      </w:pPr>
      <w:r w:rsidRPr="00DD46BD">
        <w:rPr>
          <w:rFonts w:ascii="Times New Roman" w:hAnsi="Times New Roman" w:cs="Times New Roman"/>
        </w:rPr>
        <w:t>Compliance</w:t>
      </w:r>
    </w:p>
    <w:p w14:paraId="4B3C8D22" w14:textId="77777777" w:rsidR="00DD46BD" w:rsidRDefault="00DD46BD" w:rsidP="00013E24">
      <w:pPr>
        <w:rPr>
          <w:i/>
          <w:iCs/>
        </w:rPr>
      </w:pPr>
    </w:p>
    <w:p w14:paraId="29A9BAFD" w14:textId="7212831B" w:rsidR="00CC0104" w:rsidRDefault="00AC6FDC" w:rsidP="00013E24">
      <w:pPr>
        <w:rPr>
          <w:i/>
        </w:rPr>
      </w:pPr>
      <w:r>
        <w:rPr>
          <w:i/>
          <w:iCs/>
        </w:rPr>
        <w:t>IPS Review</w:t>
      </w:r>
    </w:p>
    <w:p w14:paraId="6C596FD1" w14:textId="2F8F59A9" w:rsidR="00AC6FDC" w:rsidRPr="00DD46BD" w:rsidRDefault="00C0442F" w:rsidP="00013E24">
      <w:pPr>
        <w:rPr>
          <w:rFonts w:ascii="Times New Roman" w:hAnsi="Times New Roman" w:cs="Times New Roman"/>
        </w:rPr>
      </w:pPr>
      <w:r w:rsidRPr="00DD46BD">
        <w:rPr>
          <w:rFonts w:ascii="Times New Roman" w:hAnsi="Times New Roman" w:cs="Times New Roman"/>
        </w:rPr>
        <w:t>The client</w:t>
      </w:r>
      <w:r w:rsidR="00E02F86" w:rsidRPr="00DD46BD">
        <w:rPr>
          <w:rFonts w:ascii="Times New Roman" w:hAnsi="Times New Roman" w:cs="Times New Roman"/>
        </w:rPr>
        <w:t xml:space="preserve"> </w:t>
      </w:r>
      <w:r w:rsidRPr="00DD46BD">
        <w:rPr>
          <w:rFonts w:ascii="Times New Roman" w:hAnsi="Times New Roman" w:cs="Times New Roman"/>
        </w:rPr>
        <w:t xml:space="preserve">will review the IPS at least annually to determine whether the investment </w:t>
      </w:r>
      <w:r w:rsidR="00FE4C9C" w:rsidRPr="00DD46BD">
        <w:rPr>
          <w:rFonts w:ascii="Times New Roman" w:hAnsi="Times New Roman" w:cs="Times New Roman"/>
        </w:rPr>
        <w:t>objectives are still accurate</w:t>
      </w:r>
      <w:r w:rsidR="009809AD" w:rsidRPr="00DD46BD">
        <w:rPr>
          <w:rFonts w:ascii="Times New Roman" w:hAnsi="Times New Roman" w:cs="Times New Roman"/>
        </w:rPr>
        <w:t xml:space="preserve">. </w:t>
      </w:r>
      <w:r w:rsidR="003E1DCB" w:rsidRPr="00DD46BD">
        <w:rPr>
          <w:rFonts w:ascii="Times New Roman" w:hAnsi="Times New Roman" w:cs="Times New Roman"/>
        </w:rPr>
        <w:t xml:space="preserve">As wealth managers, we will review the IPS </w:t>
      </w:r>
      <w:r w:rsidR="00C06E7B" w:rsidRPr="00DD46BD">
        <w:rPr>
          <w:rFonts w:ascii="Times New Roman" w:hAnsi="Times New Roman" w:cs="Times New Roman"/>
        </w:rPr>
        <w:t>annu</w:t>
      </w:r>
      <w:r w:rsidR="009D0464" w:rsidRPr="00DD46BD">
        <w:rPr>
          <w:rFonts w:ascii="Times New Roman" w:hAnsi="Times New Roman" w:cs="Times New Roman"/>
        </w:rPr>
        <w:t xml:space="preserve">ally to evaluate </w:t>
      </w:r>
      <w:r w:rsidR="007C6BAF" w:rsidRPr="00DD46BD">
        <w:rPr>
          <w:rFonts w:ascii="Times New Roman" w:hAnsi="Times New Roman" w:cs="Times New Roman"/>
        </w:rPr>
        <w:t xml:space="preserve">the continued </w:t>
      </w:r>
      <w:r w:rsidR="002A7BD4" w:rsidRPr="00DD46BD">
        <w:rPr>
          <w:rFonts w:ascii="Times New Roman" w:hAnsi="Times New Roman" w:cs="Times New Roman"/>
        </w:rPr>
        <w:t>feasibi</w:t>
      </w:r>
      <w:r w:rsidR="00B830DC" w:rsidRPr="00DD46BD">
        <w:rPr>
          <w:rFonts w:ascii="Times New Roman" w:hAnsi="Times New Roman" w:cs="Times New Roman"/>
        </w:rPr>
        <w:t>lity of ach</w:t>
      </w:r>
      <w:r w:rsidR="00E95808" w:rsidRPr="00DD46BD">
        <w:rPr>
          <w:rFonts w:ascii="Times New Roman" w:hAnsi="Times New Roman" w:cs="Times New Roman"/>
        </w:rPr>
        <w:t>ieving the client’s investment objectives.</w:t>
      </w:r>
    </w:p>
    <w:p w14:paraId="348DF8DC" w14:textId="77777777" w:rsidR="0093177D" w:rsidRDefault="0093177D" w:rsidP="00013E24"/>
    <w:p w14:paraId="62145EA4" w14:textId="166DF480" w:rsidR="0093177D" w:rsidRPr="0093177D" w:rsidRDefault="0093177D" w:rsidP="00013E24">
      <w:pPr>
        <w:rPr>
          <w:b/>
          <w:bCs/>
          <w:sz w:val="28"/>
          <w:szCs w:val="28"/>
        </w:rPr>
      </w:pPr>
      <w:r w:rsidRPr="0093177D">
        <w:rPr>
          <w:b/>
          <w:bCs/>
          <w:sz w:val="28"/>
          <w:szCs w:val="28"/>
        </w:rPr>
        <w:t>Portfolio Statistics</w:t>
      </w:r>
    </w:p>
    <w:p w14:paraId="4D10BBBA" w14:textId="43835066" w:rsidR="00CC0104" w:rsidRDefault="00296A82" w:rsidP="00296A82">
      <w:pPr>
        <w:jc w:val="center"/>
      </w:pPr>
      <w:r w:rsidRPr="00296A82">
        <w:rPr>
          <w:noProof/>
        </w:rPr>
        <w:drawing>
          <wp:inline distT="0" distB="0" distL="0" distR="0" wp14:anchorId="0F7995EA" wp14:editId="518CA949">
            <wp:extent cx="6515100" cy="1666875"/>
            <wp:effectExtent l="0" t="0" r="0" b="9525"/>
            <wp:docPr id="80656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0026" cy="1668135"/>
                    </a:xfrm>
                    <a:prstGeom prst="rect">
                      <a:avLst/>
                    </a:prstGeom>
                    <a:noFill/>
                    <a:ln>
                      <a:noFill/>
                    </a:ln>
                  </pic:spPr>
                </pic:pic>
              </a:graphicData>
            </a:graphic>
          </wp:inline>
        </w:drawing>
      </w:r>
    </w:p>
    <w:tbl>
      <w:tblPr>
        <w:tblW w:w="5780"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3823"/>
        <w:gridCol w:w="1957"/>
      </w:tblGrid>
      <w:tr w:rsidR="00010447" w:rsidRPr="00010447" w14:paraId="7963BB75" w14:textId="77777777" w:rsidTr="00F515CA">
        <w:trPr>
          <w:trHeight w:val="300"/>
        </w:trPr>
        <w:tc>
          <w:tcPr>
            <w:tcW w:w="3823" w:type="dxa"/>
            <w:tcBorders>
              <w:right w:val="single" w:sz="4" w:space="0" w:color="auto"/>
            </w:tcBorders>
            <w:shd w:val="clear" w:color="auto" w:fill="auto"/>
            <w:noWrap/>
            <w:vAlign w:val="bottom"/>
            <w:hideMark/>
          </w:tcPr>
          <w:p w14:paraId="52CD6253" w14:textId="77777777" w:rsidR="00010447" w:rsidRPr="00010447" w:rsidRDefault="00010447" w:rsidP="00010447">
            <w:pPr>
              <w:spacing w:after="0" w:line="240" w:lineRule="auto"/>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Portfolio Beta</w:t>
            </w:r>
          </w:p>
        </w:tc>
        <w:tc>
          <w:tcPr>
            <w:tcW w:w="1957" w:type="dxa"/>
            <w:tcBorders>
              <w:left w:val="single" w:sz="4" w:space="0" w:color="auto"/>
            </w:tcBorders>
            <w:shd w:val="clear" w:color="auto" w:fill="auto"/>
            <w:noWrap/>
            <w:vAlign w:val="bottom"/>
            <w:hideMark/>
          </w:tcPr>
          <w:p w14:paraId="2C41F514" w14:textId="77777777" w:rsidR="00010447" w:rsidRPr="00010447" w:rsidRDefault="00010447" w:rsidP="00010447">
            <w:pPr>
              <w:spacing w:after="0" w:line="240" w:lineRule="auto"/>
              <w:jc w:val="center"/>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1.19</w:t>
            </w:r>
          </w:p>
        </w:tc>
      </w:tr>
      <w:tr w:rsidR="00010447" w:rsidRPr="00010447" w14:paraId="7ADD5311" w14:textId="77777777" w:rsidTr="00F515CA">
        <w:trPr>
          <w:trHeight w:val="300"/>
        </w:trPr>
        <w:tc>
          <w:tcPr>
            <w:tcW w:w="3823" w:type="dxa"/>
            <w:tcBorders>
              <w:right w:val="single" w:sz="4" w:space="0" w:color="auto"/>
            </w:tcBorders>
            <w:shd w:val="clear" w:color="auto" w:fill="auto"/>
            <w:noWrap/>
            <w:vAlign w:val="bottom"/>
            <w:hideMark/>
          </w:tcPr>
          <w:p w14:paraId="021B6461" w14:textId="77777777" w:rsidR="00010447" w:rsidRPr="00010447" w:rsidRDefault="00010447" w:rsidP="00010447">
            <w:pPr>
              <w:spacing w:after="0" w:line="240" w:lineRule="auto"/>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Market Premium (S&amp;P500)</w:t>
            </w:r>
          </w:p>
        </w:tc>
        <w:tc>
          <w:tcPr>
            <w:tcW w:w="1957" w:type="dxa"/>
            <w:tcBorders>
              <w:left w:val="single" w:sz="4" w:space="0" w:color="auto"/>
            </w:tcBorders>
            <w:shd w:val="clear" w:color="auto" w:fill="auto"/>
            <w:noWrap/>
            <w:vAlign w:val="bottom"/>
            <w:hideMark/>
          </w:tcPr>
          <w:p w14:paraId="6FE68DDD" w14:textId="77777777" w:rsidR="00010447" w:rsidRPr="00010447" w:rsidRDefault="00010447" w:rsidP="00010447">
            <w:pPr>
              <w:spacing w:after="0" w:line="240" w:lineRule="auto"/>
              <w:jc w:val="center"/>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13.22</w:t>
            </w:r>
          </w:p>
        </w:tc>
      </w:tr>
      <w:tr w:rsidR="00010447" w:rsidRPr="00010447" w14:paraId="2E778F7E" w14:textId="77777777" w:rsidTr="00F515CA">
        <w:trPr>
          <w:trHeight w:val="300"/>
        </w:trPr>
        <w:tc>
          <w:tcPr>
            <w:tcW w:w="3823" w:type="dxa"/>
            <w:tcBorders>
              <w:right w:val="single" w:sz="4" w:space="0" w:color="auto"/>
            </w:tcBorders>
            <w:shd w:val="clear" w:color="auto" w:fill="auto"/>
            <w:noWrap/>
            <w:vAlign w:val="bottom"/>
            <w:hideMark/>
          </w:tcPr>
          <w:p w14:paraId="17C8A6A5" w14:textId="77777777" w:rsidR="00010447" w:rsidRPr="00010447" w:rsidRDefault="00010447" w:rsidP="00010447">
            <w:pPr>
              <w:spacing w:after="0" w:line="240" w:lineRule="auto"/>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RF Rate</w:t>
            </w:r>
          </w:p>
        </w:tc>
        <w:tc>
          <w:tcPr>
            <w:tcW w:w="1957" w:type="dxa"/>
            <w:tcBorders>
              <w:left w:val="single" w:sz="4" w:space="0" w:color="auto"/>
            </w:tcBorders>
            <w:shd w:val="clear" w:color="auto" w:fill="auto"/>
            <w:noWrap/>
            <w:vAlign w:val="bottom"/>
            <w:hideMark/>
          </w:tcPr>
          <w:p w14:paraId="07ADB7F9" w14:textId="77777777" w:rsidR="00010447" w:rsidRPr="00010447" w:rsidRDefault="00010447" w:rsidP="00010447">
            <w:pPr>
              <w:spacing w:after="0" w:line="240" w:lineRule="auto"/>
              <w:jc w:val="center"/>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4.74</w:t>
            </w:r>
          </w:p>
        </w:tc>
      </w:tr>
      <w:tr w:rsidR="00010447" w:rsidRPr="00010447" w14:paraId="458BAB14" w14:textId="77777777" w:rsidTr="00F515CA">
        <w:trPr>
          <w:trHeight w:val="300"/>
        </w:trPr>
        <w:tc>
          <w:tcPr>
            <w:tcW w:w="3823" w:type="dxa"/>
            <w:tcBorders>
              <w:right w:val="single" w:sz="4" w:space="0" w:color="auto"/>
            </w:tcBorders>
            <w:shd w:val="clear" w:color="auto" w:fill="auto"/>
            <w:noWrap/>
            <w:vAlign w:val="bottom"/>
            <w:hideMark/>
          </w:tcPr>
          <w:p w14:paraId="3BC8ABEA" w14:textId="77777777" w:rsidR="00010447" w:rsidRPr="00010447" w:rsidRDefault="00010447" w:rsidP="00010447">
            <w:pPr>
              <w:spacing w:after="0" w:line="240" w:lineRule="auto"/>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Expected Pe</w:t>
            </w:r>
          </w:p>
        </w:tc>
        <w:tc>
          <w:tcPr>
            <w:tcW w:w="1957" w:type="dxa"/>
            <w:tcBorders>
              <w:left w:val="single" w:sz="4" w:space="0" w:color="auto"/>
            </w:tcBorders>
            <w:shd w:val="clear" w:color="auto" w:fill="auto"/>
            <w:noWrap/>
            <w:vAlign w:val="bottom"/>
            <w:hideMark/>
          </w:tcPr>
          <w:p w14:paraId="1C78135D" w14:textId="11CE6054" w:rsidR="00010447" w:rsidRPr="00010447" w:rsidRDefault="00010447" w:rsidP="00010447">
            <w:pPr>
              <w:spacing w:after="0" w:line="240" w:lineRule="auto"/>
              <w:jc w:val="center"/>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14.83</w:t>
            </w:r>
          </w:p>
        </w:tc>
      </w:tr>
      <w:tr w:rsidR="00010447" w:rsidRPr="00010447" w14:paraId="73B57FB8" w14:textId="77777777" w:rsidTr="00F515CA">
        <w:trPr>
          <w:trHeight w:val="300"/>
        </w:trPr>
        <w:tc>
          <w:tcPr>
            <w:tcW w:w="3823" w:type="dxa"/>
            <w:tcBorders>
              <w:right w:val="single" w:sz="4" w:space="0" w:color="auto"/>
            </w:tcBorders>
            <w:shd w:val="clear" w:color="auto" w:fill="auto"/>
            <w:noWrap/>
            <w:vAlign w:val="bottom"/>
            <w:hideMark/>
          </w:tcPr>
          <w:p w14:paraId="1A2F055F" w14:textId="77777777" w:rsidR="00010447" w:rsidRPr="00010447" w:rsidRDefault="00010447" w:rsidP="00010447">
            <w:pPr>
              <w:spacing w:after="0" w:line="240" w:lineRule="auto"/>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P(r)</w:t>
            </w:r>
            <w:proofErr w:type="spellStart"/>
            <w:proofErr w:type="gramStart"/>
            <w:r w:rsidRPr="00010447">
              <w:rPr>
                <w:rFonts w:ascii="Times New Roman" w:eastAsia="Times New Roman" w:hAnsi="Times New Roman" w:cs="Times New Roman"/>
                <w:color w:val="000000"/>
                <w:kern w:val="0"/>
                <w:sz w:val="20"/>
                <w:szCs w:val="20"/>
                <w:lang w:val="en-CA"/>
                <w14:ligatures w14:val="none"/>
              </w:rPr>
              <w:t>St.Dev</w:t>
            </w:r>
            <w:proofErr w:type="spellEnd"/>
            <w:proofErr w:type="gramEnd"/>
            <w:r w:rsidRPr="00010447">
              <w:rPr>
                <w:rFonts w:ascii="Times New Roman" w:eastAsia="Times New Roman" w:hAnsi="Times New Roman" w:cs="Times New Roman"/>
                <w:color w:val="000000"/>
                <w:kern w:val="0"/>
                <w:sz w:val="20"/>
                <w:szCs w:val="20"/>
                <w:lang w:val="en-CA"/>
                <w14:ligatures w14:val="none"/>
              </w:rPr>
              <w:t>\</w:t>
            </w:r>
          </w:p>
        </w:tc>
        <w:tc>
          <w:tcPr>
            <w:tcW w:w="1957" w:type="dxa"/>
            <w:tcBorders>
              <w:left w:val="single" w:sz="4" w:space="0" w:color="auto"/>
            </w:tcBorders>
            <w:shd w:val="clear" w:color="auto" w:fill="auto"/>
            <w:noWrap/>
            <w:vAlign w:val="bottom"/>
            <w:hideMark/>
          </w:tcPr>
          <w:p w14:paraId="18EDBE98" w14:textId="77777777" w:rsidR="00010447" w:rsidRPr="00010447" w:rsidRDefault="00010447" w:rsidP="00010447">
            <w:pPr>
              <w:spacing w:after="0" w:line="240" w:lineRule="auto"/>
              <w:jc w:val="center"/>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5.07</w:t>
            </w:r>
          </w:p>
        </w:tc>
      </w:tr>
      <w:tr w:rsidR="00010447" w:rsidRPr="00010447" w14:paraId="251C9C50" w14:textId="77777777" w:rsidTr="00F515CA">
        <w:trPr>
          <w:trHeight w:val="300"/>
        </w:trPr>
        <w:tc>
          <w:tcPr>
            <w:tcW w:w="3823" w:type="dxa"/>
            <w:tcBorders>
              <w:right w:val="single" w:sz="4" w:space="0" w:color="auto"/>
            </w:tcBorders>
            <w:shd w:val="clear" w:color="auto" w:fill="auto"/>
            <w:noWrap/>
            <w:vAlign w:val="bottom"/>
            <w:hideMark/>
          </w:tcPr>
          <w:p w14:paraId="14F1A005" w14:textId="77777777" w:rsidR="00010447" w:rsidRPr="00010447" w:rsidRDefault="00010447" w:rsidP="00010447">
            <w:pPr>
              <w:spacing w:after="0" w:line="240" w:lineRule="auto"/>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lastRenderedPageBreak/>
              <w:t>Sharpe Ratio</w:t>
            </w:r>
          </w:p>
        </w:tc>
        <w:tc>
          <w:tcPr>
            <w:tcW w:w="1957" w:type="dxa"/>
            <w:tcBorders>
              <w:left w:val="single" w:sz="4" w:space="0" w:color="auto"/>
            </w:tcBorders>
            <w:shd w:val="clear" w:color="auto" w:fill="auto"/>
            <w:noWrap/>
            <w:vAlign w:val="bottom"/>
            <w:hideMark/>
          </w:tcPr>
          <w:p w14:paraId="1494A222" w14:textId="77777777" w:rsidR="00010447" w:rsidRPr="00010447" w:rsidRDefault="00010447" w:rsidP="00010447">
            <w:pPr>
              <w:spacing w:after="0" w:line="240" w:lineRule="auto"/>
              <w:jc w:val="center"/>
              <w:rPr>
                <w:rFonts w:ascii="Times New Roman" w:eastAsia="Times New Roman" w:hAnsi="Times New Roman" w:cs="Times New Roman"/>
                <w:color w:val="000000"/>
                <w:kern w:val="0"/>
                <w:sz w:val="20"/>
                <w:szCs w:val="20"/>
                <w:lang w:val="en-CA"/>
                <w14:ligatures w14:val="none"/>
              </w:rPr>
            </w:pPr>
            <w:r w:rsidRPr="00010447">
              <w:rPr>
                <w:rFonts w:ascii="Times New Roman" w:eastAsia="Times New Roman" w:hAnsi="Times New Roman" w:cs="Times New Roman"/>
                <w:color w:val="000000"/>
                <w:kern w:val="0"/>
                <w:sz w:val="20"/>
                <w:szCs w:val="20"/>
                <w:lang w:val="en-CA"/>
                <w14:ligatures w14:val="none"/>
              </w:rPr>
              <w:t>1.67</w:t>
            </w:r>
          </w:p>
        </w:tc>
      </w:tr>
    </w:tbl>
    <w:p w14:paraId="35F9DB87" w14:textId="7121EA18" w:rsidR="00265FDC" w:rsidRDefault="00265FDC" w:rsidP="00CC067E">
      <w:pPr>
        <w:rPr>
          <w:rFonts w:ascii="Times New Roman" w:hAnsi="Times New Roman" w:cs="Times New Roman"/>
          <w:bCs/>
        </w:rPr>
      </w:pPr>
    </w:p>
    <w:p w14:paraId="5994A834" w14:textId="77777777" w:rsidR="005A37F5" w:rsidRPr="00265FDC" w:rsidRDefault="005A37F5" w:rsidP="00CC067E">
      <w:pPr>
        <w:rPr>
          <w:rFonts w:ascii="Times New Roman" w:hAnsi="Times New Roman" w:cs="Times New Roman"/>
          <w:bCs/>
        </w:rPr>
      </w:pPr>
    </w:p>
    <w:p w14:paraId="5A88A713" w14:textId="614BDA12" w:rsidR="00CC067E" w:rsidRPr="00954930" w:rsidRDefault="00CC067E" w:rsidP="00CC067E">
      <w:pPr>
        <w:rPr>
          <w:rFonts w:ascii="Times New Roman" w:hAnsi="Times New Roman" w:cs="Times New Roman"/>
          <w:b/>
          <w:sz w:val="28"/>
          <w:szCs w:val="28"/>
        </w:rPr>
      </w:pPr>
      <w:r w:rsidRPr="00954930">
        <w:rPr>
          <w:rFonts w:ascii="Times New Roman" w:hAnsi="Times New Roman" w:cs="Times New Roman"/>
          <w:b/>
          <w:sz w:val="28"/>
          <w:szCs w:val="28"/>
        </w:rPr>
        <w:t>Investment 1: Johnson and Johnson (NYSE: JNJ)</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CC067E" w:rsidRPr="003B1F4E" w14:paraId="733C49D8" w14:textId="77777777" w:rsidTr="00EF30E7">
        <w:tc>
          <w:tcPr>
            <w:tcW w:w="1335" w:type="dxa"/>
          </w:tcPr>
          <w:p w14:paraId="477E7B1D" w14:textId="77777777" w:rsidR="00CC067E" w:rsidRPr="003B1F4E" w:rsidRDefault="00CC067E" w:rsidP="00EF30E7">
            <w:pPr>
              <w:rPr>
                <w:rFonts w:ascii="Times New Roman" w:hAnsi="Times New Roman" w:cs="Times New Roman"/>
              </w:rPr>
            </w:pPr>
            <w:r w:rsidRPr="003B1F4E">
              <w:rPr>
                <w:rFonts w:ascii="Times New Roman" w:hAnsi="Times New Roman" w:cs="Times New Roman"/>
                <w:u w:val="single"/>
              </w:rPr>
              <w:t>1</w:t>
            </w:r>
          </w:p>
        </w:tc>
        <w:tc>
          <w:tcPr>
            <w:tcW w:w="1335" w:type="dxa"/>
          </w:tcPr>
          <w:p w14:paraId="5A45E100" w14:textId="77777777" w:rsidR="00CC067E" w:rsidRPr="003B1F4E" w:rsidRDefault="00CC067E" w:rsidP="00EF30E7">
            <w:pPr>
              <w:rPr>
                <w:rFonts w:ascii="Times New Roman" w:hAnsi="Times New Roman" w:cs="Times New Roman"/>
              </w:rPr>
            </w:pPr>
            <w:r w:rsidRPr="003B1F4E">
              <w:rPr>
                <w:rFonts w:ascii="Times New Roman" w:hAnsi="Times New Roman" w:cs="Times New Roman"/>
              </w:rPr>
              <w:t>Johnson and Johnson (JNJ)</w:t>
            </w:r>
          </w:p>
        </w:tc>
        <w:tc>
          <w:tcPr>
            <w:tcW w:w="1336" w:type="dxa"/>
          </w:tcPr>
          <w:p w14:paraId="45D59232" w14:textId="77777777" w:rsidR="00CC067E" w:rsidRPr="003B1F4E" w:rsidRDefault="00CC067E" w:rsidP="00EF30E7">
            <w:pPr>
              <w:rPr>
                <w:rFonts w:ascii="Times New Roman" w:hAnsi="Times New Roman" w:cs="Times New Roman"/>
              </w:rPr>
            </w:pPr>
            <w:r w:rsidRPr="003B1F4E">
              <w:rPr>
                <w:rFonts w:ascii="Times New Roman" w:hAnsi="Times New Roman" w:cs="Times New Roman"/>
              </w:rPr>
              <w:t>Individual Stock</w:t>
            </w:r>
          </w:p>
        </w:tc>
        <w:tc>
          <w:tcPr>
            <w:tcW w:w="1336" w:type="dxa"/>
          </w:tcPr>
          <w:p w14:paraId="2D564FCC" w14:textId="77777777" w:rsidR="00CC067E" w:rsidRPr="003B1F4E" w:rsidRDefault="00CC067E" w:rsidP="00EF30E7">
            <w:pPr>
              <w:rPr>
                <w:rFonts w:ascii="Times New Roman" w:hAnsi="Times New Roman" w:cs="Times New Roman"/>
              </w:rPr>
            </w:pPr>
            <w:r w:rsidRPr="003B1F4E">
              <w:rPr>
                <w:rFonts w:ascii="Times New Roman" w:hAnsi="Times New Roman" w:cs="Times New Roman"/>
              </w:rPr>
              <w:t>NYSE</w:t>
            </w:r>
          </w:p>
        </w:tc>
        <w:tc>
          <w:tcPr>
            <w:tcW w:w="1336" w:type="dxa"/>
          </w:tcPr>
          <w:p w14:paraId="63401176" w14:textId="77777777" w:rsidR="00CC067E" w:rsidRPr="003B1F4E" w:rsidRDefault="00CC067E" w:rsidP="00EF30E7">
            <w:pPr>
              <w:rPr>
                <w:rFonts w:ascii="Times New Roman" w:hAnsi="Times New Roman" w:cs="Times New Roman"/>
              </w:rPr>
            </w:pPr>
            <w:r w:rsidRPr="003B1F4E">
              <w:rPr>
                <w:rFonts w:ascii="Times New Roman" w:hAnsi="Times New Roman" w:cs="Times New Roman"/>
              </w:rPr>
              <w:t>New Brunswick, New Jersey, USA</w:t>
            </w:r>
          </w:p>
        </w:tc>
        <w:tc>
          <w:tcPr>
            <w:tcW w:w="1336" w:type="dxa"/>
          </w:tcPr>
          <w:p w14:paraId="2BEAB93B" w14:textId="77777777" w:rsidR="00CC067E" w:rsidRPr="003B1F4E" w:rsidRDefault="00CC067E" w:rsidP="00EF30E7">
            <w:pPr>
              <w:rPr>
                <w:rFonts w:ascii="Times New Roman" w:hAnsi="Times New Roman" w:cs="Times New Roman"/>
              </w:rPr>
            </w:pPr>
            <w:r w:rsidRPr="003B1F4E">
              <w:rPr>
                <w:rFonts w:ascii="Times New Roman" w:hAnsi="Times New Roman" w:cs="Times New Roman"/>
              </w:rPr>
              <w:t>$</w:t>
            </w:r>
            <w:r>
              <w:t>8,359.20</w:t>
            </w:r>
          </w:p>
        </w:tc>
        <w:tc>
          <w:tcPr>
            <w:tcW w:w="1336" w:type="dxa"/>
          </w:tcPr>
          <w:p w14:paraId="66D0CC58" w14:textId="77777777" w:rsidR="00CC067E" w:rsidRPr="003B1F4E" w:rsidRDefault="00CC067E" w:rsidP="00EF30E7">
            <w:pPr>
              <w:rPr>
                <w:rFonts w:ascii="Times New Roman" w:hAnsi="Times New Roman" w:cs="Times New Roman"/>
              </w:rPr>
            </w:pPr>
            <w:r>
              <w:t>8.359</w:t>
            </w:r>
            <w:r w:rsidRPr="003B1F4E">
              <w:rPr>
                <w:rFonts w:ascii="Times New Roman" w:hAnsi="Times New Roman" w:cs="Times New Roman"/>
              </w:rPr>
              <w:t>%</w:t>
            </w:r>
          </w:p>
        </w:tc>
      </w:tr>
    </w:tbl>
    <w:p w14:paraId="6AE9E9AA" w14:textId="77777777" w:rsidR="00CC067E" w:rsidRPr="003B1F4E" w:rsidRDefault="00CC067E" w:rsidP="00FB7BFB">
      <w:pPr>
        <w:pStyle w:val="ListParagraph"/>
        <w:numPr>
          <w:ilvl w:val="0"/>
          <w:numId w:val="38"/>
        </w:numPr>
        <w:spacing w:after="0" w:line="240" w:lineRule="auto"/>
        <w:rPr>
          <w:rFonts w:ascii="Times New Roman" w:hAnsi="Times New Roman" w:cs="Times New Roman"/>
        </w:rPr>
      </w:pPr>
      <w:r w:rsidRPr="003B1F4E">
        <w:rPr>
          <w:rFonts w:ascii="Times New Roman" w:hAnsi="Times New Roman" w:cs="Times New Roman"/>
        </w:rPr>
        <w:t>Background on company</w:t>
      </w:r>
    </w:p>
    <w:p w14:paraId="2AB604E3" w14:textId="77777777" w:rsidR="00CC067E" w:rsidRPr="003B1F4E" w:rsidRDefault="00CC067E" w:rsidP="006A0ECD">
      <w:pPr>
        <w:autoSpaceDE w:val="0"/>
        <w:autoSpaceDN w:val="0"/>
        <w:adjustRightInd w:val="0"/>
        <w:spacing w:after="240"/>
        <w:ind w:firstLine="360"/>
        <w:rPr>
          <w:rFonts w:ascii="Times New Roman" w:hAnsi="Times New Roman" w:cs="Times New Roman"/>
          <w:kern w:val="0"/>
        </w:rPr>
      </w:pPr>
      <w:r w:rsidRPr="003B1F4E">
        <w:rPr>
          <w:rFonts w:ascii="Times New Roman" w:hAnsi="Times New Roman" w:cs="Times New Roman"/>
          <w:kern w:val="0"/>
        </w:rPr>
        <w:t>The first stock we invested in was Johnson &amp; Johnson (JNJ). Johnson &amp; Johnson is an American multinational corporation headquartered in New Brunswick, New Jersey. The company operates in the healthcare industry and is globally renowned for its pharmaceuticals, medical devices, and consumer health products. We mainly chose to invest in Johnson &amp; Johnson to achieve diversification within our portfolio by allocating funds to the healthcare and pharmaceutical sectors. Johnson &amp; Johnson’s broad product portfolio spans essential healthcare categories, including over-the-counter medications, wound care, wellness products, life-saving pharmaceuticals, and innovative medical devices. The company’s operations are geographically diverse, with significant revenue generated across North America, Europe, Asia-Pacific, and Latin America. Johnson &amp; Johnson’s stability and history of consistent dividend payments make it a reliable investment for long-term portfolio growth and income generation.</w:t>
      </w:r>
    </w:p>
    <w:p w14:paraId="23E6421F" w14:textId="77777777" w:rsidR="00CC067E" w:rsidRPr="003B1F4E" w:rsidRDefault="00CC067E" w:rsidP="00FB7BFB">
      <w:pPr>
        <w:pStyle w:val="ListParagraph"/>
        <w:numPr>
          <w:ilvl w:val="0"/>
          <w:numId w:val="38"/>
        </w:numPr>
        <w:autoSpaceDE w:val="0"/>
        <w:autoSpaceDN w:val="0"/>
        <w:adjustRightInd w:val="0"/>
        <w:spacing w:after="240" w:line="240" w:lineRule="auto"/>
        <w:rPr>
          <w:rFonts w:ascii="Times New Roman" w:hAnsi="Times New Roman" w:cs="Times New Roman"/>
          <w:kern w:val="0"/>
        </w:rPr>
      </w:pPr>
      <w:r w:rsidRPr="003B1F4E">
        <w:rPr>
          <w:rFonts w:ascii="Times New Roman" w:hAnsi="Times New Roman" w:cs="Times New Roman"/>
          <w:kern w:val="0"/>
        </w:rPr>
        <w:t xml:space="preserve">Fundamental Analysis: </w:t>
      </w:r>
      <w:r w:rsidRPr="003B1F4E">
        <w:rPr>
          <w:rFonts w:ascii="Times New Roman" w:hAnsi="Times New Roman" w:cs="Times New Roman"/>
          <w:i/>
          <w:iCs/>
          <w:kern w:val="0"/>
        </w:rPr>
        <w:t>Reasons why we chose to invest in this security</w:t>
      </w:r>
    </w:p>
    <w:p w14:paraId="538367F1" w14:textId="77777777" w:rsidR="00CC067E" w:rsidRPr="003B1F4E" w:rsidRDefault="00CC067E" w:rsidP="00BB22E3">
      <w:pPr>
        <w:autoSpaceDE w:val="0"/>
        <w:autoSpaceDN w:val="0"/>
        <w:adjustRightInd w:val="0"/>
        <w:spacing w:after="240" w:line="240" w:lineRule="auto"/>
        <w:ind w:firstLine="360"/>
        <w:rPr>
          <w:rFonts w:ascii="Times New Roman" w:hAnsi="Times New Roman" w:cs="Times New Roman"/>
          <w:kern w:val="0"/>
        </w:rPr>
      </w:pPr>
      <w:r w:rsidRPr="003B1F4E">
        <w:rPr>
          <w:rFonts w:ascii="Times New Roman" w:hAnsi="Times New Roman" w:cs="Times New Roman"/>
          <w:kern w:val="0"/>
        </w:rPr>
        <w:t xml:space="preserve">Reason 1: Valuation Assessment: </w:t>
      </w:r>
      <w:r w:rsidRPr="003B1F4E">
        <w:rPr>
          <w:rFonts w:ascii="Times New Roman" w:hAnsi="Times New Roman" w:cs="Times New Roman"/>
          <w:kern w:val="0"/>
          <w:lang w:val="en-CA"/>
        </w:rPr>
        <w:t>Reasonable Price-to-Earnings (P/E) Ratio</w:t>
      </w:r>
    </w:p>
    <w:p w14:paraId="733769BB" w14:textId="77777777" w:rsidR="00CC067E" w:rsidRPr="003B1F4E" w:rsidRDefault="73597C2B" w:rsidP="00CC067E">
      <w:pPr>
        <w:autoSpaceDE w:val="0"/>
        <w:autoSpaceDN w:val="0"/>
        <w:adjustRightInd w:val="0"/>
        <w:spacing w:after="240"/>
        <w:rPr>
          <w:rFonts w:ascii="Times New Roman" w:hAnsi="Times New Roman" w:cs="Times New Roman"/>
          <w:kern w:val="0"/>
        </w:rPr>
      </w:pPr>
      <w:r w:rsidRPr="003B1F4E">
        <w:rPr>
          <w:rFonts w:ascii="Times New Roman" w:hAnsi="Times New Roman" w:cs="Times New Roman"/>
          <w:kern w:val="0"/>
          <w:lang w:val="en-CA"/>
        </w:rPr>
        <w:t xml:space="preserve">Johnson &amp; Johnson’s P/E ratio is 25.69, calculated as its stock price of $155.01 divided by its earnings per share (EPS) of $6.10. This ratio reflects the amount investors are willing to pay for $1 of JNJ’s earnings. While higher than some value stocks, it is competitive within the healthcare sector and below JNJ’s historical average, indicating potential undervaluation relative to its premium business status. This makes JNJ appealing for </w:t>
      </w:r>
      <w:r w:rsidRPr="003B1F4E">
        <w:rPr>
          <w:rFonts w:ascii="Times New Roman" w:hAnsi="Times New Roman" w:cs="Times New Roman"/>
          <w:kern w:val="0"/>
        </w:rPr>
        <w:t xml:space="preserve">use </w:t>
      </w:r>
      <w:r w:rsidRPr="003B1F4E">
        <w:rPr>
          <w:rFonts w:ascii="Times New Roman" w:hAnsi="Times New Roman" w:cs="Times New Roman"/>
          <w:kern w:val="0"/>
          <w:lang w:val="en-CA"/>
        </w:rPr>
        <w:t>seeking a balance between growth and stability.</w:t>
      </w:r>
      <w:r w:rsidRPr="003B1F4E">
        <w:rPr>
          <w:rFonts w:ascii="Times New Roman" w:hAnsi="Times New Roman" w:cs="Times New Roman"/>
          <w:kern w:val="0"/>
        </w:rPr>
        <w:t xml:space="preserve"> </w:t>
      </w:r>
    </w:p>
    <w:p w14:paraId="2FE01B54" w14:textId="73CF7311" w:rsidR="00CC067E" w:rsidRPr="003B1F4E" w:rsidRDefault="73597C2B" w:rsidP="00CC067E">
      <w:pPr>
        <w:autoSpaceDE w:val="0"/>
        <w:autoSpaceDN w:val="0"/>
        <w:adjustRightInd w:val="0"/>
        <w:spacing w:after="240" w:line="240" w:lineRule="auto"/>
        <w:rPr>
          <w:rFonts w:ascii="Times New Roman" w:hAnsi="Times New Roman" w:cs="Times New Roman"/>
          <w:kern w:val="0"/>
          <w:lang w:val="en-CA"/>
        </w:rPr>
      </w:pPr>
      <w:r w:rsidRPr="003B1F4E">
        <w:rPr>
          <w:rFonts w:ascii="Times New Roman" w:hAnsi="Times New Roman" w:cs="Times New Roman"/>
          <w:kern w:val="0"/>
        </w:rPr>
        <w:t xml:space="preserve">JNJ’s 10-year historical P/E average is 44.91, far above its current P/E of 25.69, </w:t>
      </w:r>
      <w:proofErr w:type="spellStart"/>
      <w:r w:rsidR="696972EE" w:rsidRPr="003B1F4E">
        <w:rPr>
          <w:rFonts w:ascii="Times New Roman" w:hAnsi="Times New Roman" w:cs="Times New Roman"/>
          <w:kern w:val="0"/>
        </w:rPr>
        <w:t>signal</w:t>
      </w:r>
      <w:r w:rsidR="005226B0">
        <w:rPr>
          <w:rFonts w:ascii="Times New Roman" w:hAnsi="Times New Roman" w:cs="Times New Roman"/>
          <w:kern w:val="0"/>
        </w:rPr>
        <w:t>l</w:t>
      </w:r>
      <w:r w:rsidR="696972EE" w:rsidRPr="003B1F4E">
        <w:rPr>
          <w:rFonts w:ascii="Times New Roman" w:hAnsi="Times New Roman" w:cs="Times New Roman"/>
          <w:kern w:val="0"/>
        </w:rPr>
        <w:t>ing</w:t>
      </w:r>
      <w:proofErr w:type="spellEnd"/>
      <w:r w:rsidRPr="003B1F4E">
        <w:rPr>
          <w:rFonts w:ascii="Times New Roman" w:hAnsi="Times New Roman" w:cs="Times New Roman"/>
          <w:kern w:val="0"/>
        </w:rPr>
        <w:t xml:space="preserve"> a potential undervaluation relative to its past trading levels (</w:t>
      </w:r>
      <w:r w:rsidRPr="554E3AFB">
        <w:rPr>
          <w:rFonts w:ascii="Times New Roman" w:hAnsi="Times New Roman" w:cs="Times New Roman"/>
          <w:i/>
          <w:iCs/>
          <w:kern w:val="0"/>
        </w:rPr>
        <w:t>JNJ - Johnson &amp; Johnson PE Ratio, Current and Historical Analysis</w:t>
      </w:r>
      <w:r w:rsidRPr="003B1F4E">
        <w:rPr>
          <w:rFonts w:ascii="Times New Roman" w:hAnsi="Times New Roman" w:cs="Times New Roman"/>
          <w:kern w:val="0"/>
        </w:rPr>
        <w:t>, 2024). Historically, JNJ has traded at a premium due to its strong profitability, innovation, and consistent dividend growth. This lower-than-average valuation offers an attractive entry point for investors seeking exposure to a high-quality, blue-chip stock.</w:t>
      </w:r>
    </w:p>
    <w:p w14:paraId="43852AAD" w14:textId="77777777" w:rsidR="00CC067E" w:rsidRPr="003B1F4E" w:rsidRDefault="00CC067E" w:rsidP="003078DB">
      <w:pPr>
        <w:ind w:left="360"/>
        <w:rPr>
          <w:rFonts w:ascii="Times New Roman" w:hAnsi="Times New Roman" w:cs="Times New Roman"/>
        </w:rPr>
      </w:pPr>
      <w:r>
        <w:rPr>
          <w:noProof/>
        </w:rPr>
        <w:lastRenderedPageBreak/>
        <w:drawing>
          <wp:inline distT="0" distB="0" distL="0" distR="0" wp14:anchorId="0A2BC701" wp14:editId="69088C05">
            <wp:extent cx="2260314" cy="1585484"/>
            <wp:effectExtent l="0" t="0" r="635" b="2540"/>
            <wp:docPr id="11546791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260314" cy="1585484"/>
                    </a:xfrm>
                    <a:prstGeom prst="rect">
                      <a:avLst/>
                    </a:prstGeom>
                  </pic:spPr>
                </pic:pic>
              </a:graphicData>
            </a:graphic>
          </wp:inline>
        </w:drawing>
      </w:r>
    </w:p>
    <w:p w14:paraId="66C2FB6C" w14:textId="77777777" w:rsidR="00CC067E" w:rsidRPr="003B1F4E" w:rsidRDefault="00CC067E" w:rsidP="00F54BD6">
      <w:pPr>
        <w:ind w:firstLine="360"/>
        <w:rPr>
          <w:rFonts w:ascii="Times New Roman" w:hAnsi="Times New Roman" w:cs="Times New Roman"/>
        </w:rPr>
      </w:pPr>
      <w:r w:rsidRPr="003B1F4E">
        <w:rPr>
          <w:rFonts w:ascii="Times New Roman" w:hAnsi="Times New Roman" w:cs="Times New Roman"/>
        </w:rPr>
        <w:t>Reason 2: Price-to-book ratio</w:t>
      </w:r>
    </w:p>
    <w:p w14:paraId="61345080" w14:textId="77777777" w:rsidR="00CC067E" w:rsidRPr="003B1F4E" w:rsidRDefault="00CC067E" w:rsidP="00CC067E">
      <w:pPr>
        <w:pStyle w:val="NormalWeb"/>
      </w:pPr>
      <w:r w:rsidRPr="003B1F4E">
        <w:t xml:space="preserve">We assess Johnson &amp; Johnson’s (J&amp;J) </w:t>
      </w:r>
      <w:r w:rsidRPr="003B1F4E">
        <w:rPr>
          <w:rStyle w:val="Strong"/>
          <w:rFonts w:eastAsiaTheme="majorEastAsia"/>
          <w:b w:val="0"/>
          <w:bCs w:val="0"/>
        </w:rPr>
        <w:t>price-to-book (P/B) ratio</w:t>
      </w:r>
      <w:r w:rsidRPr="003B1F4E">
        <w:t xml:space="preserve"> to understand how the market values the company in relation to its book value. As of November 2024, J&amp;J’s P/B ratio is </w:t>
      </w:r>
      <w:r w:rsidRPr="003B1F4E">
        <w:rPr>
          <w:rStyle w:val="Strong"/>
          <w:rFonts w:eastAsiaTheme="majorEastAsia"/>
          <w:b w:val="0"/>
          <w:bCs w:val="0"/>
        </w:rPr>
        <w:t>5.33</w:t>
      </w:r>
      <w:r w:rsidRPr="003B1F4E">
        <w:t>, which means investors are willing to pay over five times the company’s book value per share. This is a notable figure, especially when compared to competitors such as Pfizer (1.58) and Sanofi (1.56), but slightly lower than peers like Merck (5.85) and Stryker (7.34)​ (</w:t>
      </w:r>
      <w:r w:rsidRPr="003B1F4E">
        <w:rPr>
          <w:i/>
          <w:iCs/>
        </w:rPr>
        <w:t>Johnson &amp; Johnson (JNJ) - P/B Ratio</w:t>
      </w:r>
      <w:r w:rsidRPr="003B1F4E">
        <w:t xml:space="preserve">, 2024). </w:t>
      </w:r>
      <w:r>
        <w:t>Historical trends show that</w:t>
      </w:r>
      <w:r w:rsidRPr="003B1F4E">
        <w:t xml:space="preserve"> J&amp;J's P/B ratio has been somewhat volatile but consistently high. It peaked at </w:t>
      </w:r>
      <w:r w:rsidRPr="003B1F4E">
        <w:rPr>
          <w:rStyle w:val="Strong"/>
          <w:rFonts w:eastAsiaTheme="majorEastAsia"/>
          <w:b w:val="0"/>
          <w:bCs w:val="0"/>
        </w:rPr>
        <w:t>6.55</w:t>
      </w:r>
      <w:r w:rsidRPr="003B1F4E">
        <w:rPr>
          <w:b/>
          <w:bCs/>
        </w:rPr>
        <w:t xml:space="preserve"> </w:t>
      </w:r>
      <w:r w:rsidRPr="003B1F4E">
        <w:t xml:space="preserve">in 2020, reflecting investor optimism about the company’s pipeline, vaccine production, and strong market position. Since then, the ratio has decreased, </w:t>
      </w:r>
      <w:r>
        <w:t>indicating</w:t>
      </w:r>
      <w:r w:rsidRPr="003B1F4E">
        <w:t xml:space="preserve"> more cautious investor sentiment in response to broader market conditions or concerns about future growth. Despite this decline, J&amp;J’s ratio remains robust compared to its sector, suggesting that the market still values the company highly​. A P/B ratio above 1 typically signals that the market expects a company to generate future growth or returns beyond its current book value. In J&amp;J’s case, this premium likely reflects investor confidence in its pharmaceutical innovations, particularly in oncology and immunology, along with its well-established consumer health segment. The high P/B also highlights the market’s belief in J&amp;J’s ability to sustain strong earnings growth and dividend payouts over time​ (Bloomberg, 2024). However, from a portfolio management perspective, it is important to critically evaluate whether the market's premium valuation is justified. The </w:t>
      </w:r>
      <w:r w:rsidRPr="003B1F4E">
        <w:rPr>
          <w:rStyle w:val="Strong"/>
          <w:rFonts w:eastAsiaTheme="majorEastAsia"/>
          <w:b w:val="0"/>
          <w:bCs w:val="0"/>
        </w:rPr>
        <w:t>5.33</w:t>
      </w:r>
      <w:r w:rsidRPr="003B1F4E">
        <w:rPr>
          <w:b/>
          <w:bCs/>
        </w:rPr>
        <w:t xml:space="preserve"> </w:t>
      </w:r>
      <w:r w:rsidRPr="003B1F4E">
        <w:t>P/B ratio suggests that J&amp;J is trading at a premium compared to its book value, which could imply the stock is overvalued relative to its physical assets. This warrants a closer look at whether J&amp;J’s intangible assets—such as intellectual property, brand strength, and future earnings potential—are likely to deliver returns that justify such a high valuation​. Moreover, comparing J&amp;J’s P/B ratio to its peers gives valuable context. While J&amp;J’s P/B is higher than Pfizer’s or Sanofi’s, it is on par with or slightly lower than other healthcare giants like Merck and Stryker, which also command strong market positions and growth expectations. This suggests that while J&amp;J is highly valued, it is not entirely out of step with its industry peers, especially considering its diverse revenue streams and market-leading products​</w:t>
      </w:r>
    </w:p>
    <w:p w14:paraId="2F01186A" w14:textId="77777777" w:rsidR="00CC067E" w:rsidRPr="003B1F4E" w:rsidRDefault="00CC067E" w:rsidP="00CC067E">
      <w:pPr>
        <w:pStyle w:val="NormalWeb"/>
      </w:pPr>
      <w:r w:rsidRPr="003B1F4E">
        <w:t xml:space="preserve">In conclusion, Johnson &amp; Johnson’s P/B ratio of </w:t>
      </w:r>
      <w:r w:rsidRPr="003B1F4E">
        <w:rPr>
          <w:rStyle w:val="Strong"/>
          <w:rFonts w:eastAsiaTheme="majorEastAsia"/>
          <w:b w:val="0"/>
          <w:bCs w:val="0"/>
        </w:rPr>
        <w:t>5.33</w:t>
      </w:r>
      <w:r w:rsidRPr="003B1F4E">
        <w:t xml:space="preserve"> reflects a market view that places significant value on the company’s intangible assets and growth potential. While this high ratio signals confidence in the company's long-term prospects, it also necessitates careful consideration of whether the stock’s current price fully reflects the risks and challenges ahead. As part of a diversified portfolio, J&amp;J offers attractive stability and growth, but I would continue to monitor its market conditions and future growth potential to ensure it aligns with our investment strategy​</w:t>
      </w:r>
    </w:p>
    <w:p w14:paraId="56D84E12" w14:textId="20D9F7F0" w:rsidR="00CC067E" w:rsidRPr="00985F9F" w:rsidRDefault="00CC067E" w:rsidP="00F54BD6">
      <w:pPr>
        <w:ind w:firstLine="720"/>
      </w:pPr>
      <w:r w:rsidRPr="003B1F4E">
        <w:rPr>
          <w:rFonts w:ascii="Times New Roman" w:hAnsi="Times New Roman" w:cs="Times New Roman"/>
        </w:rPr>
        <w:lastRenderedPageBreak/>
        <w:t>Reason 3: Attractive and Reliable Dividend Yield</w:t>
      </w:r>
    </w:p>
    <w:p w14:paraId="4337FD81" w14:textId="77777777" w:rsidR="00CC067E" w:rsidRPr="000A6CF1" w:rsidRDefault="00CC067E" w:rsidP="00CC067E">
      <w:pPr>
        <w:spacing w:after="0"/>
        <w:rPr>
          <w:rFonts w:ascii="Times New Roman" w:hAnsi="Times New Roman" w:cs="Times New Roman"/>
        </w:rPr>
      </w:pPr>
      <w:r w:rsidRPr="000A6CF1">
        <w:rPr>
          <w:rFonts w:ascii="Times New Roman" w:hAnsi="Times New Roman" w:cs="Times New Roman"/>
        </w:rPr>
        <w:t>The dividend yield for JNJ is 3.20%, derived by dividing its annual dividend of $4.96 (quarterly dividend of $1.24 × 4) by its current stock price of $155.01. This yield is significantly higher than the S&amp;P 500 average (1.5%) and reflects JNJ’s consistent ability to generate cash flows for dividends. With over 60 years of consecutive dividend increases, JNJ demonstrates a strong commitment to returning value to shareholders, making it a solid choice for income-focused investors.</w:t>
      </w:r>
    </w:p>
    <w:p w14:paraId="56050618" w14:textId="77777777" w:rsidR="00CC067E" w:rsidRDefault="00CC067E" w:rsidP="00CC067E"/>
    <w:p w14:paraId="19C7A475" w14:textId="1C4D2838" w:rsidR="00CC067E" w:rsidRPr="00985F9F" w:rsidRDefault="00CC067E" w:rsidP="00985F9F">
      <w:pPr>
        <w:ind w:firstLine="720"/>
        <w:rPr>
          <w:rFonts w:ascii="Times New Roman" w:hAnsi="Times New Roman" w:cs="Times New Roman"/>
        </w:rPr>
      </w:pPr>
      <w:r w:rsidRPr="00985F9F">
        <w:rPr>
          <w:rFonts w:ascii="Times New Roman" w:hAnsi="Times New Roman" w:cs="Times New Roman"/>
        </w:rPr>
        <w:t>Reason 4: Johnson &amp; Johnson's High Market Capitalization</w:t>
      </w:r>
    </w:p>
    <w:p w14:paraId="1AFCD8E6" w14:textId="77777777" w:rsidR="00CC067E" w:rsidRPr="003B1F4E" w:rsidRDefault="00CC067E" w:rsidP="00CC067E">
      <w:pPr>
        <w:spacing w:after="0"/>
        <w:rPr>
          <w:rFonts w:ascii="Times New Roman" w:hAnsi="Times New Roman" w:cs="Times New Roman"/>
        </w:rPr>
      </w:pPr>
      <w:r w:rsidRPr="00985F9F">
        <w:rPr>
          <w:rFonts w:ascii="Times New Roman" w:hAnsi="Times New Roman" w:cs="Times New Roman"/>
        </w:rPr>
        <w:t xml:space="preserve">With a market valuation of $373.21 billion as of 2024 Q3, Johnson &amp; Johnson is among the biggest corporations in the healthcare industry and one of the most publicly traded firms in the world (Bloomberg, 2024). A key indicator of a company's size, power, and investor confidence is its market capitalization, which is determined by multiplying the share price by the total number of outstanding shares. Johnson &amp; Johnson's broad portfolio, which includes consumer health items, medical devices, and medicines, is what drives its high market capitalization. Because revenue streams from multiple divisions mitigate the effects of difficulties in any one business, this variety guarantees J&amp;J's resilience during economic downturns. For example, by addressing important therapeutic areas like immunology and oncology, its pharmaceutical division has been a major growth driver and has greatly increased its valuation. </w:t>
      </w:r>
      <w:r w:rsidRPr="00985F9F">
        <w:rPr>
          <w:rFonts w:ascii="Times New Roman" w:hAnsi="Times New Roman" w:cs="Times New Roman"/>
        </w:rPr>
        <w:br/>
        <w:t>Furthermore, a market capitalization this size indicates strong investor faith in J&amp;J's long-term financial stability and capacity to produce steady profits. Its AAA credit rating, which is uncommon in the business sector, adds credence to its standing as a low-risk investment option. J&amp;J's appeal to investors is further increased by its high valuation, which also gives it the financial flexibility to grow operations internationally, invest in R&amp;D, and keep its position as a dividend aristocrat (</w:t>
      </w:r>
      <w:proofErr w:type="spellStart"/>
      <w:r w:rsidRPr="00985F9F">
        <w:rPr>
          <w:rFonts w:ascii="Times New Roman" w:hAnsi="Times New Roman" w:cs="Times New Roman"/>
        </w:rPr>
        <w:t>Barchart</w:t>
      </w:r>
      <w:proofErr w:type="spellEnd"/>
      <w:r w:rsidRPr="00985F9F">
        <w:rPr>
          <w:rFonts w:ascii="Times New Roman" w:hAnsi="Times New Roman" w:cs="Times New Roman"/>
        </w:rPr>
        <w:t>, 2024). Johnson &amp; Johnson's market capitalization puts it at the high echelons of the healthcare industry when compared to other titans of the sector. Despite the substantial values of rivals like Pfizer and Merck, J&amp;J's market capitalization continuously demonstrates its unmatched worldwide reach, varied revenue sources, and capacity for successful innovation in fiercely competitive areas.</w:t>
      </w:r>
    </w:p>
    <w:p w14:paraId="7119B277" w14:textId="77777777" w:rsidR="00CC067E" w:rsidRPr="003B1F4E" w:rsidRDefault="00CC067E" w:rsidP="00CC067E">
      <w:pPr>
        <w:ind w:left="360"/>
        <w:rPr>
          <w:rFonts w:ascii="Times New Roman" w:hAnsi="Times New Roman" w:cs="Times New Roman"/>
        </w:rPr>
      </w:pPr>
    </w:p>
    <w:p w14:paraId="01E060F1" w14:textId="77777777" w:rsidR="00CC067E" w:rsidRPr="003B1F4E" w:rsidRDefault="00CC067E" w:rsidP="00CC067E">
      <w:pPr>
        <w:ind w:left="360"/>
        <w:rPr>
          <w:rFonts w:ascii="Times New Roman" w:hAnsi="Times New Roman" w:cs="Times New Roman"/>
        </w:rPr>
      </w:pPr>
    </w:p>
    <w:p w14:paraId="17F3ABA2" w14:textId="77777777" w:rsidR="00CC067E" w:rsidRPr="00985F9F" w:rsidRDefault="00CC067E" w:rsidP="00CC067E">
      <w:pPr>
        <w:rPr>
          <w:rFonts w:ascii="Times New Roman" w:hAnsi="Times New Roman" w:cs="Times New Roman"/>
        </w:rPr>
      </w:pPr>
      <w:r w:rsidRPr="00985F9F">
        <w:rPr>
          <w:rFonts w:ascii="Times New Roman" w:hAnsi="Times New Roman" w:cs="Times New Roman"/>
        </w:rPr>
        <w:tab/>
        <w:t>Reason 5: Historical Trends of Growth</w:t>
      </w:r>
    </w:p>
    <w:p w14:paraId="7A0C3487" w14:textId="77777777" w:rsidR="00CC067E" w:rsidRDefault="00CC067E" w:rsidP="00CC067E">
      <w:r>
        <w:lastRenderedPageBreak/>
        <w:fldChar w:fldCharType="begin"/>
      </w:r>
      <w:r>
        <w:instrText xml:space="preserve"> INCLUDEPICTURE "https://files.oaiusercontent.com/file-G71fDh9BwRpEAs3dDK3H2W?se=2024-12-02T23%3A18%3A55Z&amp;sp=r&amp;sv=2024-08-04&amp;sr=b&amp;rscc=max-age%3D299%2C%20immutable%2C%20private&amp;rscd=attachment%3B%20filename%3DScreenshot%25202024-12-02%2520at%25206.13.33%25E2%2580%25AFPM.png&amp;sig=DZ2uQqMgPuTOC%2BOC27w0omDqV2ZniiJkOHityG4x/QI%3D" \* MERGEFORMATINET </w:instrText>
      </w:r>
      <w:r>
        <w:fldChar w:fldCharType="separate"/>
      </w:r>
      <w:r>
        <w:rPr>
          <w:noProof/>
        </w:rPr>
        <w:drawing>
          <wp:inline distT="0" distB="0" distL="0" distR="0" wp14:anchorId="1F85F033" wp14:editId="705CA333">
            <wp:extent cx="5943600" cy="2632075"/>
            <wp:effectExtent l="0" t="0" r="0" b="0"/>
            <wp:docPr id="983376507"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r>
        <w:fldChar w:fldCharType="end"/>
      </w:r>
    </w:p>
    <w:p w14:paraId="4148053F" w14:textId="77777777" w:rsidR="00CC067E" w:rsidRPr="00985F9F" w:rsidRDefault="00CC067E" w:rsidP="00CC067E">
      <w:pPr>
        <w:rPr>
          <w:rFonts w:ascii="Times New Roman" w:hAnsi="Times New Roman" w:cs="Times New Roman"/>
        </w:rPr>
      </w:pPr>
      <w:r w:rsidRPr="00A13987">
        <w:rPr>
          <w:rFonts w:ascii="Times New Roman" w:hAnsi="Times New Roman" w:cs="Times New Roman"/>
        </w:rPr>
        <w:t xml:space="preserve">The organization's long-term stock performance exhibits constant resilience and stability, making it an appealing investment opportunity, according to the historical stock chart of Johnson &amp; Johnson (JNJ) from Yahoo Finance that is seen above. JNJ's stock price has ranged between about $120 and $180 over the last five years, showing a remarkable capacity to bounce back from market turbulence or international economic uncertainty. For example, JNJ briefly declined during the pandemic-induced market drop in early 2020 but quickly recovered, demonstrating its position as a defensive stock in the healthcare industry. </w:t>
      </w:r>
      <w:r w:rsidRPr="00A13987">
        <w:rPr>
          <w:rFonts w:ascii="Times New Roman" w:hAnsi="Times New Roman" w:cs="Times New Roman"/>
        </w:rPr>
        <w:br/>
        <w:t xml:space="preserve">Strong </w:t>
      </w:r>
      <w:proofErr w:type="gramStart"/>
      <w:r w:rsidRPr="00A13987">
        <w:rPr>
          <w:rFonts w:ascii="Times New Roman" w:hAnsi="Times New Roman" w:cs="Times New Roman"/>
        </w:rPr>
        <w:t>financials</w:t>
      </w:r>
      <w:proofErr w:type="gramEnd"/>
      <w:r w:rsidRPr="00A13987">
        <w:rPr>
          <w:rFonts w:ascii="Times New Roman" w:hAnsi="Times New Roman" w:cs="Times New Roman"/>
        </w:rPr>
        <w:t>, consistent revenue growth, and high investor confidence led to the stock's upward trajectory from 2020 to 2022, when it peaked at over $180. JNJ demonstrated its defensive tendency by maintaining a very limited trading range in comparison to other sectors, even during times of greater market volatility, such as rising interest rates or geopolitical concerns. This stability is explained by its varied revenue sources from consumer health items, medical equipment, and pharmaceuticals, which protect against hazards unique to each industry (</w:t>
      </w:r>
      <w:proofErr w:type="spellStart"/>
      <w:r w:rsidRPr="00A13987">
        <w:rPr>
          <w:rFonts w:ascii="Times New Roman" w:hAnsi="Times New Roman" w:cs="Times New Roman"/>
        </w:rPr>
        <w:t>Waldstreicher</w:t>
      </w:r>
      <w:proofErr w:type="spellEnd"/>
      <w:r w:rsidRPr="00A13987">
        <w:rPr>
          <w:rFonts w:ascii="Times New Roman" w:hAnsi="Times New Roman" w:cs="Times New Roman"/>
        </w:rPr>
        <w:t xml:space="preserve">, 2021). </w:t>
      </w:r>
      <w:r w:rsidRPr="00A13987">
        <w:rPr>
          <w:rFonts w:ascii="Times New Roman" w:hAnsi="Times New Roman" w:cs="Times New Roman"/>
        </w:rPr>
        <w:br/>
        <w:t>The stock has exhibited modest volatility in 2023 and 2024, mainly fluctuating between $144 and $170. Both macroeconomic variables and company-specific occurrences, such its spinoff of the consumer health segment (</w:t>
      </w:r>
      <w:proofErr w:type="spellStart"/>
      <w:r w:rsidRPr="00A13987">
        <w:rPr>
          <w:rFonts w:ascii="Times New Roman" w:hAnsi="Times New Roman" w:cs="Times New Roman"/>
        </w:rPr>
        <w:t>Kenvue</w:t>
      </w:r>
      <w:proofErr w:type="spellEnd"/>
      <w:r w:rsidRPr="00A13987">
        <w:rPr>
          <w:rFonts w:ascii="Times New Roman" w:hAnsi="Times New Roman" w:cs="Times New Roman"/>
        </w:rPr>
        <w:t>), are reflected in this. JNJ's stock is nevertheless appealing to long-term investors despite brief declines because of its solid 3.2% dividend yield and AAA credit rating, which uphold its standing as a haven for conservative investors (</w:t>
      </w:r>
      <w:proofErr w:type="spellStart"/>
      <w:r w:rsidRPr="00A13987">
        <w:rPr>
          <w:rFonts w:ascii="Times New Roman" w:hAnsi="Times New Roman" w:cs="Times New Roman"/>
        </w:rPr>
        <w:t>Cattlin</w:t>
      </w:r>
      <w:proofErr w:type="spellEnd"/>
      <w:r w:rsidRPr="00A13987">
        <w:rPr>
          <w:rFonts w:ascii="Times New Roman" w:hAnsi="Times New Roman" w:cs="Times New Roman"/>
        </w:rPr>
        <w:t xml:space="preserve">, 2023). </w:t>
      </w:r>
      <w:r w:rsidRPr="00A13987">
        <w:rPr>
          <w:rFonts w:ascii="Times New Roman" w:hAnsi="Times New Roman" w:cs="Times New Roman"/>
        </w:rPr>
        <w:br/>
        <w:t xml:space="preserve">In conclusion, this chart illustrates JNJ's past performance, which shows its capacity to provide consistent returns and bounce back from downturns. It is a wise investment for portfolio diversification and long-term asset preservation because of its stability, solid fundamentals, and consistent dividend payments. </w:t>
      </w:r>
    </w:p>
    <w:p w14:paraId="02FE1270" w14:textId="77777777" w:rsidR="00CC067E" w:rsidRDefault="00CC067E" w:rsidP="00CC067E"/>
    <w:p w14:paraId="68161047" w14:textId="77777777" w:rsidR="00CC067E" w:rsidRPr="00985F9F" w:rsidRDefault="00CC067E" w:rsidP="00CC067E">
      <w:pPr>
        <w:rPr>
          <w:rFonts w:ascii="Times New Roman" w:hAnsi="Times New Roman" w:cs="Times New Roman"/>
        </w:rPr>
      </w:pPr>
      <w:r w:rsidRPr="00985F9F">
        <w:rPr>
          <w:rFonts w:ascii="Times New Roman" w:hAnsi="Times New Roman" w:cs="Times New Roman"/>
        </w:rPr>
        <w:t>Reason 6: Industry Expert Recommendations</w:t>
      </w:r>
    </w:p>
    <w:p w14:paraId="317B5979" w14:textId="77777777" w:rsidR="00CC067E" w:rsidRPr="00A13987" w:rsidRDefault="00CC067E" w:rsidP="00CC067E">
      <w:pPr>
        <w:rPr>
          <w:rFonts w:ascii="Times New Roman" w:hAnsi="Times New Roman" w:cs="Times New Roman"/>
        </w:rPr>
      </w:pPr>
      <w:r w:rsidRPr="00985F9F">
        <w:rPr>
          <w:rFonts w:ascii="Times New Roman" w:hAnsi="Times New Roman" w:cs="Times New Roman"/>
        </w:rPr>
        <w:lastRenderedPageBreak/>
        <w:t xml:space="preserve">Johnson &amp; Johnson was rated as </w:t>
      </w:r>
      <w:proofErr w:type="gramStart"/>
      <w:r w:rsidRPr="00985F9F">
        <w:rPr>
          <w:rFonts w:ascii="Times New Roman" w:hAnsi="Times New Roman" w:cs="Times New Roman"/>
        </w:rPr>
        <w:t>a buy</w:t>
      </w:r>
      <w:proofErr w:type="gramEnd"/>
      <w:r w:rsidRPr="00985F9F">
        <w:rPr>
          <w:rFonts w:ascii="Times New Roman" w:hAnsi="Times New Roman" w:cs="Times New Roman"/>
        </w:rPr>
        <w:t xml:space="preserve"> stock by 14 analysts from the financial and stock research website stockanalysis.com (Stock research, 2024). One of the 14 experts who have suggested JNJ as a potential purchase choice is Vamil Divan, a Guggenheim analyst with a 67% success rate and an average return of almost 20%. We are therefore more confident in our portfolio for the Inger family when we have professional analysis to back up our decision to purchase JNJ stock.</w:t>
      </w:r>
    </w:p>
    <w:p w14:paraId="60BAEE17" w14:textId="6FD81E05" w:rsidR="00CC067E" w:rsidRPr="006E1FBA" w:rsidRDefault="00CC067E" w:rsidP="006E1FBA">
      <w:pPr>
        <w:jc w:val="center"/>
        <w:rPr>
          <w:rFonts w:ascii="Times New Roman" w:hAnsi="Times New Roman" w:cs="Times New Roman"/>
        </w:rPr>
      </w:pPr>
      <w:r>
        <w:rPr>
          <w:noProof/>
        </w:rPr>
        <w:drawing>
          <wp:inline distT="0" distB="0" distL="0" distR="0" wp14:anchorId="2CEDD117" wp14:editId="3A7B390C">
            <wp:extent cx="1986025" cy="2100105"/>
            <wp:effectExtent l="0" t="0" r="0" b="0"/>
            <wp:docPr id="2012374142" name="Picture 3"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74142" name="Picture 3" descr="A screen shot of a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845" cy="2120006"/>
                    </a:xfrm>
                    <a:prstGeom prst="rect">
                      <a:avLst/>
                    </a:prstGeom>
                  </pic:spPr>
                </pic:pic>
              </a:graphicData>
            </a:graphic>
          </wp:inline>
        </w:drawing>
      </w:r>
    </w:p>
    <w:p w14:paraId="7E4CCC3B" w14:textId="77777777" w:rsidR="00CC067E" w:rsidRDefault="00CC067E" w:rsidP="00CC067E">
      <w:pPr>
        <w:ind w:left="360"/>
      </w:pPr>
    </w:p>
    <w:p w14:paraId="41A15D7B" w14:textId="42D66548" w:rsidR="00CC067E" w:rsidRPr="00795DD9" w:rsidRDefault="00CC067E" w:rsidP="00FB7BFB">
      <w:pPr>
        <w:pStyle w:val="ListParagraph"/>
        <w:numPr>
          <w:ilvl w:val="0"/>
          <w:numId w:val="38"/>
        </w:numPr>
        <w:spacing w:after="0" w:line="240" w:lineRule="auto"/>
        <w:rPr>
          <w:rFonts w:ascii="Times New Roman" w:hAnsi="Times New Roman" w:cs="Times New Roman"/>
        </w:rPr>
      </w:pPr>
      <w:r w:rsidRPr="00985F9F">
        <w:rPr>
          <w:rFonts w:ascii="Times New Roman" w:hAnsi="Times New Roman" w:cs="Times New Roman"/>
        </w:rPr>
        <w:t>Amount Invested and Why</w:t>
      </w:r>
    </w:p>
    <w:p w14:paraId="668C11BF" w14:textId="77777777" w:rsidR="00CC067E" w:rsidRDefault="00CC067E" w:rsidP="00CC067E">
      <w:pPr>
        <w:ind w:left="360"/>
        <w:jc w:val="center"/>
      </w:pPr>
      <w:r>
        <w:rPr>
          <w:noProof/>
        </w:rPr>
        <w:drawing>
          <wp:inline distT="0" distB="0" distL="0" distR="0" wp14:anchorId="24484519" wp14:editId="09CDCADB">
            <wp:extent cx="5943600" cy="694690"/>
            <wp:effectExtent l="0" t="0" r="0" b="3810"/>
            <wp:docPr id="141184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4309" name="Picture 1411843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pic:spPr>
                </pic:pic>
              </a:graphicData>
            </a:graphic>
          </wp:inline>
        </w:drawing>
      </w:r>
    </w:p>
    <w:p w14:paraId="3E8B7AC2" w14:textId="12324366" w:rsidR="00CC067E" w:rsidRPr="00085CB1" w:rsidRDefault="00CC067E" w:rsidP="00085CB1">
      <w:pPr>
        <w:rPr>
          <w:rFonts w:ascii="Times New Roman" w:hAnsi="Times New Roman" w:cs="Times New Roman"/>
        </w:rPr>
      </w:pPr>
      <w:r w:rsidRPr="00795DD9">
        <w:rPr>
          <w:rFonts w:ascii="Times New Roman" w:hAnsi="Times New Roman" w:cs="Times New Roman"/>
        </w:rPr>
        <w:t xml:space="preserve">We invested $8,359.20 into </w:t>
      </w:r>
      <w:proofErr w:type="gramStart"/>
      <w:r w:rsidRPr="00795DD9">
        <w:rPr>
          <w:rFonts w:ascii="Times New Roman" w:hAnsi="Times New Roman" w:cs="Times New Roman"/>
        </w:rPr>
        <w:t>54 of</w:t>
      </w:r>
      <w:proofErr w:type="gramEnd"/>
      <w:r w:rsidRPr="00795DD9">
        <w:rPr>
          <w:rFonts w:ascii="Times New Roman" w:hAnsi="Times New Roman" w:cs="Times New Roman"/>
        </w:rPr>
        <w:t xml:space="preserve"> Johnson &amp; Johnson Stocks because of the 6 previously stated reasons. We evenly distributed 8.4% to each of our funds towards 5 out of the 6 stocks we have chosen as we are confident in the diverseness in our portfolio and see them as all attractive investments.</w:t>
      </w:r>
    </w:p>
    <w:p w14:paraId="07F133D4" w14:textId="77777777" w:rsidR="00CC067E" w:rsidRPr="00795DD9" w:rsidRDefault="00CC067E" w:rsidP="00FB7BFB">
      <w:pPr>
        <w:pStyle w:val="ListParagraph"/>
        <w:numPr>
          <w:ilvl w:val="0"/>
          <w:numId w:val="38"/>
        </w:numPr>
        <w:spacing w:after="0" w:line="240" w:lineRule="auto"/>
        <w:rPr>
          <w:rFonts w:ascii="Times New Roman" w:hAnsi="Times New Roman" w:cs="Times New Roman"/>
        </w:rPr>
      </w:pPr>
      <w:r w:rsidRPr="00795DD9">
        <w:rPr>
          <w:rFonts w:ascii="Times New Roman" w:hAnsi="Times New Roman" w:cs="Times New Roman"/>
        </w:rPr>
        <w:t>Calculation of Expected Return</w:t>
      </w:r>
    </w:p>
    <w:p w14:paraId="120CD2D4" w14:textId="77777777" w:rsidR="004C2ECE" w:rsidRDefault="004C2ECE" w:rsidP="004C2ECE">
      <w:pPr>
        <w:spacing w:after="0" w:line="240" w:lineRule="auto"/>
        <w:ind w:left="360"/>
      </w:pPr>
    </w:p>
    <w:p w14:paraId="4B5E0D34" w14:textId="77777777" w:rsidR="00CC067E" w:rsidRPr="00795DD9" w:rsidRDefault="00CC067E" w:rsidP="004C2ECE">
      <w:pPr>
        <w:rPr>
          <w:rFonts w:ascii="Times New Roman" w:hAnsi="Times New Roman" w:cs="Times New Roman"/>
        </w:rPr>
      </w:pPr>
      <w:r w:rsidRPr="00795DD9">
        <w:rPr>
          <w:rFonts w:ascii="Times New Roman" w:hAnsi="Times New Roman" w:cs="Times New Roman"/>
        </w:rPr>
        <w:t>For the Johnson &amp; Johnson Stock:</w:t>
      </w:r>
    </w:p>
    <w:p w14:paraId="5199DECB" w14:textId="102939B6" w:rsidR="00CC067E" w:rsidRPr="00795DD9" w:rsidRDefault="00CC067E" w:rsidP="00CC067E">
      <w:pPr>
        <w:rPr>
          <w:rFonts w:ascii="Times New Roman" w:hAnsi="Times New Roman" w:cs="Times New Roman"/>
        </w:rPr>
      </w:pPr>
      <w:r w:rsidRPr="00795DD9">
        <w:rPr>
          <w:rFonts w:ascii="Times New Roman" w:hAnsi="Times New Roman" w:cs="Times New Roman"/>
        </w:rPr>
        <w:t>Expected Rate of Return = Rf + B*[E(Rm)-Rf)</w:t>
      </w:r>
    </w:p>
    <w:p w14:paraId="1704FE2C" w14:textId="77777777" w:rsidR="00CC067E" w:rsidRPr="00795DD9" w:rsidRDefault="00CC067E" w:rsidP="00CC067E">
      <w:pPr>
        <w:rPr>
          <w:rFonts w:ascii="Times New Roman" w:hAnsi="Times New Roman" w:cs="Times New Roman"/>
        </w:rPr>
      </w:pPr>
      <w:r w:rsidRPr="00795DD9">
        <w:rPr>
          <w:rFonts w:ascii="Times New Roman" w:hAnsi="Times New Roman" w:cs="Times New Roman"/>
        </w:rPr>
        <w:t>Where:</w:t>
      </w:r>
    </w:p>
    <w:p w14:paraId="35978B18" w14:textId="2DE572F9" w:rsidR="00CC067E" w:rsidRPr="00795DD9" w:rsidRDefault="00CC067E" w:rsidP="00FB7BFB">
      <w:pPr>
        <w:pStyle w:val="ListParagraph"/>
        <w:numPr>
          <w:ilvl w:val="0"/>
          <w:numId w:val="39"/>
        </w:numPr>
        <w:spacing w:after="0" w:line="240" w:lineRule="auto"/>
        <w:rPr>
          <w:rFonts w:ascii="Times New Roman" w:hAnsi="Times New Roman" w:cs="Times New Roman"/>
        </w:rPr>
      </w:pPr>
      <w:r w:rsidRPr="00795DD9">
        <w:rPr>
          <w:rFonts w:ascii="Times New Roman" w:hAnsi="Times New Roman" w:cs="Times New Roman"/>
        </w:rPr>
        <w:t>Rf = Risk</w:t>
      </w:r>
      <w:r w:rsidR="0022706F">
        <w:rPr>
          <w:rFonts w:ascii="Times New Roman" w:hAnsi="Times New Roman" w:cs="Times New Roman"/>
        </w:rPr>
        <w:t>-</w:t>
      </w:r>
      <w:r w:rsidRPr="00795DD9">
        <w:rPr>
          <w:rFonts w:ascii="Times New Roman" w:hAnsi="Times New Roman" w:cs="Times New Roman"/>
        </w:rPr>
        <w:t xml:space="preserve">Free Rate = </w:t>
      </w:r>
      <w:r w:rsidR="006429AC" w:rsidRPr="00795DD9">
        <w:rPr>
          <w:rFonts w:ascii="Times New Roman" w:hAnsi="Times New Roman" w:cs="Times New Roman"/>
        </w:rPr>
        <w:t>4.74</w:t>
      </w:r>
      <w:r w:rsidRPr="00795DD9">
        <w:rPr>
          <w:rFonts w:ascii="Times New Roman" w:hAnsi="Times New Roman" w:cs="Times New Roman"/>
        </w:rPr>
        <w:t>% (</w:t>
      </w:r>
      <w:r w:rsidR="006429AC" w:rsidRPr="00795DD9">
        <w:rPr>
          <w:rFonts w:ascii="Times New Roman" w:hAnsi="Times New Roman" w:cs="Times New Roman"/>
        </w:rPr>
        <w:t>US Treasury 3 Month Bill</w:t>
      </w:r>
      <w:r w:rsidRPr="00795DD9">
        <w:rPr>
          <w:rFonts w:ascii="Times New Roman" w:hAnsi="Times New Roman" w:cs="Times New Roman"/>
        </w:rPr>
        <w:t>)</w:t>
      </w:r>
    </w:p>
    <w:p w14:paraId="11BFD889" w14:textId="688514D7" w:rsidR="00CC067E" w:rsidRPr="00795DD9" w:rsidRDefault="00CC067E" w:rsidP="00FB7BFB">
      <w:pPr>
        <w:pStyle w:val="ListParagraph"/>
        <w:numPr>
          <w:ilvl w:val="0"/>
          <w:numId w:val="39"/>
        </w:numPr>
        <w:spacing w:after="0" w:line="240" w:lineRule="auto"/>
        <w:rPr>
          <w:rFonts w:ascii="Times New Roman" w:hAnsi="Times New Roman" w:cs="Times New Roman"/>
        </w:rPr>
      </w:pPr>
      <w:r w:rsidRPr="00795DD9">
        <w:rPr>
          <w:rFonts w:ascii="Times New Roman" w:hAnsi="Times New Roman" w:cs="Times New Roman"/>
        </w:rPr>
        <w:t xml:space="preserve">B = Beta = </w:t>
      </w:r>
      <w:r w:rsidR="00166A05" w:rsidRPr="00795DD9">
        <w:rPr>
          <w:rFonts w:ascii="Times New Roman" w:hAnsi="Times New Roman" w:cs="Times New Roman"/>
        </w:rPr>
        <w:t>0.52</w:t>
      </w:r>
      <w:r w:rsidRPr="00795DD9">
        <w:rPr>
          <w:rFonts w:ascii="Times New Roman" w:hAnsi="Times New Roman" w:cs="Times New Roman"/>
        </w:rPr>
        <w:t xml:space="preserve"> measure of </w:t>
      </w:r>
      <w:r w:rsidR="001B7B8E">
        <w:rPr>
          <w:rFonts w:ascii="Times New Roman" w:hAnsi="Times New Roman" w:cs="Times New Roman"/>
        </w:rPr>
        <w:t>JNJ’s</w:t>
      </w:r>
      <w:r w:rsidRPr="00795DD9">
        <w:rPr>
          <w:rFonts w:ascii="Times New Roman" w:hAnsi="Times New Roman" w:cs="Times New Roman"/>
        </w:rPr>
        <w:t xml:space="preserve"> share price volatility</w:t>
      </w:r>
    </w:p>
    <w:p w14:paraId="07E2B7D2" w14:textId="226EC3A0" w:rsidR="00CC067E" w:rsidRPr="00795DD9" w:rsidRDefault="00CC067E" w:rsidP="00FB7BFB">
      <w:pPr>
        <w:pStyle w:val="ListParagraph"/>
        <w:numPr>
          <w:ilvl w:val="0"/>
          <w:numId w:val="39"/>
        </w:numPr>
        <w:spacing w:after="0" w:line="240" w:lineRule="auto"/>
        <w:rPr>
          <w:rFonts w:ascii="Times New Roman" w:hAnsi="Times New Roman" w:cs="Times New Roman"/>
        </w:rPr>
      </w:pPr>
      <w:r w:rsidRPr="6B8529C5">
        <w:rPr>
          <w:rFonts w:ascii="Times New Roman" w:hAnsi="Times New Roman" w:cs="Times New Roman"/>
        </w:rPr>
        <w:t xml:space="preserve">E(Rm) = Expected return on the market = our benchmark which is a </w:t>
      </w:r>
      <w:r w:rsidR="00924951" w:rsidRPr="6B8529C5">
        <w:rPr>
          <w:rFonts w:ascii="Times New Roman" w:hAnsi="Times New Roman" w:cs="Times New Roman"/>
        </w:rPr>
        <w:t>10-year</w:t>
      </w:r>
      <w:r w:rsidRPr="6B8529C5">
        <w:rPr>
          <w:rFonts w:ascii="Times New Roman" w:hAnsi="Times New Roman" w:cs="Times New Roman"/>
        </w:rPr>
        <w:t xml:space="preserve"> average of </w:t>
      </w:r>
      <w:proofErr w:type="gramStart"/>
      <w:r w:rsidRPr="6B8529C5">
        <w:rPr>
          <w:rFonts w:ascii="Times New Roman" w:hAnsi="Times New Roman" w:cs="Times New Roman"/>
        </w:rPr>
        <w:t>the S</w:t>
      </w:r>
      <w:proofErr w:type="gramEnd"/>
      <w:r w:rsidRPr="6B8529C5">
        <w:rPr>
          <w:rFonts w:ascii="Times New Roman" w:hAnsi="Times New Roman" w:cs="Times New Roman"/>
        </w:rPr>
        <w:t>&amp;P 500 = The average rate of retu</w:t>
      </w:r>
      <w:r w:rsidR="09086916" w:rsidRPr="6B8529C5">
        <w:rPr>
          <w:rFonts w:ascii="Times New Roman" w:hAnsi="Times New Roman" w:cs="Times New Roman"/>
        </w:rPr>
        <w:t>r</w:t>
      </w:r>
      <w:r w:rsidRPr="6B8529C5">
        <w:rPr>
          <w:rFonts w:ascii="Times New Roman" w:hAnsi="Times New Roman" w:cs="Times New Roman"/>
        </w:rPr>
        <w:t xml:space="preserve">n for the S&amp;P 500 since 2012 is </w:t>
      </w:r>
      <w:r w:rsidR="00593A0D">
        <w:rPr>
          <w:rFonts w:ascii="Times New Roman" w:hAnsi="Times New Roman" w:cs="Times New Roman"/>
        </w:rPr>
        <w:t>13.22</w:t>
      </w:r>
      <w:r w:rsidRPr="6B8529C5">
        <w:rPr>
          <w:rFonts w:ascii="Times New Roman" w:hAnsi="Times New Roman" w:cs="Times New Roman"/>
        </w:rPr>
        <w:t>%</w:t>
      </w:r>
    </w:p>
    <w:p w14:paraId="1FB2A1AC" w14:textId="77777777" w:rsidR="00CC067E" w:rsidRPr="00795DD9" w:rsidRDefault="00CC067E" w:rsidP="00CC067E">
      <w:pPr>
        <w:rPr>
          <w:rFonts w:ascii="Times New Roman" w:hAnsi="Times New Roman" w:cs="Times New Roman"/>
        </w:rPr>
      </w:pPr>
    </w:p>
    <w:p w14:paraId="22F107AC" w14:textId="77777777" w:rsidR="00CC067E" w:rsidRPr="00795DD9" w:rsidRDefault="00CC067E" w:rsidP="00CC067E">
      <w:pPr>
        <w:rPr>
          <w:rFonts w:ascii="Times New Roman" w:hAnsi="Times New Roman" w:cs="Times New Roman"/>
        </w:rPr>
      </w:pPr>
      <w:r w:rsidRPr="00795DD9">
        <w:rPr>
          <w:rFonts w:ascii="Times New Roman" w:hAnsi="Times New Roman" w:cs="Times New Roman"/>
        </w:rPr>
        <w:lastRenderedPageBreak/>
        <w:t>Therefore:</w:t>
      </w:r>
    </w:p>
    <w:p w14:paraId="13C01034" w14:textId="77777777" w:rsidR="00CC067E" w:rsidRPr="00795DD9" w:rsidRDefault="00CC067E" w:rsidP="00CC067E">
      <w:pPr>
        <w:rPr>
          <w:rFonts w:ascii="Times New Roman" w:hAnsi="Times New Roman" w:cs="Times New Roman"/>
        </w:rPr>
      </w:pPr>
      <w:r w:rsidRPr="00795DD9">
        <w:rPr>
          <w:rFonts w:ascii="Times New Roman" w:hAnsi="Times New Roman" w:cs="Times New Roman"/>
        </w:rPr>
        <w:t>Expected Rate of Return = Rf + B*[E(Rm)-Rf]</w:t>
      </w:r>
    </w:p>
    <w:p w14:paraId="4A3A4FA4" w14:textId="4EDB2389" w:rsidR="00CC067E" w:rsidRPr="00795DD9" w:rsidRDefault="00CC067E" w:rsidP="00CC067E">
      <w:pPr>
        <w:rPr>
          <w:rFonts w:ascii="Times New Roman" w:hAnsi="Times New Roman" w:cs="Times New Roman"/>
        </w:rPr>
      </w:pPr>
      <w:r w:rsidRPr="00795DD9">
        <w:rPr>
          <w:rFonts w:ascii="Times New Roman" w:hAnsi="Times New Roman" w:cs="Times New Roman"/>
        </w:rPr>
        <w:t>=</w:t>
      </w:r>
      <w:r w:rsidR="00BD4859" w:rsidRPr="00795DD9">
        <w:rPr>
          <w:rFonts w:ascii="Times New Roman" w:hAnsi="Times New Roman" w:cs="Times New Roman"/>
        </w:rPr>
        <w:t xml:space="preserve"> </w:t>
      </w:r>
      <w:r w:rsidR="00C536D3" w:rsidRPr="00795DD9">
        <w:rPr>
          <w:rFonts w:ascii="Times New Roman" w:hAnsi="Times New Roman" w:cs="Times New Roman"/>
        </w:rPr>
        <w:t>4.74</w:t>
      </w:r>
      <w:r w:rsidR="001075CD" w:rsidRPr="00795DD9">
        <w:rPr>
          <w:rFonts w:ascii="Times New Roman" w:hAnsi="Times New Roman" w:cs="Times New Roman"/>
        </w:rPr>
        <w:t xml:space="preserve">% + </w:t>
      </w:r>
      <w:r w:rsidR="00F7035A" w:rsidRPr="00795DD9">
        <w:rPr>
          <w:rFonts w:ascii="Times New Roman" w:hAnsi="Times New Roman" w:cs="Times New Roman"/>
        </w:rPr>
        <w:t>0.</w:t>
      </w:r>
      <w:r w:rsidR="00FE279D">
        <w:rPr>
          <w:rFonts w:ascii="Times New Roman" w:hAnsi="Times New Roman" w:cs="Times New Roman"/>
        </w:rPr>
        <w:t>5</w:t>
      </w:r>
      <w:r w:rsidR="00F7035A" w:rsidRPr="00795DD9">
        <w:rPr>
          <w:rFonts w:ascii="Times New Roman" w:hAnsi="Times New Roman" w:cs="Times New Roman"/>
        </w:rPr>
        <w:t xml:space="preserve">2 * </w:t>
      </w:r>
      <w:r w:rsidR="005F7AC1" w:rsidRPr="00795DD9">
        <w:rPr>
          <w:rFonts w:ascii="Times New Roman" w:hAnsi="Times New Roman" w:cs="Times New Roman"/>
        </w:rPr>
        <w:t>[</w:t>
      </w:r>
      <w:r w:rsidR="00F64E4B">
        <w:rPr>
          <w:rFonts w:ascii="Times New Roman" w:hAnsi="Times New Roman" w:cs="Times New Roman"/>
        </w:rPr>
        <w:t>13.22</w:t>
      </w:r>
      <w:r w:rsidR="00F04A43" w:rsidRPr="00795DD9">
        <w:rPr>
          <w:rFonts w:ascii="Times New Roman" w:hAnsi="Times New Roman" w:cs="Times New Roman"/>
        </w:rPr>
        <w:t>%</w:t>
      </w:r>
      <w:r w:rsidR="00593A0D">
        <w:rPr>
          <w:rFonts w:ascii="Times New Roman" w:hAnsi="Times New Roman" w:cs="Times New Roman"/>
        </w:rPr>
        <w:t xml:space="preserve"> </w:t>
      </w:r>
      <w:r w:rsidR="00F04A43" w:rsidRPr="00795DD9">
        <w:rPr>
          <w:rFonts w:ascii="Times New Roman" w:hAnsi="Times New Roman" w:cs="Times New Roman"/>
        </w:rPr>
        <w:t>-</w:t>
      </w:r>
      <w:r w:rsidR="00593A0D">
        <w:rPr>
          <w:rFonts w:ascii="Times New Roman" w:hAnsi="Times New Roman" w:cs="Times New Roman"/>
        </w:rPr>
        <w:t xml:space="preserve"> </w:t>
      </w:r>
      <w:r w:rsidR="00D91973" w:rsidRPr="00795DD9">
        <w:rPr>
          <w:rFonts w:ascii="Times New Roman" w:hAnsi="Times New Roman" w:cs="Times New Roman"/>
        </w:rPr>
        <w:t>4.74</w:t>
      </w:r>
      <w:r w:rsidR="00854680" w:rsidRPr="00795DD9">
        <w:rPr>
          <w:rFonts w:ascii="Times New Roman" w:hAnsi="Times New Roman" w:cs="Times New Roman"/>
        </w:rPr>
        <w:t>%</w:t>
      </w:r>
      <w:r w:rsidR="00D91973" w:rsidRPr="00795DD9">
        <w:rPr>
          <w:rFonts w:ascii="Times New Roman" w:hAnsi="Times New Roman" w:cs="Times New Roman"/>
        </w:rPr>
        <w:t>]</w:t>
      </w:r>
    </w:p>
    <w:p w14:paraId="3A0E1B9F" w14:textId="70721B7C" w:rsidR="00CC067E" w:rsidRPr="00795DD9" w:rsidRDefault="00CC067E" w:rsidP="00CC067E">
      <w:pPr>
        <w:rPr>
          <w:rFonts w:ascii="Times New Roman" w:hAnsi="Times New Roman" w:cs="Times New Roman"/>
        </w:rPr>
      </w:pPr>
      <w:r w:rsidRPr="00795DD9">
        <w:rPr>
          <w:rFonts w:ascii="Times New Roman" w:hAnsi="Times New Roman" w:cs="Times New Roman"/>
          <w:highlight w:val="lightGray"/>
        </w:rPr>
        <w:t>=</w:t>
      </w:r>
      <w:r w:rsidR="00854680" w:rsidRPr="00795DD9">
        <w:rPr>
          <w:rFonts w:ascii="Times New Roman" w:hAnsi="Times New Roman" w:cs="Times New Roman"/>
          <w:highlight w:val="lightGray"/>
        </w:rPr>
        <w:t xml:space="preserve"> </w:t>
      </w:r>
      <w:r w:rsidR="00593A0D">
        <w:rPr>
          <w:rFonts w:ascii="Times New Roman" w:hAnsi="Times New Roman" w:cs="Times New Roman"/>
          <w:highlight w:val="lightGray"/>
        </w:rPr>
        <w:t>9.15</w:t>
      </w:r>
      <w:r w:rsidR="00854680" w:rsidRPr="00795DD9">
        <w:rPr>
          <w:rFonts w:ascii="Times New Roman" w:hAnsi="Times New Roman" w:cs="Times New Roman"/>
          <w:highlight w:val="lightGray"/>
        </w:rPr>
        <w:t>%</w:t>
      </w:r>
    </w:p>
    <w:p w14:paraId="4A4682D2" w14:textId="77777777" w:rsidR="00CC067E" w:rsidRDefault="00CC067E" w:rsidP="00CC067E"/>
    <w:p w14:paraId="0E1586E3" w14:textId="77777777" w:rsidR="00CC067E" w:rsidRDefault="00CC067E" w:rsidP="00CC067E"/>
    <w:p w14:paraId="203C137C" w14:textId="082C0A21" w:rsidR="00F54BD6" w:rsidRDefault="00F54BD6" w:rsidP="6B8529C5">
      <w:pPr>
        <w:rPr>
          <w:rFonts w:ascii="Times New Roman" w:hAnsi="Times New Roman" w:cs="Times New Roman"/>
          <w:b/>
          <w:bCs/>
          <w:sz w:val="28"/>
          <w:szCs w:val="28"/>
        </w:rPr>
      </w:pPr>
      <w:r w:rsidRPr="6B8529C5">
        <w:rPr>
          <w:rFonts w:ascii="Times New Roman" w:hAnsi="Times New Roman" w:cs="Times New Roman"/>
          <w:b/>
          <w:bCs/>
          <w:sz w:val="28"/>
          <w:szCs w:val="28"/>
        </w:rPr>
        <w:t>Investment 2</w:t>
      </w:r>
      <w:r w:rsidR="02CE0D57" w:rsidRPr="6B8529C5">
        <w:rPr>
          <w:rFonts w:ascii="Times New Roman" w:hAnsi="Times New Roman" w:cs="Times New Roman"/>
          <w:b/>
          <w:bCs/>
          <w:sz w:val="28"/>
          <w:szCs w:val="28"/>
        </w:rPr>
        <w:t>:</w:t>
      </w:r>
      <w:r w:rsidR="006A0ECD">
        <w:rPr>
          <w:rFonts w:ascii="Times New Roman" w:hAnsi="Times New Roman" w:cs="Times New Roman"/>
          <w:b/>
          <w:bCs/>
          <w:sz w:val="28"/>
          <w:szCs w:val="28"/>
        </w:rPr>
        <w:t xml:space="preserve"> Tesla Inc. (NYSE:</w:t>
      </w:r>
      <w:r w:rsidR="00DE3D23">
        <w:rPr>
          <w:rFonts w:ascii="Times New Roman" w:hAnsi="Times New Roman" w:cs="Times New Roman"/>
          <w:b/>
          <w:bCs/>
          <w:sz w:val="28"/>
          <w:szCs w:val="28"/>
        </w:rPr>
        <w:t xml:space="preserve"> </w:t>
      </w:r>
      <w:r w:rsidR="006A0ECD">
        <w:rPr>
          <w:rFonts w:ascii="Times New Roman" w:hAnsi="Times New Roman" w:cs="Times New Roman"/>
          <w:b/>
          <w:bCs/>
          <w:sz w:val="28"/>
          <w:szCs w:val="28"/>
        </w:rPr>
        <w:t>TSLA)</w:t>
      </w:r>
    </w:p>
    <w:p w14:paraId="3C7451A8" w14:textId="572C80EC" w:rsidR="6B8529C5" w:rsidRPr="00DE3D23" w:rsidRDefault="6B8529C5">
      <w:pPr>
        <w:rPr>
          <w:rFonts w:ascii="Times New Roman" w:hAnsi="Times New Roman" w:cs="Times New Roman"/>
        </w:rPr>
      </w:pPr>
    </w:p>
    <w:tbl>
      <w:tblPr>
        <w:tblW w:w="9826" w:type="dxa"/>
        <w:tblLayout w:type="fixed"/>
        <w:tblLook w:val="06A0" w:firstRow="1" w:lastRow="0" w:firstColumn="1" w:lastColumn="0" w:noHBand="1" w:noVBand="1"/>
      </w:tblPr>
      <w:tblGrid>
        <w:gridCol w:w="1354"/>
        <w:gridCol w:w="1354"/>
        <w:gridCol w:w="1354"/>
        <w:gridCol w:w="1354"/>
        <w:gridCol w:w="1702"/>
        <w:gridCol w:w="1354"/>
        <w:gridCol w:w="1354"/>
      </w:tblGrid>
      <w:tr w:rsidR="6B8529C5" w:rsidRPr="00DE3D23" w14:paraId="749FC791" w14:textId="77777777" w:rsidTr="00282A73">
        <w:trPr>
          <w:trHeight w:val="716"/>
        </w:trPr>
        <w:tc>
          <w:tcPr>
            <w:tcW w:w="1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0A8566B" w14:textId="63F56EA5" w:rsidR="6B8529C5" w:rsidRPr="00DE3D23" w:rsidRDefault="6B8529C5" w:rsidP="6B8529C5">
            <w:pPr>
              <w:spacing w:after="0"/>
              <w:rPr>
                <w:rFonts w:ascii="Times New Roman" w:hAnsi="Times New Roman" w:cs="Times New Roman"/>
              </w:rPr>
            </w:pPr>
            <w:r w:rsidRPr="00DE3D23">
              <w:rPr>
                <w:rFonts w:ascii="Times New Roman" w:eastAsia="Calibri" w:hAnsi="Times New Roman" w:cs="Times New Roman"/>
                <w:color w:val="000000" w:themeColor="text1"/>
              </w:rPr>
              <w:t>2.</w:t>
            </w:r>
          </w:p>
        </w:tc>
        <w:tc>
          <w:tcPr>
            <w:tcW w:w="1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2D7E077" w14:textId="453FA179" w:rsidR="6B8529C5" w:rsidRPr="00DE3D23" w:rsidRDefault="6B8529C5" w:rsidP="6B8529C5">
            <w:pPr>
              <w:spacing w:after="0"/>
              <w:rPr>
                <w:rFonts w:ascii="Times New Roman" w:hAnsi="Times New Roman" w:cs="Times New Roman"/>
              </w:rPr>
            </w:pPr>
            <w:r w:rsidRPr="00DE3D23">
              <w:rPr>
                <w:rFonts w:ascii="Times New Roman" w:eastAsia="Calibri" w:hAnsi="Times New Roman" w:cs="Times New Roman"/>
                <w:color w:val="000000" w:themeColor="text1"/>
              </w:rPr>
              <w:t>TESLA INC</w:t>
            </w:r>
          </w:p>
        </w:tc>
        <w:tc>
          <w:tcPr>
            <w:tcW w:w="1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379792E" w14:textId="2B27C312" w:rsidR="6B8529C5" w:rsidRPr="00DE3D23" w:rsidRDefault="6B8529C5" w:rsidP="6B8529C5">
            <w:pPr>
              <w:spacing w:after="0"/>
              <w:rPr>
                <w:rFonts w:ascii="Times New Roman" w:hAnsi="Times New Roman" w:cs="Times New Roman"/>
              </w:rPr>
            </w:pPr>
            <w:r w:rsidRPr="00DE3D23">
              <w:rPr>
                <w:rFonts w:ascii="Times New Roman" w:eastAsia="Calibri" w:hAnsi="Times New Roman" w:cs="Times New Roman"/>
                <w:color w:val="000000" w:themeColor="text1"/>
              </w:rPr>
              <w:t>INDIVIDUAL STOCK</w:t>
            </w:r>
          </w:p>
        </w:tc>
        <w:tc>
          <w:tcPr>
            <w:tcW w:w="1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C8B2122" w14:textId="5F306F24" w:rsidR="6B8529C5" w:rsidRPr="00DE3D23" w:rsidRDefault="6B8529C5" w:rsidP="6B8529C5">
            <w:pPr>
              <w:spacing w:after="0"/>
              <w:rPr>
                <w:rFonts w:ascii="Times New Roman" w:hAnsi="Times New Roman" w:cs="Times New Roman"/>
              </w:rPr>
            </w:pPr>
            <w:r w:rsidRPr="00DE3D23">
              <w:rPr>
                <w:rFonts w:ascii="Times New Roman" w:eastAsia="Calibri" w:hAnsi="Times New Roman" w:cs="Times New Roman"/>
                <w:color w:val="000000" w:themeColor="text1"/>
              </w:rPr>
              <w:t>NASDAQ GS</w:t>
            </w:r>
          </w:p>
        </w:tc>
        <w:tc>
          <w:tcPr>
            <w:tcW w:w="1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AFD69BE" w14:textId="20DA2300" w:rsidR="6B8529C5" w:rsidRPr="00DE3D23" w:rsidRDefault="6B8529C5" w:rsidP="6B8529C5">
            <w:pPr>
              <w:spacing w:after="0"/>
              <w:rPr>
                <w:rFonts w:ascii="Times New Roman" w:hAnsi="Times New Roman" w:cs="Times New Roman"/>
              </w:rPr>
            </w:pPr>
            <w:r w:rsidRPr="00DE3D23">
              <w:rPr>
                <w:rFonts w:ascii="Times New Roman" w:eastAsia="Calibri" w:hAnsi="Times New Roman" w:cs="Times New Roman"/>
                <w:color w:val="000000" w:themeColor="text1"/>
              </w:rPr>
              <w:t xml:space="preserve">Austin Texas (headquarters), California, Nevada, New York, Germany and China. </w:t>
            </w:r>
          </w:p>
        </w:tc>
        <w:tc>
          <w:tcPr>
            <w:tcW w:w="1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C8C6007" w14:textId="24DBAF2F" w:rsidR="6B8529C5" w:rsidRPr="00DE3D23" w:rsidRDefault="6B8529C5" w:rsidP="6B8529C5">
            <w:pPr>
              <w:spacing w:after="0"/>
              <w:rPr>
                <w:rFonts w:ascii="Times New Roman" w:hAnsi="Times New Roman" w:cs="Times New Roman"/>
              </w:rPr>
            </w:pPr>
            <w:r w:rsidRPr="00DE3D23">
              <w:rPr>
                <w:rFonts w:ascii="Times New Roman" w:eastAsia="Calibri" w:hAnsi="Times New Roman" w:cs="Times New Roman"/>
                <w:color w:val="000000" w:themeColor="text1"/>
              </w:rPr>
              <w:t>8434.08</w:t>
            </w:r>
          </w:p>
        </w:tc>
        <w:tc>
          <w:tcPr>
            <w:tcW w:w="1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3C93361" w14:textId="0AFA05C6" w:rsidR="6B8529C5" w:rsidRPr="00DE3D23" w:rsidRDefault="6B8529C5" w:rsidP="6B8529C5">
            <w:pPr>
              <w:spacing w:after="0"/>
              <w:rPr>
                <w:rFonts w:ascii="Times New Roman" w:hAnsi="Times New Roman" w:cs="Times New Roman"/>
              </w:rPr>
            </w:pPr>
            <w:r w:rsidRPr="00DE3D23">
              <w:rPr>
                <w:rFonts w:ascii="Times New Roman" w:eastAsia="Calibri" w:hAnsi="Times New Roman" w:cs="Times New Roman"/>
                <w:color w:val="000000" w:themeColor="text1"/>
              </w:rPr>
              <w:t>8.434%</w:t>
            </w:r>
          </w:p>
        </w:tc>
      </w:tr>
    </w:tbl>
    <w:p w14:paraId="206E963C" w14:textId="646518EC" w:rsidR="2C1158CB" w:rsidRPr="00DE3D23" w:rsidRDefault="2C1158CB" w:rsidP="00FB7BFB">
      <w:pPr>
        <w:pStyle w:val="ListParagraph"/>
        <w:numPr>
          <w:ilvl w:val="0"/>
          <w:numId w:val="60"/>
        </w:numPr>
        <w:spacing w:before="220" w:after="220"/>
        <w:rPr>
          <w:rFonts w:ascii="Times New Roman" w:eastAsia="Calibri" w:hAnsi="Times New Roman" w:cs="Times New Roman"/>
          <w:color w:val="000000" w:themeColor="text1"/>
        </w:rPr>
      </w:pPr>
      <w:r w:rsidRPr="00DE3D23">
        <w:rPr>
          <w:rFonts w:ascii="Times New Roman" w:eastAsia="Calibri" w:hAnsi="Times New Roman" w:cs="Times New Roman"/>
          <w:color w:val="000000" w:themeColor="text1"/>
        </w:rPr>
        <w:t xml:space="preserve">Company Background </w:t>
      </w:r>
    </w:p>
    <w:p w14:paraId="2FCA0741" w14:textId="50B4DB25" w:rsidR="6B8529C5" w:rsidRPr="00DE3D23" w:rsidRDefault="2C1158CB">
      <w:pPr>
        <w:rPr>
          <w:rFonts w:ascii="Times New Roman" w:hAnsi="Times New Roman" w:cs="Times New Roman"/>
        </w:rPr>
      </w:pPr>
      <w:r w:rsidRPr="00DE3D23">
        <w:rPr>
          <w:rFonts w:ascii="Times New Roman" w:eastAsia="Calibri" w:hAnsi="Times New Roman" w:cs="Times New Roman"/>
          <w:color w:val="000000" w:themeColor="text1"/>
        </w:rPr>
        <w:t xml:space="preserve">Another stock we will be investing </w:t>
      </w:r>
      <w:proofErr w:type="gramStart"/>
      <w:r w:rsidRPr="00DE3D23">
        <w:rPr>
          <w:rFonts w:ascii="Times New Roman" w:eastAsia="Calibri" w:hAnsi="Times New Roman" w:cs="Times New Roman"/>
          <w:color w:val="000000" w:themeColor="text1"/>
        </w:rPr>
        <w:t>In</w:t>
      </w:r>
      <w:proofErr w:type="gramEnd"/>
      <w:r w:rsidRPr="00DE3D23">
        <w:rPr>
          <w:rFonts w:ascii="Times New Roman" w:eastAsia="Calibri" w:hAnsi="Times New Roman" w:cs="Times New Roman"/>
          <w:color w:val="000000" w:themeColor="text1"/>
        </w:rPr>
        <w:t xml:space="preserve"> is TESLA INC. TESLA INC is a multinational company with its headquarters in Austin Texas and has spread its production across Europe and Asia.</w:t>
      </w:r>
      <w:r w:rsidR="007C0342" w:rsidRPr="00DE3D23">
        <w:rPr>
          <w:rFonts w:ascii="Times New Roman" w:hAnsi="Times New Roman" w:cs="Times New Roman"/>
        </w:rPr>
        <w:t xml:space="preserve"> </w:t>
      </w:r>
      <w:r w:rsidRPr="00DE3D23">
        <w:rPr>
          <w:rFonts w:ascii="Times New Roman" w:eastAsia="Calibri" w:hAnsi="Times New Roman" w:cs="Times New Roman"/>
          <w:color w:val="000000" w:themeColor="text1"/>
        </w:rPr>
        <w:t xml:space="preserve">Tesla was founded in 2003, </w:t>
      </w:r>
      <w:r w:rsidR="006A0ECD" w:rsidRPr="00DE3D23">
        <w:rPr>
          <w:rFonts w:ascii="Times New Roman" w:eastAsia="Calibri" w:hAnsi="Times New Roman" w:cs="Times New Roman"/>
          <w:color w:val="000000" w:themeColor="text1"/>
        </w:rPr>
        <w:t>specializing</w:t>
      </w:r>
      <w:r w:rsidRPr="00DE3D23">
        <w:rPr>
          <w:rFonts w:ascii="Times New Roman" w:eastAsia="Calibri" w:hAnsi="Times New Roman" w:cs="Times New Roman"/>
          <w:color w:val="000000" w:themeColor="text1"/>
        </w:rPr>
        <w:t xml:space="preserve"> in designing, developing, manufacturing and marketing high</w:t>
      </w:r>
      <w:r w:rsidR="006A0ECD" w:rsidRPr="00DE3D23">
        <w:rPr>
          <w:rFonts w:ascii="Times New Roman" w:eastAsia="Calibri" w:hAnsi="Times New Roman" w:cs="Times New Roman"/>
          <w:color w:val="000000" w:themeColor="text1"/>
        </w:rPr>
        <w:t>-</w:t>
      </w:r>
      <w:r w:rsidRPr="00DE3D23">
        <w:rPr>
          <w:rFonts w:ascii="Times New Roman" w:eastAsia="Calibri" w:hAnsi="Times New Roman" w:cs="Times New Roman"/>
          <w:color w:val="000000" w:themeColor="text1"/>
        </w:rPr>
        <w:t xml:space="preserve">performance technologically advanced electric cars, solar energy generation and storage products. Choosing to invest in this stock helps our portfolio to diversify into the Electric Vehicle (E.V.) industry which is one of the rapidly growing sectors due to the demand </w:t>
      </w:r>
      <w:proofErr w:type="gramStart"/>
      <w:r w:rsidRPr="00DE3D23">
        <w:rPr>
          <w:rFonts w:ascii="Times New Roman" w:eastAsia="Calibri" w:hAnsi="Times New Roman" w:cs="Times New Roman"/>
          <w:color w:val="000000" w:themeColor="text1"/>
        </w:rPr>
        <w:t>of</w:t>
      </w:r>
      <w:proofErr w:type="gramEnd"/>
      <w:r w:rsidRPr="00DE3D23">
        <w:rPr>
          <w:rFonts w:ascii="Times New Roman" w:eastAsia="Calibri" w:hAnsi="Times New Roman" w:cs="Times New Roman"/>
          <w:color w:val="000000" w:themeColor="text1"/>
        </w:rPr>
        <w:t xml:space="preserve"> eco-friendly and power saving sources of energy generation. This company is leading the E.V. industry as they leverage on the strength of the company</w:t>
      </w:r>
      <w:r w:rsidR="006A0ECD" w:rsidRPr="00DE3D23">
        <w:rPr>
          <w:rFonts w:ascii="Times New Roman" w:eastAsia="Calibri" w:hAnsi="Times New Roman" w:cs="Times New Roman"/>
          <w:color w:val="000000" w:themeColor="text1"/>
        </w:rPr>
        <w:t>’s</w:t>
      </w:r>
      <w:r w:rsidRPr="00DE3D23">
        <w:rPr>
          <w:rFonts w:ascii="Times New Roman" w:eastAsia="Calibri" w:hAnsi="Times New Roman" w:cs="Times New Roman"/>
          <w:color w:val="000000" w:themeColor="text1"/>
        </w:rPr>
        <w:t xml:space="preserve"> production capacity and advanced technology to spread across the globe as well as diversify into </w:t>
      </w:r>
      <w:r w:rsidR="006A0ECD" w:rsidRPr="00DE3D23">
        <w:rPr>
          <w:rFonts w:ascii="Times New Roman" w:eastAsia="Calibri" w:hAnsi="Times New Roman" w:cs="Times New Roman"/>
          <w:color w:val="000000" w:themeColor="text1"/>
        </w:rPr>
        <w:t xml:space="preserve">the </w:t>
      </w:r>
      <w:r w:rsidRPr="00DE3D23">
        <w:rPr>
          <w:rFonts w:ascii="Times New Roman" w:eastAsia="Calibri" w:hAnsi="Times New Roman" w:cs="Times New Roman"/>
          <w:color w:val="000000" w:themeColor="text1"/>
        </w:rPr>
        <w:t>production of all kinds of vehicles and trucks.</w:t>
      </w:r>
    </w:p>
    <w:p w14:paraId="73736B56" w14:textId="77777777" w:rsidR="007C0342" w:rsidRPr="00DE3D23" w:rsidRDefault="007C0342">
      <w:pPr>
        <w:rPr>
          <w:rFonts w:ascii="Times New Roman" w:hAnsi="Times New Roman" w:cs="Times New Roman"/>
        </w:rPr>
      </w:pPr>
    </w:p>
    <w:p w14:paraId="78CD001C" w14:textId="3B1507B0" w:rsidR="00DE3D23" w:rsidRPr="00DE3D23" w:rsidRDefault="00DE3D23" w:rsidP="00FB7BFB">
      <w:pPr>
        <w:pStyle w:val="ListParagraph"/>
        <w:numPr>
          <w:ilvl w:val="0"/>
          <w:numId w:val="60"/>
        </w:numPr>
        <w:rPr>
          <w:rFonts w:ascii="Times New Roman" w:eastAsia="Calibri" w:hAnsi="Times New Roman" w:cs="Times New Roman"/>
          <w:color w:val="000000" w:themeColor="text1"/>
        </w:rPr>
      </w:pPr>
      <w:r w:rsidRPr="00DE3D23">
        <w:rPr>
          <w:rFonts w:ascii="Times New Roman" w:hAnsi="Times New Roman" w:cs="Times New Roman"/>
          <w:kern w:val="0"/>
        </w:rPr>
        <w:t xml:space="preserve">Fundamental Analysis: </w:t>
      </w:r>
      <w:r w:rsidRPr="00DE3D23">
        <w:rPr>
          <w:rFonts w:ascii="Times New Roman" w:hAnsi="Times New Roman" w:cs="Times New Roman"/>
          <w:i/>
          <w:iCs/>
          <w:kern w:val="0"/>
        </w:rPr>
        <w:t>Reasons why we chose to invest in this security</w:t>
      </w:r>
    </w:p>
    <w:p w14:paraId="1F23D74F" w14:textId="7E599510" w:rsidR="6B8529C5" w:rsidRPr="00DE3D23" w:rsidRDefault="2C1158CB">
      <w:pPr>
        <w:rPr>
          <w:rFonts w:ascii="Times New Roman" w:hAnsi="Times New Roman" w:cs="Times New Roman"/>
        </w:rPr>
      </w:pPr>
      <w:r w:rsidRPr="00DE3D23">
        <w:rPr>
          <w:rFonts w:ascii="Times New Roman" w:eastAsia="Calibri" w:hAnsi="Times New Roman" w:cs="Times New Roman"/>
          <w:color w:val="000000" w:themeColor="text1"/>
        </w:rPr>
        <w:t>Tesla Inc. (TSLA) has demonstrated notable financial performance, making it a compelling investment option. Here's an assessment based on key financial ratios:</w:t>
      </w:r>
    </w:p>
    <w:p w14:paraId="45A825DA" w14:textId="767B6298" w:rsidR="2C1158CB" w:rsidRPr="00DE3D23" w:rsidRDefault="00B40F6C" w:rsidP="007B79BD">
      <w:pPr>
        <w:ind w:firstLine="720"/>
        <w:rPr>
          <w:rFonts w:ascii="Times New Roman" w:hAnsi="Times New Roman" w:cs="Times New Roman"/>
        </w:rPr>
      </w:pPr>
      <w:r>
        <w:rPr>
          <w:rFonts w:ascii="Times New Roman" w:eastAsia="Calibri" w:hAnsi="Times New Roman" w:cs="Times New Roman"/>
          <w:color w:val="000000" w:themeColor="text1"/>
        </w:rPr>
        <w:t xml:space="preserve">Reason </w:t>
      </w:r>
      <w:r w:rsidR="2C1158CB" w:rsidRPr="00DE3D23">
        <w:rPr>
          <w:rFonts w:ascii="Times New Roman" w:eastAsia="Calibri" w:hAnsi="Times New Roman" w:cs="Times New Roman"/>
          <w:color w:val="000000" w:themeColor="text1"/>
        </w:rPr>
        <w:t>1</w:t>
      </w:r>
      <w:r w:rsidR="007B79BD">
        <w:rPr>
          <w:rFonts w:ascii="Times New Roman" w:eastAsia="Calibri" w:hAnsi="Times New Roman" w:cs="Times New Roman"/>
          <w:color w:val="000000" w:themeColor="text1"/>
        </w:rPr>
        <w:t xml:space="preserve">: </w:t>
      </w:r>
      <w:r w:rsidR="2C1158CB" w:rsidRPr="00DE3D23">
        <w:rPr>
          <w:rFonts w:ascii="Times New Roman" w:eastAsia="Calibri" w:hAnsi="Times New Roman" w:cs="Times New Roman"/>
          <w:color w:val="000000" w:themeColor="text1"/>
        </w:rPr>
        <w:t>Profitability</w:t>
      </w:r>
    </w:p>
    <w:p w14:paraId="01350D8E" w14:textId="654F14E1" w:rsidR="6B8529C5" w:rsidRPr="00DE3D23" w:rsidRDefault="6B8529C5">
      <w:pPr>
        <w:rPr>
          <w:rFonts w:ascii="Times New Roman" w:hAnsi="Times New Roman" w:cs="Times New Roman"/>
        </w:rPr>
      </w:pPr>
    </w:p>
    <w:p w14:paraId="28776D00" w14:textId="2B0B5404"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Calibri" w:hAnsi="Times New Roman" w:cs="Times New Roman"/>
          <w:color w:val="222222"/>
        </w:rPr>
        <w:lastRenderedPageBreak/>
        <w:t>The profitability of this company can be assessed based on several metrics in the provided data:</w:t>
      </w:r>
    </w:p>
    <w:p w14:paraId="70EB0938" w14:textId="5CEC2306"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Calibri" w:hAnsi="Times New Roman" w:cs="Times New Roman"/>
          <w:color w:val="222222"/>
        </w:rPr>
        <w:t>1a. EBITDA (14.7B) and EBIT (8.9B): These indicate the company's strong operational profitability before and after depreciation and amortization. A high EBITDA and EBIT suggest robust operational performance.</w:t>
      </w:r>
    </w:p>
    <w:p w14:paraId="708B4D26" w14:textId="219B1FD9" w:rsidR="6B8529C5" w:rsidRPr="00DE3D23" w:rsidRDefault="6B8529C5" w:rsidP="6B8529C5">
      <w:pPr>
        <w:shd w:val="clear" w:color="auto" w:fill="FFFFFF" w:themeFill="background1"/>
        <w:spacing w:after="0"/>
        <w:rPr>
          <w:rFonts w:ascii="Times New Roman" w:hAnsi="Times New Roman" w:cs="Times New Roman"/>
        </w:rPr>
      </w:pPr>
    </w:p>
    <w:p w14:paraId="78BFE262" w14:textId="2D3E7325" w:rsidR="2C1158CB" w:rsidRPr="0039209C" w:rsidRDefault="2C1158CB" w:rsidP="6B8529C5">
      <w:pPr>
        <w:shd w:val="clear" w:color="auto" w:fill="FFFFFF" w:themeFill="background1"/>
        <w:spacing w:after="0"/>
        <w:rPr>
          <w:rFonts w:ascii="Times New Roman" w:hAnsi="Times New Roman" w:cs="Times New Roman"/>
          <w:i/>
          <w:iCs/>
        </w:rPr>
      </w:pPr>
      <w:r w:rsidRPr="0039209C">
        <w:rPr>
          <w:rFonts w:ascii="Times New Roman" w:eastAsia="Calibri" w:hAnsi="Times New Roman" w:cs="Times New Roman"/>
          <w:i/>
          <w:iCs/>
          <w:color w:val="222222"/>
        </w:rPr>
        <w:t>1b. Profit Margins:</w:t>
      </w:r>
    </w:p>
    <w:p w14:paraId="069388B5" w14:textId="1F21E2B7"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Calibri" w:hAnsi="Times New Roman" w:cs="Times New Roman"/>
          <w:color w:val="222222"/>
        </w:rPr>
        <w:t>Operating Profit Margin (OPM): 9.2%</w:t>
      </w:r>
    </w:p>
    <w:p w14:paraId="6DAFC48F" w14:textId="49493F1F"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Calibri" w:hAnsi="Times New Roman" w:cs="Times New Roman"/>
          <w:color w:val="222222"/>
        </w:rPr>
        <w:t>This indicates that the company earns 9.2 cents of operating profit for every dollar of revenue, showing operational efficiency.</w:t>
      </w:r>
    </w:p>
    <w:p w14:paraId="0B93CDCB" w14:textId="3D2CBE93"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Calibri" w:hAnsi="Times New Roman" w:cs="Times New Roman"/>
          <w:color w:val="222222"/>
        </w:rPr>
        <w:t>Pretax Margin: 10.3%</w:t>
      </w:r>
    </w:p>
    <w:p w14:paraId="5DD4EAD6" w14:textId="55421275" w:rsidR="2C1158CB" w:rsidRDefault="2C1158CB" w:rsidP="6B8529C5">
      <w:pPr>
        <w:shd w:val="clear" w:color="auto" w:fill="FFFFFF" w:themeFill="background1"/>
        <w:spacing w:after="0"/>
        <w:rPr>
          <w:rFonts w:ascii="Times New Roman" w:eastAsia="Calibri" w:hAnsi="Times New Roman" w:cs="Times New Roman"/>
          <w:color w:val="222222"/>
        </w:rPr>
      </w:pPr>
      <w:r w:rsidRPr="00DE3D23">
        <w:rPr>
          <w:rFonts w:ascii="Times New Roman" w:eastAsia="Calibri" w:hAnsi="Times New Roman" w:cs="Times New Roman"/>
          <w:color w:val="222222"/>
        </w:rPr>
        <w:t>This is slightly higher than the OPM, indicating that interest costs or other deductions are not excessively reducing profitability.</w:t>
      </w:r>
    </w:p>
    <w:p w14:paraId="53C64232" w14:textId="77777777" w:rsidR="009D03E4" w:rsidRPr="00DE3D23" w:rsidRDefault="009D03E4" w:rsidP="6B8529C5">
      <w:pPr>
        <w:shd w:val="clear" w:color="auto" w:fill="FFFFFF" w:themeFill="background1"/>
        <w:spacing w:after="0"/>
        <w:rPr>
          <w:rFonts w:ascii="Times New Roman" w:hAnsi="Times New Roman" w:cs="Times New Roman"/>
        </w:rPr>
      </w:pPr>
    </w:p>
    <w:p w14:paraId="2F21D494" w14:textId="385E47CD" w:rsidR="2C1158CB" w:rsidRPr="009D03E4" w:rsidRDefault="2C1158CB" w:rsidP="6B8529C5">
      <w:pPr>
        <w:shd w:val="clear" w:color="auto" w:fill="FFFFFF" w:themeFill="background1"/>
        <w:spacing w:after="0"/>
        <w:rPr>
          <w:rFonts w:ascii="Times New Roman" w:hAnsi="Times New Roman" w:cs="Times New Roman"/>
          <w:i/>
          <w:iCs/>
        </w:rPr>
      </w:pPr>
      <w:r w:rsidRPr="009D03E4">
        <w:rPr>
          <w:rFonts w:ascii="Times New Roman" w:eastAsia="Calibri" w:hAnsi="Times New Roman" w:cs="Times New Roman"/>
          <w:i/>
          <w:iCs/>
          <w:color w:val="222222"/>
        </w:rPr>
        <w:t>1c. ROA (11.9%) and ROE (20.6%):</w:t>
      </w:r>
    </w:p>
    <w:p w14:paraId="5AAE448C" w14:textId="4AA91E12" w:rsidR="2C1158CB" w:rsidRDefault="2C1158CB" w:rsidP="6B8529C5">
      <w:pPr>
        <w:shd w:val="clear" w:color="auto" w:fill="FFFFFF" w:themeFill="background1"/>
        <w:spacing w:after="0"/>
        <w:rPr>
          <w:rFonts w:ascii="Times New Roman" w:eastAsia="Calibri" w:hAnsi="Times New Roman" w:cs="Times New Roman"/>
          <w:color w:val="222222"/>
        </w:rPr>
      </w:pPr>
      <w:r w:rsidRPr="00DE3D23">
        <w:rPr>
          <w:rFonts w:ascii="Times New Roman" w:eastAsia="Calibri" w:hAnsi="Times New Roman" w:cs="Times New Roman"/>
          <w:color w:val="222222"/>
        </w:rPr>
        <w:t>These indicate strong returns on assets and equity. ROE being significantly higher than ROA reflects effective leverage use, meaning the company generates substantial returns for its equity holders.</w:t>
      </w:r>
    </w:p>
    <w:p w14:paraId="4EBC3F94" w14:textId="77777777" w:rsidR="00B40F6C" w:rsidRPr="00DE3D23" w:rsidRDefault="00B40F6C" w:rsidP="6B8529C5">
      <w:pPr>
        <w:shd w:val="clear" w:color="auto" w:fill="FFFFFF" w:themeFill="background1"/>
        <w:spacing w:after="0"/>
        <w:rPr>
          <w:rFonts w:ascii="Times New Roman" w:hAnsi="Times New Roman" w:cs="Times New Roman"/>
        </w:rPr>
      </w:pPr>
    </w:p>
    <w:p w14:paraId="164A741A" w14:textId="5C246FE7" w:rsidR="2C1158CB" w:rsidRPr="00B40F6C" w:rsidRDefault="2C1158CB" w:rsidP="6B8529C5">
      <w:pPr>
        <w:shd w:val="clear" w:color="auto" w:fill="FFFFFF" w:themeFill="background1"/>
        <w:spacing w:after="0"/>
        <w:rPr>
          <w:rFonts w:ascii="Times New Roman" w:hAnsi="Times New Roman" w:cs="Times New Roman"/>
          <w:i/>
          <w:iCs/>
        </w:rPr>
      </w:pPr>
      <w:r w:rsidRPr="00B40F6C">
        <w:rPr>
          <w:rFonts w:ascii="Times New Roman" w:eastAsia="Calibri" w:hAnsi="Times New Roman" w:cs="Times New Roman"/>
          <w:i/>
          <w:iCs/>
          <w:color w:val="222222"/>
        </w:rPr>
        <w:t>1d. Return on Capital (ROC): 17.8%</w:t>
      </w:r>
    </w:p>
    <w:p w14:paraId="040E542C" w14:textId="348A7C1B"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Calibri" w:hAnsi="Times New Roman" w:cs="Times New Roman"/>
          <w:color w:val="222222"/>
        </w:rPr>
        <w:t>This indicates the company generates strong returns on all employed capital (debt and equity).</w:t>
      </w:r>
    </w:p>
    <w:p w14:paraId="38E117C4" w14:textId="537A7A77"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Calibri" w:hAnsi="Times New Roman" w:cs="Times New Roman"/>
          <w:color w:val="222222"/>
        </w:rPr>
        <w:t>Overall, the company appears highly profitable, with efficient use of assets, equity, and capital, combined with strong margins.</w:t>
      </w:r>
    </w:p>
    <w:p w14:paraId="254DB925" w14:textId="3886DD89" w:rsidR="2C1158CB" w:rsidRPr="00DE3D23" w:rsidRDefault="2C1158CB" w:rsidP="6B8529C5">
      <w:pPr>
        <w:rPr>
          <w:rFonts w:ascii="Times New Roman" w:eastAsia="Calibri" w:hAnsi="Times New Roman" w:cs="Times New Roman"/>
          <w:color w:val="000000" w:themeColor="text1"/>
        </w:rPr>
      </w:pPr>
      <w:r w:rsidRPr="00DE3D23">
        <w:rPr>
          <w:rFonts w:ascii="Times New Roman" w:eastAsia="Calibri" w:hAnsi="Times New Roman" w:cs="Times New Roman"/>
          <w:color w:val="000000" w:themeColor="text1"/>
        </w:rPr>
        <w:t>(</w:t>
      </w:r>
      <w:r w:rsidR="00D857FC" w:rsidRPr="00DE3D23">
        <w:rPr>
          <w:rFonts w:ascii="Times New Roman" w:eastAsia="Calibri" w:hAnsi="Times New Roman" w:cs="Times New Roman"/>
          <w:color w:val="000000" w:themeColor="text1"/>
        </w:rPr>
        <w:t>Bloomberg</w:t>
      </w:r>
      <w:r w:rsidRPr="00DE3D23">
        <w:rPr>
          <w:rFonts w:ascii="Times New Roman" w:eastAsia="Calibri" w:hAnsi="Times New Roman" w:cs="Times New Roman"/>
          <w:color w:val="000000" w:themeColor="text1"/>
        </w:rPr>
        <w:t xml:space="preserve"> Data)</w:t>
      </w:r>
    </w:p>
    <w:p w14:paraId="7AA59AB5" w14:textId="170CAF35" w:rsidR="6B8529C5" w:rsidRDefault="2C1158CB" w:rsidP="005A37F5">
      <w:pPr>
        <w:jc w:val="center"/>
        <w:rPr>
          <w:rFonts w:ascii="Times New Roman" w:hAnsi="Times New Roman" w:cs="Times New Roman"/>
        </w:rPr>
      </w:pPr>
      <w:r w:rsidRPr="00DE3D23">
        <w:rPr>
          <w:rFonts w:ascii="Times New Roman" w:hAnsi="Times New Roman" w:cs="Times New Roman"/>
          <w:noProof/>
        </w:rPr>
        <w:drawing>
          <wp:inline distT="0" distB="0" distL="0" distR="0" wp14:anchorId="77CCCFC3" wp14:editId="1318C276">
            <wp:extent cx="3571875" cy="2228850"/>
            <wp:effectExtent l="0" t="0" r="0" b="0"/>
            <wp:docPr id="806274002" name="Picture 80627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71875" cy="2228850"/>
                    </a:xfrm>
                    <a:prstGeom prst="rect">
                      <a:avLst/>
                    </a:prstGeom>
                  </pic:spPr>
                </pic:pic>
              </a:graphicData>
            </a:graphic>
          </wp:inline>
        </w:drawing>
      </w:r>
    </w:p>
    <w:p w14:paraId="0A4565CE" w14:textId="77777777" w:rsidR="00B40F6C" w:rsidRPr="00DE3D23" w:rsidRDefault="00B40F6C">
      <w:pPr>
        <w:rPr>
          <w:rFonts w:ascii="Times New Roman" w:hAnsi="Times New Roman" w:cs="Times New Roman"/>
        </w:rPr>
      </w:pPr>
    </w:p>
    <w:p w14:paraId="0FD7E39B" w14:textId="025923FD" w:rsidR="6B8529C5" w:rsidRPr="00DE3D23" w:rsidRDefault="00B40F6C" w:rsidP="007B79BD">
      <w:pPr>
        <w:ind w:firstLine="720"/>
        <w:rPr>
          <w:rFonts w:ascii="Times New Roman" w:hAnsi="Times New Roman" w:cs="Times New Roman"/>
        </w:rPr>
      </w:pPr>
      <w:r>
        <w:rPr>
          <w:rFonts w:ascii="Times New Roman" w:eastAsia="Calibri" w:hAnsi="Times New Roman" w:cs="Times New Roman"/>
          <w:color w:val="000000" w:themeColor="text1"/>
        </w:rPr>
        <w:t xml:space="preserve">Reason </w:t>
      </w:r>
      <w:r w:rsidR="2C1158CB" w:rsidRPr="00DE3D23">
        <w:rPr>
          <w:rFonts w:ascii="Times New Roman" w:eastAsia="Calibri" w:hAnsi="Times New Roman" w:cs="Times New Roman"/>
          <w:color w:val="000000" w:themeColor="text1"/>
        </w:rPr>
        <w:t>2</w:t>
      </w:r>
      <w:r w:rsidR="007B79BD">
        <w:rPr>
          <w:rFonts w:ascii="Times New Roman" w:eastAsia="Calibri" w:hAnsi="Times New Roman" w:cs="Times New Roman"/>
          <w:color w:val="000000" w:themeColor="text1"/>
        </w:rPr>
        <w:t>:</w:t>
      </w:r>
      <w:r w:rsidR="2C1158CB" w:rsidRPr="00DE3D23">
        <w:rPr>
          <w:rFonts w:ascii="Times New Roman" w:eastAsia="Calibri" w:hAnsi="Times New Roman" w:cs="Times New Roman"/>
          <w:color w:val="000000" w:themeColor="text1"/>
        </w:rPr>
        <w:t xml:space="preserve"> Valuation Ratios</w:t>
      </w:r>
    </w:p>
    <w:p w14:paraId="274277A5" w14:textId="310D1C6D"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Price-to-Earnings (P/E) Ratio</w:t>
      </w:r>
    </w:p>
    <w:p w14:paraId="7E4649D3" w14:textId="4FE7371A"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lastRenderedPageBreak/>
        <w:t>Tesla’s trailing P/E ratio of 169.93 suggests high investor expectations for future growth. A high P/E indicates that investors are willing to pay a premium for the stock based on its future earnings potential. However, it also means that Tesla may be overvalued relative to its current earnings (Yahoo Finance, n.d.).</w:t>
      </w:r>
    </w:p>
    <w:p w14:paraId="37E392AF" w14:textId="017F30F3" w:rsidR="6B8529C5" w:rsidRPr="00DE3D23" w:rsidRDefault="6B8529C5">
      <w:pPr>
        <w:rPr>
          <w:rFonts w:ascii="Times New Roman" w:hAnsi="Times New Roman" w:cs="Times New Roman"/>
        </w:rPr>
      </w:pPr>
    </w:p>
    <w:p w14:paraId="1186AB19" w14:textId="6E06F99B"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Price-to-Book (P/B) Ratio</w:t>
      </w:r>
    </w:p>
    <w:p w14:paraId="35DA1545" w14:textId="783FE66C"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Tesla’s P/B ratio of 16.41 shows that the stock is significantly valued above its book value. While this indicates market confidence in Tesla’s growth prospects, it also underscores the importance of sustained performance to justify this valuation (Yahoo Finance, n.d.).</w:t>
      </w:r>
    </w:p>
    <w:p w14:paraId="4B0468B0" w14:textId="14FFBB18" w:rsidR="2C1158CB" w:rsidRPr="00DE3D23" w:rsidRDefault="2C1158CB" w:rsidP="6B8529C5">
      <w:pPr>
        <w:rPr>
          <w:rFonts w:ascii="Times New Roman" w:hAnsi="Times New Roman" w:cs="Times New Roman"/>
        </w:rPr>
      </w:pPr>
      <w:r w:rsidRPr="00DE3D23">
        <w:rPr>
          <w:rFonts w:ascii="Times New Roman" w:hAnsi="Times New Roman" w:cs="Times New Roman"/>
          <w:noProof/>
        </w:rPr>
        <w:drawing>
          <wp:inline distT="0" distB="0" distL="0" distR="0" wp14:anchorId="7463D7CD" wp14:editId="44021C16">
            <wp:extent cx="5943600" cy="2028825"/>
            <wp:effectExtent l="0" t="0" r="0" b="0"/>
            <wp:docPr id="2024743613" name="Picture 202474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028825"/>
                    </a:xfrm>
                    <a:prstGeom prst="rect">
                      <a:avLst/>
                    </a:prstGeom>
                  </pic:spPr>
                </pic:pic>
              </a:graphicData>
            </a:graphic>
          </wp:inline>
        </w:drawing>
      </w:r>
    </w:p>
    <w:p w14:paraId="2D44D997" w14:textId="70813960" w:rsidR="6B8529C5" w:rsidRPr="00DE3D23" w:rsidRDefault="6B8529C5">
      <w:pPr>
        <w:rPr>
          <w:rFonts w:ascii="Times New Roman" w:hAnsi="Times New Roman" w:cs="Times New Roman"/>
        </w:rPr>
      </w:pPr>
    </w:p>
    <w:p w14:paraId="39F69F82" w14:textId="43D9A90D" w:rsidR="6B8529C5" w:rsidRPr="00DE3D23" w:rsidRDefault="009F3FA5" w:rsidP="007B79BD">
      <w:pPr>
        <w:ind w:firstLine="720"/>
        <w:rPr>
          <w:rFonts w:ascii="Times New Roman" w:hAnsi="Times New Roman" w:cs="Times New Roman"/>
        </w:rPr>
      </w:pPr>
      <w:r>
        <w:rPr>
          <w:rFonts w:ascii="Times New Roman" w:eastAsia="Calibri" w:hAnsi="Times New Roman" w:cs="Times New Roman"/>
          <w:color w:val="000000" w:themeColor="text1"/>
        </w:rPr>
        <w:t xml:space="preserve">Reason </w:t>
      </w:r>
      <w:r w:rsidR="2C1158CB" w:rsidRPr="00DE3D23">
        <w:rPr>
          <w:rFonts w:ascii="Times New Roman" w:eastAsia="Calibri" w:hAnsi="Times New Roman" w:cs="Times New Roman"/>
          <w:color w:val="000000" w:themeColor="text1"/>
        </w:rPr>
        <w:t>3</w:t>
      </w:r>
      <w:r w:rsidR="007B79BD">
        <w:rPr>
          <w:rFonts w:ascii="Times New Roman" w:eastAsia="Calibri" w:hAnsi="Times New Roman" w:cs="Times New Roman"/>
          <w:color w:val="000000" w:themeColor="text1"/>
        </w:rPr>
        <w:t>:</w:t>
      </w:r>
      <w:r>
        <w:rPr>
          <w:rFonts w:ascii="Times New Roman" w:eastAsia="Calibri" w:hAnsi="Times New Roman" w:cs="Times New Roman"/>
          <w:color w:val="000000" w:themeColor="text1"/>
        </w:rPr>
        <w:t xml:space="preserve"> </w:t>
      </w:r>
      <w:r w:rsidR="2C1158CB" w:rsidRPr="00DE3D23">
        <w:rPr>
          <w:rFonts w:ascii="Times New Roman" w:eastAsia="Calibri" w:hAnsi="Times New Roman" w:cs="Times New Roman"/>
          <w:color w:val="000000" w:themeColor="text1"/>
        </w:rPr>
        <w:t>Liquidity Ratios</w:t>
      </w:r>
    </w:p>
    <w:p w14:paraId="2FF5AF3F" w14:textId="41575589"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Current Ratio</w:t>
      </w:r>
    </w:p>
    <w:p w14:paraId="60D711C4" w14:textId="4A504B03"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The current ratio, at 1.7, demonstrates Tesla’s ability to cover short-term liabilities with its current assets. This shows that Tesla has a healthy liquidity position, which is crucial for a company investing heavily in innovation and expansion (Yahoo Finance, n.d.).</w:t>
      </w:r>
    </w:p>
    <w:p w14:paraId="26EBC6AB" w14:textId="5298777C" w:rsidR="6B8529C5" w:rsidRPr="00DE3D23" w:rsidRDefault="6B8529C5">
      <w:pPr>
        <w:rPr>
          <w:rFonts w:ascii="Times New Roman" w:hAnsi="Times New Roman" w:cs="Times New Roman"/>
        </w:rPr>
      </w:pPr>
    </w:p>
    <w:p w14:paraId="47ECC488" w14:textId="1D2830BA"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Quick Ratio</w:t>
      </w:r>
    </w:p>
    <w:p w14:paraId="18130CBF" w14:textId="293D8F1D"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Tesla’s quick ratio of 1.21 indicates a strong ability to meet immediate obligations without relying on inventory sales. This metric reflects prudent financial management, ensuring operational continuity even during financial challenges (Yahoo Finance, n.d.).</w:t>
      </w:r>
    </w:p>
    <w:p w14:paraId="2E2F5C4B" w14:textId="64EE2A11" w:rsidR="2C1158CB" w:rsidRPr="00DE3D23" w:rsidRDefault="2C1158CB" w:rsidP="005A37F5">
      <w:pPr>
        <w:jc w:val="center"/>
        <w:rPr>
          <w:rFonts w:ascii="Times New Roman" w:hAnsi="Times New Roman" w:cs="Times New Roman"/>
        </w:rPr>
      </w:pPr>
      <w:r w:rsidRPr="00DE3D23">
        <w:rPr>
          <w:rFonts w:ascii="Times New Roman" w:hAnsi="Times New Roman" w:cs="Times New Roman"/>
          <w:noProof/>
        </w:rPr>
        <w:lastRenderedPageBreak/>
        <w:drawing>
          <wp:inline distT="0" distB="0" distL="0" distR="0" wp14:anchorId="54FF9A85" wp14:editId="76D26C8B">
            <wp:extent cx="3743325" cy="2619375"/>
            <wp:effectExtent l="0" t="0" r="0" b="0"/>
            <wp:docPr id="340921090" name="Picture 34092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43325" cy="2619375"/>
                    </a:xfrm>
                    <a:prstGeom prst="rect">
                      <a:avLst/>
                    </a:prstGeom>
                  </pic:spPr>
                </pic:pic>
              </a:graphicData>
            </a:graphic>
          </wp:inline>
        </w:drawing>
      </w:r>
    </w:p>
    <w:p w14:paraId="7F11BEFD" w14:textId="4284C410" w:rsidR="6B8529C5" w:rsidRPr="00DE3D23" w:rsidRDefault="6B8529C5">
      <w:pPr>
        <w:rPr>
          <w:rFonts w:ascii="Times New Roman" w:hAnsi="Times New Roman" w:cs="Times New Roman"/>
        </w:rPr>
      </w:pPr>
    </w:p>
    <w:p w14:paraId="2FCF16D2" w14:textId="32FBF5E3" w:rsidR="2C1158CB" w:rsidRPr="00DE3D23" w:rsidRDefault="009F3FA5" w:rsidP="007B79BD">
      <w:pPr>
        <w:ind w:firstLine="720"/>
        <w:rPr>
          <w:rFonts w:ascii="Times New Roman" w:hAnsi="Times New Roman" w:cs="Times New Roman"/>
        </w:rPr>
      </w:pPr>
      <w:r>
        <w:rPr>
          <w:rFonts w:ascii="Times New Roman" w:eastAsia="Calibri" w:hAnsi="Times New Roman" w:cs="Times New Roman"/>
          <w:color w:val="000000" w:themeColor="text1"/>
        </w:rPr>
        <w:t xml:space="preserve">Reason </w:t>
      </w:r>
      <w:r w:rsidR="2C1158CB" w:rsidRPr="00DE3D23">
        <w:rPr>
          <w:rFonts w:ascii="Times New Roman" w:eastAsia="Calibri" w:hAnsi="Times New Roman" w:cs="Times New Roman"/>
          <w:color w:val="000000" w:themeColor="text1"/>
        </w:rPr>
        <w:t>4</w:t>
      </w:r>
      <w:r w:rsidR="007B79BD">
        <w:rPr>
          <w:rFonts w:ascii="Times New Roman" w:eastAsia="Calibri" w:hAnsi="Times New Roman" w:cs="Times New Roman"/>
          <w:color w:val="000000" w:themeColor="text1"/>
        </w:rPr>
        <w:t>:</w:t>
      </w:r>
      <w:r w:rsidR="2C1158CB" w:rsidRPr="00DE3D23">
        <w:rPr>
          <w:rFonts w:ascii="Times New Roman" w:eastAsia="Calibri" w:hAnsi="Times New Roman" w:cs="Times New Roman"/>
          <w:color w:val="000000" w:themeColor="text1"/>
        </w:rPr>
        <w:t xml:space="preserve"> Investment Considerations</w:t>
      </w:r>
    </w:p>
    <w:p w14:paraId="1151F5DA" w14:textId="089301E5"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Market Leadership</w:t>
      </w:r>
    </w:p>
    <w:p w14:paraId="50765357" w14:textId="462DEA4B"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Tesla maintains a strong position in the EV market, although its U.S. market share declined to 48% as competitors entered the space. The company's brand reputation and first-mover advantage in EV technology still make it a preferred choice for many consumers (Reuters, 2024).</w:t>
      </w:r>
    </w:p>
    <w:p w14:paraId="50E9B935" w14:textId="56B79A81" w:rsidR="6B8529C5" w:rsidRPr="00DE3D23" w:rsidRDefault="6B8529C5">
      <w:pPr>
        <w:rPr>
          <w:rFonts w:ascii="Times New Roman" w:hAnsi="Times New Roman" w:cs="Times New Roman"/>
        </w:rPr>
      </w:pPr>
    </w:p>
    <w:p w14:paraId="51314BC0" w14:textId="45BC3109" w:rsidR="2C1158CB" w:rsidRPr="00DE3D23" w:rsidRDefault="00D10C69" w:rsidP="007B79BD">
      <w:pPr>
        <w:ind w:firstLine="720"/>
        <w:rPr>
          <w:rFonts w:ascii="Times New Roman" w:hAnsi="Times New Roman" w:cs="Times New Roman"/>
        </w:rPr>
      </w:pPr>
      <w:r>
        <w:rPr>
          <w:rFonts w:ascii="Times New Roman" w:eastAsia="Calibri" w:hAnsi="Times New Roman" w:cs="Times New Roman"/>
          <w:color w:val="000000" w:themeColor="text1"/>
        </w:rPr>
        <w:t xml:space="preserve">Reason </w:t>
      </w:r>
      <w:r w:rsidR="2C1158CB" w:rsidRPr="00DE3D23">
        <w:rPr>
          <w:rFonts w:ascii="Times New Roman" w:eastAsia="Calibri" w:hAnsi="Times New Roman" w:cs="Times New Roman"/>
          <w:color w:val="000000" w:themeColor="text1"/>
        </w:rPr>
        <w:t>5</w:t>
      </w:r>
      <w:r w:rsidR="007B79BD">
        <w:rPr>
          <w:rFonts w:ascii="Times New Roman" w:eastAsia="Calibri" w:hAnsi="Times New Roman" w:cs="Times New Roman"/>
          <w:color w:val="000000" w:themeColor="text1"/>
        </w:rPr>
        <w:t>:</w:t>
      </w:r>
      <w:r w:rsidR="2C1158CB" w:rsidRPr="00DE3D23">
        <w:rPr>
          <w:rFonts w:ascii="Times New Roman" w:eastAsia="Calibri" w:hAnsi="Times New Roman" w:cs="Times New Roman"/>
          <w:color w:val="000000" w:themeColor="text1"/>
        </w:rPr>
        <w:t xml:space="preserve"> Innovation and Diversification</w:t>
      </w:r>
    </w:p>
    <w:p w14:paraId="7A73C23B" w14:textId="60AFF2F1"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Tesla's ventures into energy storage, autonomous driving, and renewable energy solutions position the company for diversified growth beyond EVs. This multi-segment approach enhances Tesla’s long-term value proposition (Tesla Inc., n.d.).</w:t>
      </w:r>
    </w:p>
    <w:p w14:paraId="3B1377B1" w14:textId="1CB17A8E" w:rsidR="6B8529C5" w:rsidRPr="00DE3D23" w:rsidRDefault="6B8529C5">
      <w:pPr>
        <w:rPr>
          <w:rFonts w:ascii="Times New Roman" w:hAnsi="Times New Roman" w:cs="Times New Roman"/>
        </w:rPr>
      </w:pPr>
    </w:p>
    <w:p w14:paraId="1A7D0400" w14:textId="4A9B6544" w:rsidR="2C1158CB" w:rsidRPr="00DE3D23" w:rsidRDefault="00D10C69" w:rsidP="007B79BD">
      <w:pPr>
        <w:ind w:firstLine="720"/>
        <w:rPr>
          <w:rFonts w:ascii="Times New Roman" w:hAnsi="Times New Roman" w:cs="Times New Roman"/>
        </w:rPr>
      </w:pPr>
      <w:r>
        <w:rPr>
          <w:rFonts w:ascii="Times New Roman" w:eastAsia="Calibri" w:hAnsi="Times New Roman" w:cs="Times New Roman"/>
          <w:color w:val="000000" w:themeColor="text1"/>
        </w:rPr>
        <w:t xml:space="preserve">Reason </w:t>
      </w:r>
      <w:r w:rsidR="2C1158CB" w:rsidRPr="00DE3D23">
        <w:rPr>
          <w:rFonts w:ascii="Times New Roman" w:eastAsia="Calibri" w:hAnsi="Times New Roman" w:cs="Times New Roman"/>
          <w:color w:val="000000" w:themeColor="text1"/>
        </w:rPr>
        <w:t>6</w:t>
      </w:r>
      <w:r w:rsidR="007B79BD">
        <w:rPr>
          <w:rFonts w:ascii="Times New Roman" w:eastAsia="Calibri" w:hAnsi="Times New Roman" w:cs="Times New Roman"/>
          <w:color w:val="000000" w:themeColor="text1"/>
        </w:rPr>
        <w:t>:</w:t>
      </w:r>
      <w:r w:rsidR="2C1158CB" w:rsidRPr="00DE3D23">
        <w:rPr>
          <w:rFonts w:ascii="Times New Roman" w:eastAsia="Calibri" w:hAnsi="Times New Roman" w:cs="Times New Roman"/>
          <w:color w:val="000000" w:themeColor="text1"/>
        </w:rPr>
        <w:t xml:space="preserve"> Financial Health</w:t>
      </w:r>
    </w:p>
    <w:p w14:paraId="1E61C8C1" w14:textId="16746BDB"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Tesla’s financial health is reinforced by its strong liquidity ratios and profitability metrics. These factors make it resilient against economic uncertainties and competitive pressures (Yahoo Finance, n.d.).</w:t>
      </w:r>
    </w:p>
    <w:p w14:paraId="21D69967" w14:textId="08AC0F0E" w:rsidR="2C1158CB" w:rsidRPr="00DE3D23" w:rsidRDefault="2C1158CB" w:rsidP="6B8529C5">
      <w:pPr>
        <w:rPr>
          <w:rFonts w:ascii="Times New Roman" w:hAnsi="Times New Roman" w:cs="Times New Roman"/>
        </w:rPr>
      </w:pPr>
      <w:r w:rsidRPr="00DE3D23">
        <w:rPr>
          <w:rFonts w:ascii="Times New Roman" w:hAnsi="Times New Roman" w:cs="Times New Roman"/>
          <w:noProof/>
        </w:rPr>
        <w:lastRenderedPageBreak/>
        <w:drawing>
          <wp:inline distT="0" distB="0" distL="0" distR="0" wp14:anchorId="68A8A406" wp14:editId="56788E4D">
            <wp:extent cx="5943600" cy="1562100"/>
            <wp:effectExtent l="0" t="0" r="0" b="0"/>
            <wp:docPr id="1992664095" name="Picture 199266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hyperlink r:id="rId20">
        <w:r w:rsidRPr="00DE3D23">
          <w:rPr>
            <w:rStyle w:val="Hyperlink"/>
            <w:rFonts w:ascii="Times New Roman" w:eastAsia="Calibri" w:hAnsi="Times New Roman" w:cs="Times New Roman"/>
          </w:rPr>
          <w:t>https://www.wallstreetzen.com/stock-screener/stock-forecast?t=5&amp;p=1&amp;s=mc&amp;sd=desc</w:t>
        </w:r>
      </w:hyperlink>
    </w:p>
    <w:p w14:paraId="38FE36AE" w14:textId="3021A401" w:rsidR="6B8529C5" w:rsidRPr="00DE3D23" w:rsidRDefault="6B8529C5">
      <w:pPr>
        <w:rPr>
          <w:rFonts w:ascii="Times New Roman" w:hAnsi="Times New Roman" w:cs="Times New Roman"/>
        </w:rPr>
      </w:pPr>
    </w:p>
    <w:p w14:paraId="4D8B9064" w14:textId="0623DD03" w:rsidR="6B8529C5" w:rsidRPr="00DE3D23" w:rsidRDefault="2C1158CB" w:rsidP="003B0915">
      <w:pPr>
        <w:ind w:firstLine="720"/>
        <w:rPr>
          <w:rFonts w:ascii="Times New Roman" w:hAnsi="Times New Roman" w:cs="Times New Roman"/>
        </w:rPr>
      </w:pPr>
      <w:r w:rsidRPr="00DE3D23">
        <w:rPr>
          <w:rFonts w:ascii="Times New Roman" w:eastAsia="Calibri" w:hAnsi="Times New Roman" w:cs="Times New Roman"/>
          <w:color w:val="000000" w:themeColor="text1"/>
        </w:rPr>
        <w:t>Risks</w:t>
      </w:r>
      <w:r w:rsidR="003B0915">
        <w:rPr>
          <w:rFonts w:ascii="Times New Roman" w:eastAsia="Calibri" w:hAnsi="Times New Roman" w:cs="Times New Roman"/>
          <w:color w:val="000000" w:themeColor="text1"/>
        </w:rPr>
        <w:t xml:space="preserve"> Associated with Tesla</w:t>
      </w:r>
    </w:p>
    <w:p w14:paraId="360419B9" w14:textId="29345F45"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Valuation Concerns</w:t>
      </w:r>
    </w:p>
    <w:p w14:paraId="21536D81" w14:textId="73DEE34E" w:rsidR="6B8529C5" w:rsidRPr="00DE3D23" w:rsidRDefault="2C1158CB">
      <w:pPr>
        <w:rPr>
          <w:rFonts w:ascii="Times New Roman" w:hAnsi="Times New Roman" w:cs="Times New Roman"/>
        </w:rPr>
      </w:pPr>
      <w:r w:rsidRPr="00DE3D23">
        <w:rPr>
          <w:rFonts w:ascii="Times New Roman" w:eastAsia="Calibri" w:hAnsi="Times New Roman" w:cs="Times New Roman"/>
          <w:color w:val="000000" w:themeColor="text1"/>
        </w:rPr>
        <w:t xml:space="preserve">High P/E and P/B ratios highlight the potential overvaluation of Tesla’s stock. These elevated metrics reflect substantial growth expectations, which may not be realized due to market conditions or operational challenges (Yahoo Finance, n.d.). Nevertheless, Tesla has proven to remain the leading security in the E.V. industry due to the estimated evaluation of its stock to keep rising despite the increased competition in the market. </w:t>
      </w:r>
    </w:p>
    <w:p w14:paraId="53AFFB1D" w14:textId="732CB02B"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Market Competition</w:t>
      </w:r>
    </w:p>
    <w:p w14:paraId="1A561DD7" w14:textId="05AE3415"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 xml:space="preserve">The increasing number of competitors in </w:t>
      </w:r>
      <w:proofErr w:type="gramStart"/>
      <w:r w:rsidRPr="00DE3D23">
        <w:rPr>
          <w:rFonts w:ascii="Times New Roman" w:eastAsia="Calibri" w:hAnsi="Times New Roman" w:cs="Times New Roman"/>
          <w:color w:val="000000" w:themeColor="text1"/>
        </w:rPr>
        <w:t>the EV</w:t>
      </w:r>
      <w:proofErr w:type="gramEnd"/>
      <w:r w:rsidRPr="00DE3D23">
        <w:rPr>
          <w:rFonts w:ascii="Times New Roman" w:eastAsia="Calibri" w:hAnsi="Times New Roman" w:cs="Times New Roman"/>
          <w:color w:val="000000" w:themeColor="text1"/>
        </w:rPr>
        <w:t xml:space="preserve"> space, such as Rivian, Lucid Motors, and legacy automakers entering the market, could erode Tesla’s market share and profitability (Reuters, 2024).</w:t>
      </w:r>
    </w:p>
    <w:p w14:paraId="7BED0A47" w14:textId="0023ECFD" w:rsidR="6B8529C5" w:rsidRPr="00DE3D23" w:rsidRDefault="6B8529C5">
      <w:pPr>
        <w:rPr>
          <w:rFonts w:ascii="Times New Roman" w:hAnsi="Times New Roman" w:cs="Times New Roman"/>
        </w:rPr>
      </w:pPr>
    </w:p>
    <w:p w14:paraId="39624BB1" w14:textId="000BEE92" w:rsidR="2C1158CB" w:rsidRPr="00DE3D23" w:rsidRDefault="2C1158CB" w:rsidP="003B0915">
      <w:pPr>
        <w:ind w:firstLine="720"/>
        <w:rPr>
          <w:rFonts w:ascii="Times New Roman" w:hAnsi="Times New Roman" w:cs="Times New Roman"/>
        </w:rPr>
      </w:pPr>
      <w:r w:rsidRPr="00DE3D23">
        <w:rPr>
          <w:rFonts w:ascii="Times New Roman" w:eastAsia="Calibri" w:hAnsi="Times New Roman" w:cs="Times New Roman"/>
          <w:color w:val="000000" w:themeColor="text1"/>
        </w:rPr>
        <w:t>Conclusion</w:t>
      </w:r>
    </w:p>
    <w:p w14:paraId="03D53C9D" w14:textId="20A60F3E"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Tesla's robust financial performance, market leadership, and innovative strategies present a compelling investment case. However, investors must weigh these strengths against risks such as valuation concerns and market competition. Tesla’s financial ratios suggest a company with strong profitability, efficiency, and liquidity, making it a potentially lucrative but high-risk investment.</w:t>
      </w:r>
    </w:p>
    <w:p w14:paraId="2FDC6E2A" w14:textId="295F9785" w:rsidR="2C1158CB" w:rsidRPr="00DE3D23" w:rsidRDefault="2C1158CB" w:rsidP="6B8529C5">
      <w:pPr>
        <w:rPr>
          <w:rFonts w:ascii="Times New Roman" w:hAnsi="Times New Roman" w:cs="Times New Roman"/>
        </w:rPr>
      </w:pPr>
      <w:r w:rsidRPr="00DE3D23">
        <w:rPr>
          <w:rFonts w:ascii="Times New Roman" w:eastAsia="Calibri" w:hAnsi="Times New Roman" w:cs="Times New Roman"/>
          <w:color w:val="000000" w:themeColor="text1"/>
        </w:rPr>
        <w:t>Buying this security for the Ingar Family is a good deal because this stock has the capacity to grow due to the innovation and reinvestment activities of the firm despite a decline in current profitability. This security has the capacity to achieve a sustainable financial return in the future for the Ingar family.</w:t>
      </w:r>
    </w:p>
    <w:p w14:paraId="20CDD7DC" w14:textId="19AE3D21" w:rsidR="6B8529C5" w:rsidRPr="00DE3D23" w:rsidRDefault="6B8529C5">
      <w:pPr>
        <w:rPr>
          <w:rFonts w:ascii="Times New Roman" w:hAnsi="Times New Roman" w:cs="Times New Roman"/>
        </w:rPr>
      </w:pPr>
    </w:p>
    <w:p w14:paraId="662FA5E6" w14:textId="4ABE3A95" w:rsidR="2C1158CB" w:rsidRPr="00DE3D23" w:rsidRDefault="2C1158CB" w:rsidP="00BE6DBE">
      <w:pPr>
        <w:jc w:val="center"/>
        <w:rPr>
          <w:rFonts w:ascii="Times New Roman" w:hAnsi="Times New Roman" w:cs="Times New Roman"/>
        </w:rPr>
      </w:pPr>
      <w:r w:rsidRPr="00DE3D23">
        <w:rPr>
          <w:rFonts w:ascii="Times New Roman" w:hAnsi="Times New Roman" w:cs="Times New Roman"/>
          <w:noProof/>
        </w:rPr>
        <w:lastRenderedPageBreak/>
        <w:drawing>
          <wp:inline distT="0" distB="0" distL="0" distR="0" wp14:anchorId="6E8225AD" wp14:editId="229538F6">
            <wp:extent cx="2361063" cy="2248255"/>
            <wp:effectExtent l="0" t="0" r="1270" b="0"/>
            <wp:docPr id="1740527535" name="Picture 174052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524356" cy="2403747"/>
                    </a:xfrm>
                    <a:prstGeom prst="rect">
                      <a:avLst/>
                    </a:prstGeom>
                  </pic:spPr>
                </pic:pic>
              </a:graphicData>
            </a:graphic>
          </wp:inline>
        </w:drawing>
      </w:r>
    </w:p>
    <w:p w14:paraId="505880E9" w14:textId="67FC69FA" w:rsidR="6B8529C5" w:rsidRPr="00DE3D23" w:rsidRDefault="6B8529C5">
      <w:pPr>
        <w:rPr>
          <w:rFonts w:ascii="Times New Roman" w:hAnsi="Times New Roman" w:cs="Times New Roman"/>
        </w:rPr>
      </w:pPr>
    </w:p>
    <w:tbl>
      <w:tblPr>
        <w:tblW w:w="0" w:type="auto"/>
        <w:tblLayout w:type="fixed"/>
        <w:tblLook w:val="06A0" w:firstRow="1" w:lastRow="0" w:firstColumn="1" w:lastColumn="0" w:noHBand="1" w:noVBand="1"/>
      </w:tblPr>
      <w:tblGrid>
        <w:gridCol w:w="1654"/>
        <w:gridCol w:w="1654"/>
        <w:gridCol w:w="1654"/>
        <w:gridCol w:w="1654"/>
        <w:gridCol w:w="1655"/>
      </w:tblGrid>
      <w:tr w:rsidR="6B8529C5" w:rsidRPr="00DE3D23" w14:paraId="50174585" w14:textId="77777777" w:rsidTr="6B8529C5">
        <w:trPr>
          <w:trHeight w:val="300"/>
        </w:trPr>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5882A7" w14:textId="58953F8F"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Symbol</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CE0834" w14:textId="7D0035A3"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Description</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F453FB" w14:textId="5EA1AC4D"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Transaction</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B689DA" w14:textId="7B6FAA37"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Quantity</w:t>
            </w:r>
          </w:p>
        </w:tc>
        <w:tc>
          <w:tcPr>
            <w:tcW w:w="16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8F671A1" w14:textId="2CF12657"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Current Price</w:t>
            </w:r>
          </w:p>
        </w:tc>
      </w:tr>
      <w:tr w:rsidR="6B8529C5" w:rsidRPr="00DE3D23" w14:paraId="09B40459" w14:textId="77777777" w:rsidTr="6B8529C5">
        <w:trPr>
          <w:trHeight w:val="300"/>
        </w:trPr>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760B80" w14:textId="55BCD9E5"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 xml:space="preserve">    T</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C0DAF8" w14:textId="6A93178E"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TESLA INC</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B37DF5" w14:textId="67AA6D19"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Open Market</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92A184" w14:textId="3DD2818F"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24</w:t>
            </w:r>
          </w:p>
        </w:tc>
        <w:tc>
          <w:tcPr>
            <w:tcW w:w="16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1EE201" w14:textId="7A260869" w:rsidR="6B8529C5" w:rsidRPr="00DE3D23" w:rsidRDefault="6B8529C5" w:rsidP="6B8529C5">
            <w:pPr>
              <w:spacing w:after="0"/>
              <w:rPr>
                <w:rFonts w:ascii="Times New Roman" w:hAnsi="Times New Roman" w:cs="Times New Roman"/>
              </w:rPr>
            </w:pPr>
            <w:r w:rsidRPr="00DE3D23">
              <w:rPr>
                <w:rFonts w:ascii="Times New Roman" w:eastAsia="Arial" w:hAnsi="Times New Roman" w:cs="Times New Roman"/>
                <w:color w:val="000000" w:themeColor="text1"/>
              </w:rPr>
              <w:t>351.42</w:t>
            </w:r>
          </w:p>
        </w:tc>
      </w:tr>
    </w:tbl>
    <w:p w14:paraId="44BAC81D" w14:textId="0658F472" w:rsidR="6B8529C5" w:rsidRPr="00DE3D23" w:rsidRDefault="6B8529C5">
      <w:pPr>
        <w:rPr>
          <w:rFonts w:ascii="Times New Roman" w:hAnsi="Times New Roman" w:cs="Times New Roman"/>
        </w:rPr>
      </w:pPr>
    </w:p>
    <w:p w14:paraId="47EACF6F" w14:textId="7A03603E" w:rsidR="2C1158CB" w:rsidRPr="00DE3D23" w:rsidRDefault="2C1158CB" w:rsidP="6B8529C5">
      <w:pPr>
        <w:rPr>
          <w:rFonts w:ascii="Times New Roman" w:hAnsi="Times New Roman" w:cs="Times New Roman"/>
        </w:rPr>
      </w:pPr>
      <w:r w:rsidRPr="00DE3D23">
        <w:rPr>
          <w:rFonts w:ascii="Times New Roman" w:eastAsia="Times New Roman" w:hAnsi="Times New Roman" w:cs="Times New Roman"/>
          <w:color w:val="000000" w:themeColor="text1"/>
        </w:rPr>
        <w:t xml:space="preserve">We invested $8,434.08 into 24 of Tesla Stocks because of the 6 previously stated reasons. We evenly distributed 8.4% to each of our funds towards 5 out of the 6 stocks we have chosen as we are confident in the diverseness in our portfolio and see them as all attractive investments. </w:t>
      </w:r>
    </w:p>
    <w:p w14:paraId="0F909893" w14:textId="4286D56E" w:rsidR="6B8529C5" w:rsidRPr="00DE3D23" w:rsidRDefault="6B8529C5">
      <w:pPr>
        <w:rPr>
          <w:rFonts w:ascii="Times New Roman" w:hAnsi="Times New Roman" w:cs="Times New Roman"/>
        </w:rPr>
      </w:pPr>
    </w:p>
    <w:p w14:paraId="5CE3A5F5" w14:textId="3C31E659" w:rsidR="2C1158CB" w:rsidRPr="009C19E5" w:rsidRDefault="2C1158CB" w:rsidP="00FB7BFB">
      <w:pPr>
        <w:pStyle w:val="ListParagraph"/>
        <w:numPr>
          <w:ilvl w:val="0"/>
          <w:numId w:val="37"/>
        </w:numPr>
        <w:spacing w:before="240" w:after="240"/>
        <w:rPr>
          <w:rFonts w:ascii="Times New Roman" w:eastAsia="Times New Roman" w:hAnsi="Times New Roman" w:cs="Times New Roman"/>
          <w:color w:val="000000" w:themeColor="text1"/>
        </w:rPr>
      </w:pPr>
      <w:r w:rsidRPr="00DE3D23">
        <w:rPr>
          <w:rFonts w:ascii="Times New Roman" w:eastAsia="Times New Roman" w:hAnsi="Times New Roman" w:cs="Times New Roman"/>
          <w:color w:val="000000" w:themeColor="text1"/>
        </w:rPr>
        <w:t xml:space="preserve">Calculation of Expected Return </w:t>
      </w:r>
      <w:r w:rsidRPr="009C19E5">
        <w:rPr>
          <w:rFonts w:ascii="Times New Roman" w:eastAsia="Arial" w:hAnsi="Times New Roman" w:cs="Times New Roman"/>
          <w:color w:val="000000" w:themeColor="text1"/>
        </w:rPr>
        <w:t xml:space="preserve"> </w:t>
      </w:r>
    </w:p>
    <w:p w14:paraId="506E4302" w14:textId="55F161C3"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Times New Roman" w:hAnsi="Times New Roman" w:cs="Times New Roman"/>
          <w:color w:val="000000" w:themeColor="text1"/>
        </w:rPr>
        <w:t xml:space="preserve">For </w:t>
      </w:r>
      <w:proofErr w:type="gramStart"/>
      <w:r w:rsidRPr="00DE3D23">
        <w:rPr>
          <w:rFonts w:ascii="Times New Roman" w:eastAsia="Times New Roman" w:hAnsi="Times New Roman" w:cs="Times New Roman"/>
          <w:color w:val="000000" w:themeColor="text1"/>
        </w:rPr>
        <w:t xml:space="preserve">the </w:t>
      </w:r>
      <w:r w:rsidR="00710F57">
        <w:rPr>
          <w:rFonts w:ascii="Times New Roman" w:eastAsia="Times New Roman" w:hAnsi="Times New Roman" w:cs="Times New Roman"/>
          <w:color w:val="000000" w:themeColor="text1"/>
        </w:rPr>
        <w:t>Tesla</w:t>
      </w:r>
      <w:proofErr w:type="gramEnd"/>
      <w:r w:rsidR="00710F57">
        <w:rPr>
          <w:rFonts w:ascii="Times New Roman" w:eastAsia="Times New Roman" w:hAnsi="Times New Roman" w:cs="Times New Roman"/>
          <w:color w:val="000000" w:themeColor="text1"/>
        </w:rPr>
        <w:t xml:space="preserve"> Inc</w:t>
      </w:r>
      <w:r w:rsidRPr="00DE3D23">
        <w:rPr>
          <w:rFonts w:ascii="Times New Roman" w:eastAsia="Times New Roman" w:hAnsi="Times New Roman" w:cs="Times New Roman"/>
          <w:color w:val="000000" w:themeColor="text1"/>
        </w:rPr>
        <w:t xml:space="preserve"> Stock: </w:t>
      </w:r>
    </w:p>
    <w:p w14:paraId="6D79BFF6" w14:textId="07BD2BF5"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Times New Roman" w:hAnsi="Times New Roman" w:cs="Times New Roman"/>
          <w:color w:val="000000" w:themeColor="text1"/>
        </w:rPr>
        <w:t xml:space="preserve">Expected Rate of Return = Rf + B*[E(Rm)-Rf) </w:t>
      </w:r>
    </w:p>
    <w:p w14:paraId="05FECBCB" w14:textId="46248F80"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Times New Roman" w:hAnsi="Times New Roman" w:cs="Times New Roman"/>
          <w:color w:val="000000" w:themeColor="text1"/>
        </w:rPr>
        <w:t xml:space="preserve"> </w:t>
      </w:r>
    </w:p>
    <w:p w14:paraId="0EA3C678" w14:textId="033FC595" w:rsidR="2C1158CB" w:rsidRPr="00DE3D23" w:rsidRDefault="2C1158CB" w:rsidP="6B8529C5">
      <w:pPr>
        <w:shd w:val="clear" w:color="auto" w:fill="FFFFFF" w:themeFill="background1"/>
        <w:rPr>
          <w:rFonts w:ascii="Times New Roman" w:hAnsi="Times New Roman" w:cs="Times New Roman"/>
        </w:rPr>
      </w:pPr>
      <w:r w:rsidRPr="00DE3D23">
        <w:rPr>
          <w:rFonts w:ascii="Times New Roman" w:eastAsia="Times New Roman" w:hAnsi="Times New Roman" w:cs="Times New Roman"/>
          <w:color w:val="000000" w:themeColor="text1"/>
        </w:rPr>
        <w:t xml:space="preserve">Where: </w:t>
      </w:r>
    </w:p>
    <w:p w14:paraId="4993713F" w14:textId="44F306C1" w:rsidR="2C1158CB" w:rsidRPr="00DE3D23" w:rsidRDefault="2C1158CB" w:rsidP="00FB7BFB">
      <w:pPr>
        <w:pStyle w:val="ListParagraph"/>
        <w:numPr>
          <w:ilvl w:val="0"/>
          <w:numId w:val="36"/>
        </w:numPr>
        <w:spacing w:before="240" w:after="240"/>
        <w:rPr>
          <w:rFonts w:ascii="Times New Roman" w:eastAsia="Times New Roman" w:hAnsi="Times New Roman" w:cs="Times New Roman"/>
          <w:color w:val="000000" w:themeColor="text1"/>
        </w:rPr>
      </w:pPr>
      <w:r w:rsidRPr="00DE3D23">
        <w:rPr>
          <w:rFonts w:ascii="Times New Roman" w:eastAsia="Times New Roman" w:hAnsi="Times New Roman" w:cs="Times New Roman"/>
          <w:color w:val="000000" w:themeColor="text1"/>
        </w:rPr>
        <w:t>Rf = Risk</w:t>
      </w:r>
      <w:r w:rsidR="00710F57">
        <w:rPr>
          <w:rFonts w:ascii="Times New Roman" w:eastAsia="Times New Roman" w:hAnsi="Times New Roman" w:cs="Times New Roman"/>
          <w:color w:val="000000" w:themeColor="text1"/>
        </w:rPr>
        <w:t>-</w:t>
      </w:r>
      <w:r w:rsidRPr="00DE3D23">
        <w:rPr>
          <w:rFonts w:ascii="Times New Roman" w:eastAsia="Times New Roman" w:hAnsi="Times New Roman" w:cs="Times New Roman"/>
          <w:color w:val="000000" w:themeColor="text1"/>
        </w:rPr>
        <w:t xml:space="preserve">Free Rate = </w:t>
      </w:r>
      <w:r w:rsidR="00AC586B">
        <w:rPr>
          <w:rFonts w:ascii="Times New Roman" w:eastAsia="Times New Roman" w:hAnsi="Times New Roman" w:cs="Times New Roman"/>
          <w:color w:val="000000" w:themeColor="text1"/>
        </w:rPr>
        <w:t>4.74</w:t>
      </w:r>
      <w:r w:rsidRPr="00DE3D23">
        <w:rPr>
          <w:rFonts w:ascii="Times New Roman" w:eastAsia="Times New Roman" w:hAnsi="Times New Roman" w:cs="Times New Roman"/>
          <w:color w:val="000000" w:themeColor="text1"/>
        </w:rPr>
        <w:t>% (US Treasury Bill</w:t>
      </w:r>
      <w:r w:rsidR="007472BF">
        <w:rPr>
          <w:rFonts w:ascii="Times New Roman" w:eastAsia="Times New Roman" w:hAnsi="Times New Roman" w:cs="Times New Roman"/>
          <w:color w:val="000000" w:themeColor="text1"/>
        </w:rPr>
        <w:t xml:space="preserve"> 3 years</w:t>
      </w:r>
      <w:r w:rsidRPr="00DE3D23">
        <w:rPr>
          <w:rFonts w:ascii="Times New Roman" w:eastAsia="Times New Roman" w:hAnsi="Times New Roman" w:cs="Times New Roman"/>
          <w:color w:val="000000" w:themeColor="text1"/>
        </w:rPr>
        <w:t xml:space="preserve">) </w:t>
      </w:r>
    </w:p>
    <w:p w14:paraId="7358F63A" w14:textId="18D8D1FB" w:rsidR="2C1158CB" w:rsidRPr="00DE3D23" w:rsidRDefault="2C1158CB" w:rsidP="00FB7BFB">
      <w:pPr>
        <w:pStyle w:val="ListParagraph"/>
        <w:numPr>
          <w:ilvl w:val="0"/>
          <w:numId w:val="35"/>
        </w:numPr>
        <w:spacing w:before="240" w:after="240"/>
        <w:rPr>
          <w:rFonts w:ascii="Times New Roman" w:eastAsia="Times New Roman" w:hAnsi="Times New Roman" w:cs="Times New Roman"/>
          <w:color w:val="000000" w:themeColor="text1"/>
        </w:rPr>
      </w:pPr>
      <w:r w:rsidRPr="00DE3D23">
        <w:rPr>
          <w:rFonts w:ascii="Times New Roman" w:eastAsia="Times New Roman" w:hAnsi="Times New Roman" w:cs="Times New Roman"/>
          <w:color w:val="000000" w:themeColor="text1"/>
        </w:rPr>
        <w:t>B = Beta = 2.</w:t>
      </w:r>
      <w:r w:rsidR="00240DBD">
        <w:rPr>
          <w:rFonts w:ascii="Times New Roman" w:eastAsia="Times New Roman" w:hAnsi="Times New Roman" w:cs="Times New Roman"/>
          <w:color w:val="000000" w:themeColor="text1"/>
        </w:rPr>
        <w:t>3</w:t>
      </w:r>
      <w:r w:rsidRPr="00DE3D23">
        <w:rPr>
          <w:rFonts w:ascii="Times New Roman" w:eastAsia="Times New Roman" w:hAnsi="Times New Roman" w:cs="Times New Roman"/>
          <w:color w:val="000000" w:themeColor="text1"/>
        </w:rPr>
        <w:t xml:space="preserve"> measure of TESLA’s share price volatility </w:t>
      </w:r>
    </w:p>
    <w:p w14:paraId="3872A1FE" w14:textId="1C549E26" w:rsidR="2C1158CB" w:rsidRPr="00DE3D23" w:rsidRDefault="2C1158CB" w:rsidP="00FB7BFB">
      <w:pPr>
        <w:pStyle w:val="ListParagraph"/>
        <w:numPr>
          <w:ilvl w:val="0"/>
          <w:numId w:val="34"/>
        </w:numPr>
        <w:spacing w:before="240" w:after="240"/>
        <w:rPr>
          <w:rFonts w:ascii="Times New Roman" w:eastAsia="Times New Roman" w:hAnsi="Times New Roman" w:cs="Times New Roman"/>
          <w:color w:val="000000" w:themeColor="text1"/>
        </w:rPr>
      </w:pPr>
      <w:r w:rsidRPr="00DE3D23">
        <w:rPr>
          <w:rFonts w:ascii="Times New Roman" w:eastAsia="Times New Roman" w:hAnsi="Times New Roman" w:cs="Times New Roman"/>
          <w:color w:val="000000" w:themeColor="text1"/>
        </w:rPr>
        <w:t xml:space="preserve">E(Rm) = Expected return on the market = our benchmark which is a year average of the S&amp;P 500 = The average rate of return for the S&amp;P 500 June 2024 is </w:t>
      </w:r>
      <w:r w:rsidR="007B2BE6">
        <w:rPr>
          <w:rFonts w:ascii="Times New Roman" w:eastAsia="Times New Roman" w:hAnsi="Times New Roman" w:cs="Times New Roman"/>
          <w:color w:val="000000" w:themeColor="text1"/>
        </w:rPr>
        <w:t>13.22</w:t>
      </w:r>
      <w:r w:rsidRPr="00DE3D23">
        <w:rPr>
          <w:rFonts w:ascii="Times New Roman" w:eastAsia="Times New Roman" w:hAnsi="Times New Roman" w:cs="Times New Roman"/>
          <w:color w:val="000000" w:themeColor="text1"/>
        </w:rPr>
        <w:t xml:space="preserve">% </w:t>
      </w:r>
    </w:p>
    <w:p w14:paraId="69F2C243" w14:textId="0E0D0C3B"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Times New Roman" w:hAnsi="Times New Roman" w:cs="Times New Roman"/>
          <w:color w:val="000000" w:themeColor="text1"/>
        </w:rPr>
        <w:t xml:space="preserve"> </w:t>
      </w:r>
    </w:p>
    <w:p w14:paraId="694BA3AD" w14:textId="2E9D8966"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Times New Roman" w:hAnsi="Times New Roman" w:cs="Times New Roman"/>
          <w:color w:val="000000" w:themeColor="text1"/>
        </w:rPr>
        <w:t xml:space="preserve">Therefore: </w:t>
      </w:r>
    </w:p>
    <w:p w14:paraId="08DF7637" w14:textId="2A586B87"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Times New Roman" w:hAnsi="Times New Roman" w:cs="Times New Roman"/>
          <w:color w:val="000000" w:themeColor="text1"/>
        </w:rPr>
        <w:t xml:space="preserve">Expected Rate of Return = Rf + B*[E(Rm)-Rf] </w:t>
      </w:r>
    </w:p>
    <w:p w14:paraId="78ADDAC2" w14:textId="1BA5CFE4" w:rsidR="2C1158CB" w:rsidRPr="00DE3D23" w:rsidRDefault="2C1158CB" w:rsidP="6B8529C5">
      <w:pPr>
        <w:shd w:val="clear" w:color="auto" w:fill="FFFFFF" w:themeFill="background1"/>
        <w:spacing w:after="0"/>
        <w:rPr>
          <w:rFonts w:ascii="Times New Roman" w:hAnsi="Times New Roman" w:cs="Times New Roman"/>
        </w:rPr>
      </w:pPr>
      <w:r w:rsidRPr="00DE3D23">
        <w:rPr>
          <w:rFonts w:ascii="Times New Roman" w:eastAsia="Times New Roman" w:hAnsi="Times New Roman" w:cs="Times New Roman"/>
          <w:color w:val="000000" w:themeColor="text1"/>
        </w:rPr>
        <w:t xml:space="preserve">= </w:t>
      </w:r>
      <w:r w:rsidR="00AC586B">
        <w:rPr>
          <w:rFonts w:ascii="Times New Roman" w:eastAsia="Times New Roman" w:hAnsi="Times New Roman" w:cs="Times New Roman"/>
          <w:color w:val="000000" w:themeColor="text1"/>
        </w:rPr>
        <w:t>4.74</w:t>
      </w:r>
      <w:r w:rsidRPr="00DE3D23">
        <w:rPr>
          <w:rFonts w:ascii="Times New Roman" w:eastAsia="Times New Roman" w:hAnsi="Times New Roman" w:cs="Times New Roman"/>
          <w:color w:val="000000" w:themeColor="text1"/>
        </w:rPr>
        <w:t>% + 2.</w:t>
      </w:r>
      <w:r w:rsidR="006D07BA">
        <w:rPr>
          <w:rFonts w:ascii="Times New Roman" w:eastAsia="Times New Roman" w:hAnsi="Times New Roman" w:cs="Times New Roman"/>
          <w:color w:val="000000" w:themeColor="text1"/>
        </w:rPr>
        <w:t>3</w:t>
      </w:r>
      <w:r w:rsidRPr="00DE3D23">
        <w:rPr>
          <w:rFonts w:ascii="Times New Roman" w:eastAsia="Times New Roman" w:hAnsi="Times New Roman" w:cs="Times New Roman"/>
          <w:color w:val="000000" w:themeColor="text1"/>
        </w:rPr>
        <w:t xml:space="preserve"> * [</w:t>
      </w:r>
      <w:r w:rsidR="007B2BE6">
        <w:rPr>
          <w:rFonts w:ascii="Times New Roman" w:eastAsia="Times New Roman" w:hAnsi="Times New Roman" w:cs="Times New Roman"/>
          <w:color w:val="000000" w:themeColor="text1"/>
        </w:rPr>
        <w:t>13.22</w:t>
      </w:r>
      <w:r w:rsidRPr="00DE3D23">
        <w:rPr>
          <w:rFonts w:ascii="Times New Roman" w:eastAsia="Times New Roman" w:hAnsi="Times New Roman" w:cs="Times New Roman"/>
          <w:color w:val="000000" w:themeColor="text1"/>
        </w:rPr>
        <w:t>%</w:t>
      </w:r>
      <w:r w:rsidR="00AC586B">
        <w:rPr>
          <w:rFonts w:ascii="Times New Roman" w:eastAsia="Times New Roman" w:hAnsi="Times New Roman" w:cs="Times New Roman"/>
          <w:color w:val="000000" w:themeColor="text1"/>
        </w:rPr>
        <w:t xml:space="preserve"> </w:t>
      </w:r>
      <w:r w:rsidRPr="00DE3D23">
        <w:rPr>
          <w:rFonts w:ascii="Times New Roman" w:eastAsia="Times New Roman" w:hAnsi="Times New Roman" w:cs="Times New Roman"/>
          <w:color w:val="000000" w:themeColor="text1"/>
        </w:rPr>
        <w:t>-</w:t>
      </w:r>
      <w:r w:rsidR="00AC586B">
        <w:rPr>
          <w:rFonts w:ascii="Times New Roman" w:eastAsia="Times New Roman" w:hAnsi="Times New Roman" w:cs="Times New Roman"/>
          <w:color w:val="000000" w:themeColor="text1"/>
        </w:rPr>
        <w:t xml:space="preserve"> 4.74</w:t>
      </w:r>
      <w:r w:rsidRPr="00DE3D23">
        <w:rPr>
          <w:rFonts w:ascii="Times New Roman" w:eastAsia="Times New Roman" w:hAnsi="Times New Roman" w:cs="Times New Roman"/>
          <w:color w:val="000000" w:themeColor="text1"/>
        </w:rPr>
        <w:t xml:space="preserve">%] </w:t>
      </w:r>
    </w:p>
    <w:p w14:paraId="1667D221" w14:textId="332F8D5D" w:rsidR="00CC067E" w:rsidRPr="00A524CC" w:rsidRDefault="2C1158CB" w:rsidP="00A524CC">
      <w:pPr>
        <w:shd w:val="clear" w:color="auto" w:fill="FFFFFF" w:themeFill="background1"/>
        <w:spacing w:after="0"/>
        <w:rPr>
          <w:rFonts w:ascii="Times New Roman" w:hAnsi="Times New Roman" w:cs="Times New Roman"/>
        </w:rPr>
      </w:pPr>
      <w:r w:rsidRPr="00240DBD">
        <w:rPr>
          <w:rFonts w:ascii="Times New Roman" w:eastAsia="Times New Roman" w:hAnsi="Times New Roman" w:cs="Times New Roman"/>
          <w:color w:val="000000" w:themeColor="text1"/>
          <w:highlight w:val="lightGray"/>
        </w:rPr>
        <w:t xml:space="preserve">= </w:t>
      </w:r>
      <w:r w:rsidR="00831CCE">
        <w:rPr>
          <w:rFonts w:ascii="Times New Roman" w:eastAsia="Times New Roman" w:hAnsi="Times New Roman" w:cs="Times New Roman"/>
          <w:color w:val="000000" w:themeColor="text1"/>
          <w:highlight w:val="lightGray"/>
        </w:rPr>
        <w:t>24.24</w:t>
      </w:r>
      <w:r w:rsidR="00240DBD" w:rsidRPr="00240DBD">
        <w:rPr>
          <w:rFonts w:ascii="Times New Roman" w:eastAsia="Times New Roman" w:hAnsi="Times New Roman" w:cs="Times New Roman"/>
          <w:color w:val="000000" w:themeColor="text1"/>
          <w:highlight w:val="lightGray"/>
        </w:rPr>
        <w:t>%</w:t>
      </w:r>
    </w:p>
    <w:p w14:paraId="14638581" w14:textId="61582602" w:rsidR="00F54BD6" w:rsidRPr="00064795" w:rsidRDefault="594967CA" w:rsidP="554E3AFB">
      <w:pPr>
        <w:rPr>
          <w:rFonts w:ascii="Times New Roman" w:hAnsi="Times New Roman" w:cs="Times New Roman"/>
          <w:b/>
          <w:bCs/>
          <w:sz w:val="28"/>
          <w:szCs w:val="28"/>
        </w:rPr>
      </w:pPr>
      <w:r w:rsidRPr="00064795">
        <w:rPr>
          <w:rFonts w:ascii="Times New Roman" w:hAnsi="Times New Roman" w:cs="Times New Roman"/>
          <w:b/>
          <w:bCs/>
          <w:sz w:val="28"/>
          <w:szCs w:val="28"/>
        </w:rPr>
        <w:lastRenderedPageBreak/>
        <w:t>Investment 3:</w:t>
      </w:r>
      <w:r w:rsidR="5D2DE872" w:rsidRPr="00064795">
        <w:rPr>
          <w:rFonts w:ascii="Times New Roman" w:eastAsia="Times New Roman" w:hAnsi="Times New Roman" w:cs="Times New Roman"/>
          <w:b/>
          <w:bCs/>
          <w:color w:val="000000" w:themeColor="text1"/>
          <w:sz w:val="28"/>
          <w:szCs w:val="28"/>
        </w:rPr>
        <w:t xml:space="preserve"> Alphabet Inc. </w:t>
      </w:r>
      <w:r w:rsidR="00E34A1B">
        <w:rPr>
          <w:rFonts w:ascii="Times New Roman" w:eastAsia="Times New Roman" w:hAnsi="Times New Roman" w:cs="Times New Roman"/>
          <w:b/>
          <w:bCs/>
          <w:color w:val="000000" w:themeColor="text1"/>
          <w:sz w:val="28"/>
          <w:szCs w:val="28"/>
        </w:rPr>
        <w:t>(NYSE: G</w:t>
      </w:r>
      <w:r w:rsidR="006F0C89">
        <w:rPr>
          <w:rFonts w:ascii="Times New Roman" w:eastAsia="Times New Roman" w:hAnsi="Times New Roman" w:cs="Times New Roman"/>
          <w:b/>
          <w:bCs/>
          <w:color w:val="000000" w:themeColor="text1"/>
          <w:sz w:val="28"/>
          <w:szCs w:val="28"/>
        </w:rPr>
        <w:t>OOG)</w:t>
      </w:r>
    </w:p>
    <w:p w14:paraId="57B5F882" w14:textId="25618BBA" w:rsidR="00F54BD6" w:rsidRDefault="00F54BD6" w:rsidP="00F54BD6"/>
    <w:tbl>
      <w:tblPr>
        <w:tblW w:w="0" w:type="auto"/>
        <w:tblLayout w:type="fixed"/>
        <w:tblLook w:val="06A0" w:firstRow="1" w:lastRow="0" w:firstColumn="1" w:lastColumn="0" w:noHBand="1" w:noVBand="1"/>
      </w:tblPr>
      <w:tblGrid>
        <w:gridCol w:w="1280"/>
        <w:gridCol w:w="1370"/>
        <w:gridCol w:w="1205"/>
        <w:gridCol w:w="1295"/>
        <w:gridCol w:w="1295"/>
        <w:gridCol w:w="1295"/>
        <w:gridCol w:w="1295"/>
      </w:tblGrid>
      <w:tr w:rsidR="554E3AFB" w14:paraId="17727429" w14:textId="77777777" w:rsidTr="554E3AFB">
        <w:trPr>
          <w:trHeight w:val="1365"/>
        </w:trPr>
        <w:tc>
          <w:tcPr>
            <w:tcW w:w="12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B05464" w14:textId="720E4762" w:rsidR="5D2DE872" w:rsidRDefault="5D2DE872" w:rsidP="554E3AFB">
            <w:pPr>
              <w:spacing w:after="0"/>
              <w:rPr>
                <w:rFonts w:ascii="Times New Roman" w:eastAsia="Times New Roman" w:hAnsi="Times New Roman" w:cs="Times New Roman"/>
                <w:color w:val="000000" w:themeColor="text1"/>
                <w:u w:val="single"/>
              </w:rPr>
            </w:pPr>
            <w:r w:rsidRPr="554E3AFB">
              <w:rPr>
                <w:rFonts w:ascii="Times New Roman" w:eastAsia="Times New Roman" w:hAnsi="Times New Roman" w:cs="Times New Roman"/>
                <w:color w:val="000000" w:themeColor="text1"/>
                <w:u w:val="single"/>
              </w:rPr>
              <w:t>3</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0D2A2" w14:textId="6899764E" w:rsidR="554E3AFB" w:rsidRDefault="554E3AFB" w:rsidP="554E3AFB">
            <w:pPr>
              <w:spacing w:after="0"/>
              <w:jc w:val="center"/>
            </w:pPr>
            <w:r w:rsidRPr="554E3AFB">
              <w:rPr>
                <w:rFonts w:ascii="Times New Roman" w:eastAsia="Times New Roman" w:hAnsi="Times New Roman" w:cs="Times New Roman"/>
                <w:color w:val="000000" w:themeColor="text1"/>
              </w:rPr>
              <w:t>Alphabet Inc</w:t>
            </w:r>
          </w:p>
        </w:tc>
        <w:tc>
          <w:tcPr>
            <w:tcW w:w="1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6DE89" w14:textId="07EDF315" w:rsidR="554E3AFB" w:rsidRDefault="554E3AFB" w:rsidP="554E3AFB">
            <w:pPr>
              <w:spacing w:after="0"/>
              <w:jc w:val="center"/>
            </w:pPr>
            <w:r w:rsidRPr="554E3AFB">
              <w:rPr>
                <w:rFonts w:ascii="Times New Roman" w:eastAsia="Times New Roman" w:hAnsi="Times New Roman" w:cs="Times New Roman"/>
                <w:color w:val="000000" w:themeColor="text1"/>
              </w:rPr>
              <w:t xml:space="preserve">Individual Stock </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EF9011" w14:textId="6FAED038" w:rsidR="554E3AFB" w:rsidRDefault="554E3AFB" w:rsidP="554E3AFB">
            <w:pPr>
              <w:spacing w:after="0"/>
              <w:jc w:val="center"/>
            </w:pPr>
            <w:r w:rsidRPr="554E3AFB">
              <w:rPr>
                <w:rFonts w:ascii="Times New Roman" w:eastAsia="Times New Roman" w:hAnsi="Times New Roman" w:cs="Times New Roman"/>
                <w:color w:val="000000" w:themeColor="text1"/>
              </w:rPr>
              <w:t>NASDAQ</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8F528F" w14:textId="0258616D" w:rsidR="554E3AFB" w:rsidRDefault="554E3AFB" w:rsidP="554E3AFB">
            <w:pPr>
              <w:spacing w:after="0"/>
            </w:pPr>
            <w:r w:rsidRPr="554E3AFB">
              <w:rPr>
                <w:rFonts w:ascii="Times New Roman" w:eastAsia="Times New Roman" w:hAnsi="Times New Roman" w:cs="Times New Roman"/>
                <w:color w:val="000000" w:themeColor="text1"/>
              </w:rPr>
              <w:t xml:space="preserve">Mountain View, California, USA </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8D907" w14:textId="3D31D09D" w:rsidR="554E3AFB" w:rsidRDefault="554E3AFB" w:rsidP="554E3AFB">
            <w:pPr>
              <w:spacing w:after="0"/>
            </w:pPr>
            <w:r w:rsidRPr="554E3AFB">
              <w:rPr>
                <w:rFonts w:ascii="Times New Roman" w:eastAsia="Times New Roman" w:hAnsi="Times New Roman" w:cs="Times New Roman"/>
                <w:color w:val="000000" w:themeColor="text1"/>
              </w:rPr>
              <w:t xml:space="preserve">$8,366.68 </w:t>
            </w:r>
          </w:p>
        </w:tc>
        <w:tc>
          <w:tcPr>
            <w:tcW w:w="1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7E8DDA" w14:textId="4B179FC0" w:rsidR="554E3AFB" w:rsidRDefault="554E3AFB" w:rsidP="554E3AFB">
            <w:pPr>
              <w:spacing w:after="0"/>
            </w:pPr>
            <w:r w:rsidRPr="554E3AFB">
              <w:rPr>
                <w:rFonts w:ascii="Times New Roman" w:eastAsia="Times New Roman" w:hAnsi="Times New Roman" w:cs="Times New Roman"/>
                <w:color w:val="000000" w:themeColor="text1"/>
              </w:rPr>
              <w:t xml:space="preserve">8.366% </w:t>
            </w:r>
          </w:p>
        </w:tc>
      </w:tr>
    </w:tbl>
    <w:p w14:paraId="6ACEFE3C" w14:textId="1B9BF532" w:rsidR="00F54BD6" w:rsidRDefault="5D2DE872" w:rsidP="005F121B">
      <w:pPr>
        <w:pStyle w:val="Heading4"/>
        <w:spacing w:before="240"/>
      </w:pPr>
      <w:r w:rsidRPr="554E3AFB">
        <w:rPr>
          <w:rFonts w:ascii="Times New Roman" w:eastAsia="Times New Roman" w:hAnsi="Times New Roman" w:cs="Times New Roman"/>
          <w:b/>
          <w:bCs/>
          <w:i w:val="0"/>
          <w:iCs w:val="0"/>
          <w:color w:val="000000" w:themeColor="text1"/>
        </w:rPr>
        <w:t>a) Background on Company</w:t>
      </w:r>
    </w:p>
    <w:p w14:paraId="0FB3C21F" w14:textId="51D71FCD" w:rsidR="00F54BD6" w:rsidRDefault="5D2DE872" w:rsidP="554E3AFB">
      <w:pPr>
        <w:rPr>
          <w:rFonts w:ascii="Times New Roman" w:eastAsia="Times New Roman" w:hAnsi="Times New Roman" w:cs="Times New Roman"/>
          <w:color w:val="000000" w:themeColor="text1"/>
        </w:rPr>
      </w:pPr>
      <w:r w:rsidRPr="554E3AFB">
        <w:rPr>
          <w:rFonts w:ascii="Times New Roman" w:eastAsia="Times New Roman" w:hAnsi="Times New Roman" w:cs="Times New Roman"/>
          <w:color w:val="000000" w:themeColor="text1"/>
        </w:rPr>
        <w:t xml:space="preserve">Alphabet Inc. (GOOG) is the parent company of Google, one of the world’s most valuable and influential technology firms. Originally founded by Larry Page and Sergey Brin in 1998, Google revolutionized the internet by providing an unparalleled search engine that quickly dominated the market. Over time, the company has evolved into a global conglomerate with operations extending far beyond search, with investments in cloud computing, artificial intelligence (AI), autonomous vehicles (Waymo), consumer electronics (Pixel phones), and more. </w:t>
      </w:r>
      <w:proofErr w:type="gramStart"/>
      <w:r w:rsidRPr="554E3AFB">
        <w:rPr>
          <w:rFonts w:ascii="Times New Roman" w:eastAsia="Times New Roman" w:hAnsi="Times New Roman" w:cs="Times New Roman"/>
          <w:color w:val="000000" w:themeColor="text1"/>
        </w:rPr>
        <w:t>Alphabet’s</w:t>
      </w:r>
      <w:proofErr w:type="gramEnd"/>
      <w:r w:rsidRPr="554E3AFB">
        <w:rPr>
          <w:rFonts w:ascii="Times New Roman" w:eastAsia="Times New Roman" w:hAnsi="Times New Roman" w:cs="Times New Roman"/>
          <w:color w:val="000000" w:themeColor="text1"/>
        </w:rPr>
        <w:t xml:space="preserve"> success has been driven by its monopoly on search, the growth of its advertising business, and its diversification into high-growth areas.</w:t>
      </w:r>
    </w:p>
    <w:p w14:paraId="754F7938" w14:textId="43AE96DF" w:rsidR="00F54BD6" w:rsidRDefault="5D2DE872" w:rsidP="554E3AFB">
      <w:pPr>
        <w:rPr>
          <w:rFonts w:ascii="Times New Roman" w:eastAsia="Times New Roman" w:hAnsi="Times New Roman" w:cs="Times New Roman"/>
          <w:color w:val="000000" w:themeColor="text1"/>
        </w:rPr>
      </w:pPr>
      <w:proofErr w:type="gramStart"/>
      <w:r w:rsidRPr="554E3AFB">
        <w:rPr>
          <w:rFonts w:ascii="Times New Roman" w:eastAsia="Times New Roman" w:hAnsi="Times New Roman" w:cs="Times New Roman"/>
          <w:color w:val="000000" w:themeColor="text1"/>
        </w:rPr>
        <w:t>Alphabet’s</w:t>
      </w:r>
      <w:proofErr w:type="gramEnd"/>
      <w:r w:rsidRPr="554E3AFB">
        <w:rPr>
          <w:rFonts w:ascii="Times New Roman" w:eastAsia="Times New Roman" w:hAnsi="Times New Roman" w:cs="Times New Roman"/>
          <w:color w:val="000000" w:themeColor="text1"/>
        </w:rPr>
        <w:t xml:space="preserve"> dominance in the search and digital advertising sectors allows it to generate substantial revenue through ad sales, which remain the company’s primary income source. The company has also expanded into high-potential markets like cloud computing, self-driving cars, and AI, ensuring its long-term growth prospects. Alphabet's market value of approximately $1.7 trillion underscores its scale, and the company consistently reinvests its earnings into innovation and expansion, positioning itself as a major player in the digital age.</w:t>
      </w:r>
    </w:p>
    <w:p w14:paraId="39D51AEB" w14:textId="31FBDE8B" w:rsidR="00F54BD6" w:rsidRDefault="5D2DE872" w:rsidP="554E3AFB">
      <w:pPr>
        <w:pStyle w:val="Heading4"/>
        <w:spacing w:before="240"/>
      </w:pPr>
      <w:r w:rsidRPr="554E3AFB">
        <w:rPr>
          <w:rFonts w:ascii="Times New Roman" w:eastAsia="Times New Roman" w:hAnsi="Times New Roman" w:cs="Times New Roman"/>
          <w:b/>
          <w:bCs/>
          <w:i w:val="0"/>
          <w:iCs w:val="0"/>
          <w:color w:val="000000" w:themeColor="text1"/>
        </w:rPr>
        <w:t>Reason 1) Valuation Assessment (Low P/E Ratio and Favorable P/E Ratio Comparison to Industry Average)</w:t>
      </w:r>
    </w:p>
    <w:p w14:paraId="6A8410D0" w14:textId="18B5E4EC" w:rsidR="00F54BD6" w:rsidRDefault="5D2DE872" w:rsidP="00FB7BFB">
      <w:pPr>
        <w:pStyle w:val="ListParagraph"/>
        <w:numPr>
          <w:ilvl w:val="0"/>
          <w:numId w:val="24"/>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P/E Ratio Analysis</w:t>
      </w:r>
      <w:r w:rsidRPr="554E3AFB">
        <w:rPr>
          <w:rFonts w:ascii="Times New Roman" w:eastAsia="Times New Roman" w:hAnsi="Times New Roman" w:cs="Times New Roman"/>
          <w:color w:val="000000" w:themeColor="text1"/>
        </w:rPr>
        <w:t>: The Price-to-Earnings (P/E) ratio is an essential metric to assess the valuation of a company. Alphabet's current P/E ratio is approximately 22–25, which is relatively low compared to other tech giants like Amazon (P/E ~60) and Tesla (P/E ~50). A lower P/E ratio indicates that investors are paying less for each dollar of earnings, which could suggest that the stock is undervalued.</w:t>
      </w:r>
    </w:p>
    <w:p w14:paraId="088A29FA" w14:textId="1045FF94" w:rsidR="00F54BD6" w:rsidRDefault="5D2DE872" w:rsidP="005F121B">
      <w:pPr>
        <w:spacing w:before="220" w:after="220"/>
        <w:jc w:val="center"/>
      </w:pPr>
      <w:r>
        <w:rPr>
          <w:noProof/>
        </w:rPr>
        <w:lastRenderedPageBreak/>
        <w:drawing>
          <wp:inline distT="0" distB="0" distL="0" distR="0" wp14:anchorId="2777C352" wp14:editId="3535C7A1">
            <wp:extent cx="3286125" cy="2933700"/>
            <wp:effectExtent l="0" t="0" r="0" b="0"/>
            <wp:docPr id="1117697541" name="Picture 111769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86125" cy="2933700"/>
                    </a:xfrm>
                    <a:prstGeom prst="rect">
                      <a:avLst/>
                    </a:prstGeom>
                  </pic:spPr>
                </pic:pic>
              </a:graphicData>
            </a:graphic>
          </wp:inline>
        </w:drawing>
      </w:r>
    </w:p>
    <w:p w14:paraId="5B2FE1D8" w14:textId="542E1751" w:rsidR="00F54BD6" w:rsidRDefault="5D2DE872" w:rsidP="00FB7BFB">
      <w:pPr>
        <w:pStyle w:val="ListParagraph"/>
        <w:numPr>
          <w:ilvl w:val="0"/>
          <w:numId w:val="23"/>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Industry Comparison</w:t>
      </w:r>
      <w:r w:rsidRPr="554E3AFB">
        <w:rPr>
          <w:rFonts w:ascii="Times New Roman" w:eastAsia="Times New Roman" w:hAnsi="Times New Roman" w:cs="Times New Roman"/>
          <w:color w:val="000000" w:themeColor="text1"/>
        </w:rPr>
        <w:t xml:space="preserve">: Within the technology sector, Alphabet’s P/E ratio is below the average for its industry, which often sees P/E ratios higher than 30 due to the high growth potential of companies. For example, Microsoft and Apple have higher P/E ratios (~30–35), while Alphabet is priced relatively attractively. This makes </w:t>
      </w:r>
      <w:proofErr w:type="gramStart"/>
      <w:r w:rsidRPr="554E3AFB">
        <w:rPr>
          <w:rFonts w:ascii="Times New Roman" w:eastAsia="Times New Roman" w:hAnsi="Times New Roman" w:cs="Times New Roman"/>
          <w:color w:val="000000" w:themeColor="text1"/>
        </w:rPr>
        <w:t>Alphabet</w:t>
      </w:r>
      <w:proofErr w:type="gramEnd"/>
      <w:r w:rsidRPr="554E3AFB">
        <w:rPr>
          <w:rFonts w:ascii="Times New Roman" w:eastAsia="Times New Roman" w:hAnsi="Times New Roman" w:cs="Times New Roman"/>
          <w:color w:val="000000" w:themeColor="text1"/>
        </w:rPr>
        <w:t xml:space="preserve"> a compelling option for long-term investors looking for growth at a reasonable price.</w:t>
      </w:r>
    </w:p>
    <w:p w14:paraId="5797B493" w14:textId="6BB71CD4" w:rsidR="00F54BD6" w:rsidRDefault="5D2DE872" w:rsidP="00FB7BFB">
      <w:pPr>
        <w:pStyle w:val="ListParagraph"/>
        <w:numPr>
          <w:ilvl w:val="0"/>
          <w:numId w:val="23"/>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Growth-Adjusted Valuation</w:t>
      </w:r>
      <w:r w:rsidRPr="554E3AFB">
        <w:rPr>
          <w:rFonts w:ascii="Times New Roman" w:eastAsia="Times New Roman" w:hAnsi="Times New Roman" w:cs="Times New Roman"/>
          <w:color w:val="000000" w:themeColor="text1"/>
        </w:rPr>
        <w:t xml:space="preserve">: The low P/E ratio, combined with Alphabet’s expected long-term growth rate, suggests that </w:t>
      </w:r>
      <w:proofErr w:type="gramStart"/>
      <w:r w:rsidRPr="554E3AFB">
        <w:rPr>
          <w:rFonts w:ascii="Times New Roman" w:eastAsia="Times New Roman" w:hAnsi="Times New Roman" w:cs="Times New Roman"/>
          <w:color w:val="000000" w:themeColor="text1"/>
        </w:rPr>
        <w:t>the stock</w:t>
      </w:r>
      <w:proofErr w:type="gramEnd"/>
      <w:r w:rsidRPr="554E3AFB">
        <w:rPr>
          <w:rFonts w:ascii="Times New Roman" w:eastAsia="Times New Roman" w:hAnsi="Times New Roman" w:cs="Times New Roman"/>
          <w:color w:val="000000" w:themeColor="text1"/>
        </w:rPr>
        <w:t xml:space="preserve"> could be undervalued. When adjusted for growth (PEG ratio), Alphabet remains an appealing investment as it offers future growth potential without the inflated price tag typically associated with high-growth tech stocks.</w:t>
      </w:r>
    </w:p>
    <w:p w14:paraId="2F7BE583" w14:textId="6E1F5B7B" w:rsidR="00F54BD6" w:rsidRDefault="5D2DE872" w:rsidP="554E3AFB">
      <w:pPr>
        <w:pStyle w:val="Heading4"/>
        <w:spacing w:before="240"/>
      </w:pPr>
      <w:r w:rsidRPr="554E3AFB">
        <w:rPr>
          <w:rFonts w:ascii="Times New Roman" w:eastAsia="Times New Roman" w:hAnsi="Times New Roman" w:cs="Times New Roman"/>
          <w:b/>
          <w:bCs/>
          <w:i w:val="0"/>
          <w:iCs w:val="0"/>
          <w:color w:val="000000" w:themeColor="text1"/>
        </w:rPr>
        <w:t>Reason 2) Valuation Assessment (Low P/B Ratio and Favorable P/B Ratio Comparison to Industry Average)</w:t>
      </w:r>
    </w:p>
    <w:p w14:paraId="5120285E" w14:textId="67AA74D6" w:rsidR="00F54BD6" w:rsidRDefault="5D2DE872" w:rsidP="00FB7BFB">
      <w:pPr>
        <w:pStyle w:val="ListParagraph"/>
        <w:numPr>
          <w:ilvl w:val="0"/>
          <w:numId w:val="22"/>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P/B Ratio</w:t>
      </w:r>
      <w:r w:rsidRPr="554E3AFB">
        <w:rPr>
          <w:rFonts w:ascii="Times New Roman" w:eastAsia="Times New Roman" w:hAnsi="Times New Roman" w:cs="Times New Roman"/>
          <w:color w:val="000000" w:themeColor="text1"/>
        </w:rPr>
        <w:t>: Alphabet’s Price-to-Book (P/B) ratio is around 5.7, which, though high compared to traditional industries, is relatively low in the tech sector. This indicates that Alphabet’s market price does not reflect the true intrinsic value of its underlying assets as fully as some other tech companies.</w:t>
      </w:r>
    </w:p>
    <w:p w14:paraId="750FB60A" w14:textId="17E277BD" w:rsidR="00F54BD6" w:rsidRDefault="5D2DE872" w:rsidP="00FB7BFB">
      <w:pPr>
        <w:pStyle w:val="ListParagraph"/>
        <w:numPr>
          <w:ilvl w:val="0"/>
          <w:numId w:val="22"/>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Comparison to Tech Industry</w:t>
      </w:r>
      <w:r w:rsidRPr="554E3AFB">
        <w:rPr>
          <w:rFonts w:ascii="Times New Roman" w:eastAsia="Times New Roman" w:hAnsi="Times New Roman" w:cs="Times New Roman"/>
          <w:color w:val="000000" w:themeColor="text1"/>
        </w:rPr>
        <w:t>: Tech companies, especially those in growth phases, often have higher P/B ratios due to intangible assets like intellectual property and future revenue potential. For instance, Apple’s P/B ratio is much higher at 40+, which may reflect overvaluation relative to its growth trajectory. Alphabet’s lower P/B ratio suggests that its stock is priced more favorably, relative to its future earnings potential, especially in comparison to its market peers.</w:t>
      </w:r>
    </w:p>
    <w:p w14:paraId="7418C18E" w14:textId="789FAF5D" w:rsidR="005A37F5" w:rsidRDefault="5D2DE872" w:rsidP="005A37F5">
      <w:pPr>
        <w:pStyle w:val="ListParagraph"/>
        <w:numPr>
          <w:ilvl w:val="0"/>
          <w:numId w:val="22"/>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Market Implications</w:t>
      </w:r>
      <w:r w:rsidRPr="554E3AFB">
        <w:rPr>
          <w:rFonts w:ascii="Times New Roman" w:eastAsia="Times New Roman" w:hAnsi="Times New Roman" w:cs="Times New Roman"/>
          <w:color w:val="000000" w:themeColor="text1"/>
        </w:rPr>
        <w:t xml:space="preserve">: Alphabet’s relatively low P/B ratio is a signal to investors that it is undervalued based on its assets, offering an attractive investment opportunity in a </w:t>
      </w:r>
      <w:r w:rsidRPr="554E3AFB">
        <w:rPr>
          <w:rFonts w:ascii="Times New Roman" w:eastAsia="Times New Roman" w:hAnsi="Times New Roman" w:cs="Times New Roman"/>
          <w:color w:val="000000" w:themeColor="text1"/>
        </w:rPr>
        <w:lastRenderedPageBreak/>
        <w:t>growth-heavy sector. Additionally, Alphabet’s diverse and robust intellectual property portfolio—ranging from its search algorithm to AI technologies—supports a higher intrinsic value than its current market capitalization suggests.</w:t>
      </w:r>
    </w:p>
    <w:p w14:paraId="1F9B638E" w14:textId="77777777" w:rsidR="005A37F5" w:rsidRPr="005A37F5" w:rsidRDefault="005A37F5" w:rsidP="005A37F5">
      <w:pPr>
        <w:spacing w:before="240" w:after="240"/>
        <w:rPr>
          <w:rFonts w:ascii="Times New Roman" w:eastAsia="Times New Roman" w:hAnsi="Times New Roman" w:cs="Times New Roman"/>
          <w:color w:val="000000" w:themeColor="text1"/>
        </w:rPr>
      </w:pPr>
    </w:p>
    <w:p w14:paraId="5BE360BF" w14:textId="7851658C" w:rsidR="00F54BD6" w:rsidRDefault="5D2DE872" w:rsidP="554E3AFB">
      <w:pPr>
        <w:pStyle w:val="Heading4"/>
        <w:spacing w:before="240"/>
      </w:pPr>
      <w:r w:rsidRPr="554E3AFB">
        <w:rPr>
          <w:rFonts w:ascii="Times New Roman" w:eastAsia="Times New Roman" w:hAnsi="Times New Roman" w:cs="Times New Roman"/>
          <w:b/>
          <w:bCs/>
          <w:i w:val="0"/>
          <w:iCs w:val="0"/>
          <w:color w:val="000000" w:themeColor="text1"/>
        </w:rPr>
        <w:t>Reason 3) Profitability Assessment</w:t>
      </w:r>
    </w:p>
    <w:p w14:paraId="5020B968" w14:textId="131A3E77" w:rsidR="00F54BD6" w:rsidRDefault="00F54BD6" w:rsidP="00F54BD6"/>
    <w:p w14:paraId="076C9411" w14:textId="283C6F61" w:rsidR="00F54BD6" w:rsidRDefault="5D2DE872" w:rsidP="554E3AFB">
      <w:pPr>
        <w:spacing w:before="220" w:after="220"/>
      </w:pPr>
      <w:r>
        <w:rPr>
          <w:noProof/>
        </w:rPr>
        <w:drawing>
          <wp:inline distT="0" distB="0" distL="0" distR="0" wp14:anchorId="72B21379" wp14:editId="1098C9D7">
            <wp:extent cx="5943600" cy="2438400"/>
            <wp:effectExtent l="0" t="0" r="0" b="0"/>
            <wp:docPr id="545114135" name="Picture 54511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62845A70" w14:textId="26876EF7" w:rsidR="00F54BD6" w:rsidRDefault="5D2DE872" w:rsidP="00FB7BFB">
      <w:pPr>
        <w:pStyle w:val="ListParagraph"/>
        <w:numPr>
          <w:ilvl w:val="0"/>
          <w:numId w:val="21"/>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Strong Profit Margins</w:t>
      </w:r>
      <w:r w:rsidRPr="554E3AFB">
        <w:rPr>
          <w:rFonts w:ascii="Times New Roman" w:eastAsia="Times New Roman" w:hAnsi="Times New Roman" w:cs="Times New Roman"/>
          <w:color w:val="000000" w:themeColor="text1"/>
        </w:rPr>
        <w:t xml:space="preserve">: </w:t>
      </w:r>
      <w:proofErr w:type="gramStart"/>
      <w:r w:rsidRPr="554E3AFB">
        <w:rPr>
          <w:rFonts w:ascii="Times New Roman" w:eastAsia="Times New Roman" w:hAnsi="Times New Roman" w:cs="Times New Roman"/>
          <w:color w:val="000000" w:themeColor="text1"/>
        </w:rPr>
        <w:t>Alphabet</w:t>
      </w:r>
      <w:proofErr w:type="gramEnd"/>
      <w:r w:rsidRPr="554E3AFB">
        <w:rPr>
          <w:rFonts w:ascii="Times New Roman" w:eastAsia="Times New Roman" w:hAnsi="Times New Roman" w:cs="Times New Roman"/>
          <w:color w:val="000000" w:themeColor="text1"/>
        </w:rPr>
        <w:t xml:space="preserve"> has consistently demonstrated excellent profitability. As of 2023, Alphabet’s operating margins hover around 30–35%, which is very high compared to most industries, especially in the tech sector. The company’s digital advertising model, which allows it to scale while maintaining low costs, is a key contributor to these margins.</w:t>
      </w:r>
    </w:p>
    <w:p w14:paraId="41AC834D" w14:textId="746462D9" w:rsidR="00F54BD6" w:rsidRDefault="5D2DE872" w:rsidP="00FB7BFB">
      <w:pPr>
        <w:pStyle w:val="ListParagraph"/>
        <w:numPr>
          <w:ilvl w:val="0"/>
          <w:numId w:val="21"/>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Return on Equity (ROE)</w:t>
      </w:r>
      <w:r w:rsidRPr="554E3AFB">
        <w:rPr>
          <w:rFonts w:ascii="Times New Roman" w:eastAsia="Times New Roman" w:hAnsi="Times New Roman" w:cs="Times New Roman"/>
          <w:color w:val="000000" w:themeColor="text1"/>
        </w:rPr>
        <w:t xml:space="preserve">: Alphabet’s Return on Equity (ROE) has been impressive, typically around 15–20%. This indicates the company is efficiently using shareholder equity to generate profits. </w:t>
      </w:r>
      <w:proofErr w:type="gramStart"/>
      <w:r w:rsidRPr="554E3AFB">
        <w:rPr>
          <w:rFonts w:ascii="Times New Roman" w:eastAsia="Times New Roman" w:hAnsi="Times New Roman" w:cs="Times New Roman"/>
          <w:color w:val="000000" w:themeColor="text1"/>
        </w:rPr>
        <w:t>Alphabet’s</w:t>
      </w:r>
      <w:proofErr w:type="gramEnd"/>
      <w:r w:rsidRPr="554E3AFB">
        <w:rPr>
          <w:rFonts w:ascii="Times New Roman" w:eastAsia="Times New Roman" w:hAnsi="Times New Roman" w:cs="Times New Roman"/>
          <w:color w:val="000000" w:themeColor="text1"/>
        </w:rPr>
        <w:t xml:space="preserve"> ability to generate high returns on equity is especially impressive given its size, as it shows the company can effectively manage its resources and reinvest profits to drive future growth.</w:t>
      </w:r>
    </w:p>
    <w:p w14:paraId="6BB61557" w14:textId="6E8D60FC" w:rsidR="00F54BD6" w:rsidRDefault="5D2DE872" w:rsidP="00FB7BFB">
      <w:pPr>
        <w:pStyle w:val="ListParagraph"/>
        <w:numPr>
          <w:ilvl w:val="0"/>
          <w:numId w:val="21"/>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Profitability Stability</w:t>
      </w:r>
      <w:r w:rsidRPr="554E3AFB">
        <w:rPr>
          <w:rFonts w:ascii="Times New Roman" w:eastAsia="Times New Roman" w:hAnsi="Times New Roman" w:cs="Times New Roman"/>
          <w:color w:val="000000" w:themeColor="text1"/>
        </w:rPr>
        <w:t>: Alphabet has consistently demonstrated high profitability and robust earnings growth, which is expected to continue due to its strong competitive advantages in advertising, cloud computing, and AI. The company’s profitability makes it an attractive stock for investors looking for consistent returns.</w:t>
      </w:r>
    </w:p>
    <w:p w14:paraId="66AFCB3C" w14:textId="2A49D634" w:rsidR="00F54BD6" w:rsidRDefault="5D2DE872" w:rsidP="554E3AFB">
      <w:pPr>
        <w:pStyle w:val="Heading4"/>
        <w:spacing w:before="240"/>
      </w:pPr>
      <w:r w:rsidRPr="554E3AFB">
        <w:rPr>
          <w:rFonts w:ascii="Times New Roman" w:eastAsia="Times New Roman" w:hAnsi="Times New Roman" w:cs="Times New Roman"/>
          <w:b/>
          <w:bCs/>
          <w:i w:val="0"/>
          <w:iCs w:val="0"/>
          <w:color w:val="000000" w:themeColor="text1"/>
        </w:rPr>
        <w:lastRenderedPageBreak/>
        <w:t>Reason 4) Consistent Trailing Dividend Payout or Predictable Income (Bond Consideration)</w:t>
      </w:r>
    </w:p>
    <w:p w14:paraId="6B302A16" w14:textId="619C09BF" w:rsidR="00F54BD6" w:rsidRDefault="5D2DE872" w:rsidP="00FB7BFB">
      <w:pPr>
        <w:pStyle w:val="ListParagraph"/>
        <w:numPr>
          <w:ilvl w:val="0"/>
          <w:numId w:val="20"/>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Non-Dividend Stock</w:t>
      </w:r>
      <w:r w:rsidRPr="554E3AFB">
        <w:rPr>
          <w:rFonts w:ascii="Times New Roman" w:eastAsia="Times New Roman" w:hAnsi="Times New Roman" w:cs="Times New Roman"/>
          <w:color w:val="000000" w:themeColor="text1"/>
        </w:rPr>
        <w:t>: While Alphabet does not currently pay a dividend, it instead focuses on reinvesting earnings into business expansion. This strategy, common among high-growth tech companies, allows Alphabet to fund innovation, such as advancements in cloud computing, artificial intelligence, and autonomous vehicles, which will drive future growth.</w:t>
      </w:r>
    </w:p>
    <w:p w14:paraId="19F5704C" w14:textId="52AB5583" w:rsidR="00F54BD6" w:rsidRDefault="5D2DE872" w:rsidP="00FB7BFB">
      <w:pPr>
        <w:pStyle w:val="ListParagraph"/>
        <w:numPr>
          <w:ilvl w:val="0"/>
          <w:numId w:val="20"/>
        </w:numPr>
        <w:spacing w:before="240" w:after="240"/>
      </w:pPr>
      <w:r w:rsidRPr="554E3AFB">
        <w:rPr>
          <w:rFonts w:ascii="Times New Roman" w:eastAsia="Times New Roman" w:hAnsi="Times New Roman" w:cs="Times New Roman"/>
          <w:b/>
          <w:bCs/>
          <w:color w:val="000000" w:themeColor="text1"/>
        </w:rPr>
        <w:t>Future Dividend Potential</w:t>
      </w:r>
      <w:r w:rsidRPr="554E3AFB">
        <w:rPr>
          <w:rFonts w:ascii="Times New Roman" w:eastAsia="Times New Roman" w:hAnsi="Times New Roman" w:cs="Times New Roman"/>
          <w:color w:val="000000" w:themeColor="text1"/>
        </w:rPr>
        <w:t xml:space="preserve">: Although Alphabet’s primary focus is growth, there is a possibility that the company could start paying dividends in the future once its core businesses mature. For now, investors seeking income may look to other assets, but Alphabet compensates for this with substantial capital appreciation potential. As </w:t>
      </w:r>
      <w:proofErr w:type="gramStart"/>
      <w:r w:rsidRPr="554E3AFB">
        <w:rPr>
          <w:rFonts w:ascii="Times New Roman" w:eastAsia="Times New Roman" w:hAnsi="Times New Roman" w:cs="Times New Roman"/>
          <w:color w:val="000000" w:themeColor="text1"/>
        </w:rPr>
        <w:t>Alphabet</w:t>
      </w:r>
      <w:proofErr w:type="gramEnd"/>
      <w:r w:rsidRPr="554E3AFB">
        <w:rPr>
          <w:rFonts w:ascii="Times New Roman" w:eastAsia="Times New Roman" w:hAnsi="Times New Roman" w:cs="Times New Roman"/>
          <w:color w:val="000000" w:themeColor="text1"/>
        </w:rPr>
        <w:t xml:space="preserve"> continues to mature, dividends may become a part of the overall investment </w:t>
      </w:r>
      <w:r w:rsidR="06B6FB5F" w:rsidRPr="554E3AFB">
        <w:rPr>
          <w:rFonts w:ascii="Times New Roman" w:eastAsia="Times New Roman" w:hAnsi="Times New Roman" w:cs="Times New Roman"/>
          <w:color w:val="000000" w:themeColor="text1"/>
        </w:rPr>
        <w:t>strategy</w:t>
      </w:r>
      <w:r w:rsidRPr="554E3AFB">
        <w:rPr>
          <w:rFonts w:ascii="Times New Roman" w:eastAsia="Times New Roman" w:hAnsi="Times New Roman" w:cs="Times New Roman"/>
          <w:color w:val="000000" w:themeColor="text1"/>
        </w:rPr>
        <w:t>.</w:t>
      </w:r>
      <w:r w:rsidR="17933F00">
        <w:rPr>
          <w:noProof/>
        </w:rPr>
        <w:drawing>
          <wp:inline distT="0" distB="0" distL="0" distR="0" wp14:anchorId="17DDDAF7" wp14:editId="50CDAC2D">
            <wp:extent cx="5135689" cy="2293692"/>
            <wp:effectExtent l="0" t="0" r="0" b="0"/>
            <wp:docPr id="1490345785" name="Picture 1490345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35689" cy="2293692"/>
                    </a:xfrm>
                    <a:prstGeom prst="rect">
                      <a:avLst/>
                    </a:prstGeom>
                  </pic:spPr>
                </pic:pic>
              </a:graphicData>
            </a:graphic>
          </wp:inline>
        </w:drawing>
      </w:r>
    </w:p>
    <w:p w14:paraId="1B245996" w14:textId="49A618EF" w:rsidR="00F54BD6" w:rsidRDefault="5D2DE872" w:rsidP="554E3AFB">
      <w:pPr>
        <w:pStyle w:val="Heading4"/>
        <w:spacing w:before="240"/>
      </w:pPr>
      <w:r w:rsidRPr="554E3AFB">
        <w:rPr>
          <w:rFonts w:ascii="Times New Roman" w:eastAsia="Times New Roman" w:hAnsi="Times New Roman" w:cs="Times New Roman"/>
          <w:b/>
          <w:bCs/>
          <w:i w:val="0"/>
          <w:iCs w:val="0"/>
          <w:color w:val="000000" w:themeColor="text1"/>
        </w:rPr>
        <w:t>Reason 5) High Market Capitalization</w:t>
      </w:r>
    </w:p>
    <w:p w14:paraId="0E65599D" w14:textId="146D4481" w:rsidR="00F54BD6" w:rsidRDefault="5D2DE872" w:rsidP="00FB7BFB">
      <w:pPr>
        <w:pStyle w:val="ListParagraph"/>
        <w:numPr>
          <w:ilvl w:val="0"/>
          <w:numId w:val="19"/>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Market Leadership</w:t>
      </w:r>
      <w:r w:rsidRPr="554E3AFB">
        <w:rPr>
          <w:rFonts w:ascii="Times New Roman" w:eastAsia="Times New Roman" w:hAnsi="Times New Roman" w:cs="Times New Roman"/>
          <w:color w:val="000000" w:themeColor="text1"/>
        </w:rPr>
        <w:t>: Alphabet’s market capitalization of approximately $1.7 trillion positions it among the largest companies in the world, alongside other tech giants like Microsoft and Apple. This market cap reflects the company’s size, influence, and potential to weather economic fluctuations better than smaller firms.</w:t>
      </w:r>
    </w:p>
    <w:p w14:paraId="55896373" w14:textId="01FFDC60" w:rsidR="00F54BD6" w:rsidRDefault="5D2DE872" w:rsidP="00FB7BFB">
      <w:pPr>
        <w:pStyle w:val="ListParagraph"/>
        <w:numPr>
          <w:ilvl w:val="0"/>
          <w:numId w:val="19"/>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Diversification and Stability</w:t>
      </w:r>
      <w:r w:rsidRPr="554E3AFB">
        <w:rPr>
          <w:rFonts w:ascii="Times New Roman" w:eastAsia="Times New Roman" w:hAnsi="Times New Roman" w:cs="Times New Roman"/>
          <w:color w:val="000000" w:themeColor="text1"/>
        </w:rPr>
        <w:t xml:space="preserve">: The size and scale of </w:t>
      </w:r>
      <w:proofErr w:type="gramStart"/>
      <w:r w:rsidRPr="554E3AFB">
        <w:rPr>
          <w:rFonts w:ascii="Times New Roman" w:eastAsia="Times New Roman" w:hAnsi="Times New Roman" w:cs="Times New Roman"/>
          <w:color w:val="000000" w:themeColor="text1"/>
        </w:rPr>
        <w:t>Alphabet</w:t>
      </w:r>
      <w:proofErr w:type="gramEnd"/>
      <w:r w:rsidRPr="554E3AFB">
        <w:rPr>
          <w:rFonts w:ascii="Times New Roman" w:eastAsia="Times New Roman" w:hAnsi="Times New Roman" w:cs="Times New Roman"/>
          <w:color w:val="000000" w:themeColor="text1"/>
        </w:rPr>
        <w:t xml:space="preserve"> provide stability. Investors can expect less volatility compared to smaller, higher-risk tech startups. Alphabet’s broad product portfolio, ranging from advertising to cloud services, shields it from significant losses in any single market segment, providing a level of diversification within a single investment.</w:t>
      </w:r>
    </w:p>
    <w:p w14:paraId="47ED56AB" w14:textId="477E41EB" w:rsidR="00F54BD6" w:rsidRDefault="5D2DE872" w:rsidP="554E3AFB">
      <w:pPr>
        <w:pStyle w:val="Heading4"/>
        <w:spacing w:before="240"/>
      </w:pPr>
      <w:r w:rsidRPr="554E3AFB">
        <w:rPr>
          <w:rFonts w:ascii="Times New Roman" w:eastAsia="Times New Roman" w:hAnsi="Times New Roman" w:cs="Times New Roman"/>
          <w:b/>
          <w:bCs/>
          <w:i w:val="0"/>
          <w:iCs w:val="0"/>
          <w:color w:val="000000" w:themeColor="text1"/>
        </w:rPr>
        <w:t>Reason 6) Projected Future Long-Term Growth Based on Historical Data (Graph)</w:t>
      </w:r>
    </w:p>
    <w:p w14:paraId="0F14159B" w14:textId="530A8537" w:rsidR="00F54BD6" w:rsidRDefault="00F54BD6" w:rsidP="00F54BD6"/>
    <w:p w14:paraId="28540E6C" w14:textId="59C79A6E" w:rsidR="00F54BD6" w:rsidRDefault="5D2DE872" w:rsidP="554E3AFB">
      <w:pPr>
        <w:spacing w:before="220" w:after="220"/>
      </w:pPr>
      <w:r>
        <w:rPr>
          <w:noProof/>
        </w:rPr>
        <w:lastRenderedPageBreak/>
        <w:drawing>
          <wp:inline distT="0" distB="0" distL="0" distR="0" wp14:anchorId="0D18A0E2" wp14:editId="1C972BC1">
            <wp:extent cx="5314950" cy="2686050"/>
            <wp:effectExtent l="0" t="0" r="0" b="0"/>
            <wp:docPr id="920195857" name="Picture 92019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14950" cy="2686050"/>
                    </a:xfrm>
                    <a:prstGeom prst="rect">
                      <a:avLst/>
                    </a:prstGeom>
                  </pic:spPr>
                </pic:pic>
              </a:graphicData>
            </a:graphic>
          </wp:inline>
        </w:drawing>
      </w:r>
    </w:p>
    <w:p w14:paraId="339234CF" w14:textId="575CDBB8" w:rsidR="00F54BD6" w:rsidRDefault="5D2DE872" w:rsidP="00FB7BFB">
      <w:pPr>
        <w:pStyle w:val="ListParagraph"/>
        <w:numPr>
          <w:ilvl w:val="0"/>
          <w:numId w:val="18"/>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Historical Growth</w:t>
      </w:r>
      <w:r w:rsidRPr="554E3AFB">
        <w:rPr>
          <w:rFonts w:ascii="Times New Roman" w:eastAsia="Times New Roman" w:hAnsi="Times New Roman" w:cs="Times New Roman"/>
          <w:color w:val="000000" w:themeColor="text1"/>
        </w:rPr>
        <w:t xml:space="preserve">: </w:t>
      </w:r>
      <w:proofErr w:type="gramStart"/>
      <w:r w:rsidRPr="554E3AFB">
        <w:rPr>
          <w:rFonts w:ascii="Times New Roman" w:eastAsia="Times New Roman" w:hAnsi="Times New Roman" w:cs="Times New Roman"/>
          <w:color w:val="000000" w:themeColor="text1"/>
        </w:rPr>
        <w:t>Alphabet</w:t>
      </w:r>
      <w:proofErr w:type="gramEnd"/>
      <w:r w:rsidRPr="554E3AFB">
        <w:rPr>
          <w:rFonts w:ascii="Times New Roman" w:eastAsia="Times New Roman" w:hAnsi="Times New Roman" w:cs="Times New Roman"/>
          <w:color w:val="000000" w:themeColor="text1"/>
        </w:rPr>
        <w:t xml:space="preserve"> has demonstrated a compound annual growth rate (CAGR) of 20% in revenue over the past decade. Despite its size, the company continues to show solid growth prospects, with diversification into high-growth areas like cloud computing and AI.</w:t>
      </w:r>
    </w:p>
    <w:p w14:paraId="7E911FBD" w14:textId="40B3D0E4" w:rsidR="00F54BD6" w:rsidRDefault="5D2DE872" w:rsidP="00FB7BFB">
      <w:pPr>
        <w:pStyle w:val="ListParagraph"/>
        <w:numPr>
          <w:ilvl w:val="0"/>
          <w:numId w:val="18"/>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Projected Growth</w:t>
      </w:r>
      <w:r w:rsidRPr="554E3AFB">
        <w:rPr>
          <w:rFonts w:ascii="Times New Roman" w:eastAsia="Times New Roman" w:hAnsi="Times New Roman" w:cs="Times New Roman"/>
          <w:color w:val="000000" w:themeColor="text1"/>
        </w:rPr>
        <w:t xml:space="preserve">: </w:t>
      </w:r>
      <w:proofErr w:type="gramStart"/>
      <w:r w:rsidRPr="554E3AFB">
        <w:rPr>
          <w:rFonts w:ascii="Times New Roman" w:eastAsia="Times New Roman" w:hAnsi="Times New Roman" w:cs="Times New Roman"/>
          <w:color w:val="000000" w:themeColor="text1"/>
        </w:rPr>
        <w:t>Alphabet</w:t>
      </w:r>
      <w:proofErr w:type="gramEnd"/>
      <w:r w:rsidRPr="554E3AFB">
        <w:rPr>
          <w:rFonts w:ascii="Times New Roman" w:eastAsia="Times New Roman" w:hAnsi="Times New Roman" w:cs="Times New Roman"/>
          <w:color w:val="000000" w:themeColor="text1"/>
        </w:rPr>
        <w:t xml:space="preserve"> is well-positioned for long-term growth. Analysts predict that the company will continue to expand, with estimated revenue growth rates of 10-15% annually over the next five years. Google’s advertising dominance, expanding cloud market share, and AI leadership position the company for long-term success.</w:t>
      </w:r>
    </w:p>
    <w:p w14:paraId="3CF73E32" w14:textId="29992D60" w:rsidR="00F54BD6" w:rsidRDefault="5D2DE872" w:rsidP="554E3AFB">
      <w:pPr>
        <w:pStyle w:val="Heading4"/>
        <w:spacing w:before="240"/>
      </w:pPr>
      <w:r w:rsidRPr="554E3AFB">
        <w:rPr>
          <w:rFonts w:ascii="Times New Roman" w:eastAsia="Times New Roman" w:hAnsi="Times New Roman" w:cs="Times New Roman"/>
          <w:b/>
          <w:bCs/>
          <w:i w:val="0"/>
          <w:iCs w:val="0"/>
          <w:color w:val="000000" w:themeColor="text1"/>
        </w:rPr>
        <w:t>Reason 7) Industry Expert Recommendations</w:t>
      </w:r>
    </w:p>
    <w:p w14:paraId="5522F981" w14:textId="1035B05F" w:rsidR="00F54BD6" w:rsidRDefault="5D2DE872" w:rsidP="00FB7BFB">
      <w:pPr>
        <w:pStyle w:val="ListParagraph"/>
        <w:numPr>
          <w:ilvl w:val="0"/>
          <w:numId w:val="17"/>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Analyst Consensus</w:t>
      </w:r>
      <w:r w:rsidRPr="554E3AFB">
        <w:rPr>
          <w:rFonts w:ascii="Times New Roman" w:eastAsia="Times New Roman" w:hAnsi="Times New Roman" w:cs="Times New Roman"/>
          <w:color w:val="000000" w:themeColor="text1"/>
        </w:rPr>
        <w:t>: Alphabet consistently earns "buy" recommendations from over 70% of analysts covering the stock. Many analysts praise Alphabet for its competitive advantage in digital advertising, high operating margins, and leadership in cutting-edge sectors like AI and cloud computing.</w:t>
      </w:r>
    </w:p>
    <w:p w14:paraId="5C37E2F0" w14:textId="36E9318F" w:rsidR="00F54BD6" w:rsidRDefault="5D2DE872" w:rsidP="00FB7BFB">
      <w:pPr>
        <w:pStyle w:val="ListParagraph"/>
        <w:numPr>
          <w:ilvl w:val="0"/>
          <w:numId w:val="17"/>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Expert Opinion</w:t>
      </w:r>
      <w:r w:rsidRPr="554E3AFB">
        <w:rPr>
          <w:rFonts w:ascii="Times New Roman" w:eastAsia="Times New Roman" w:hAnsi="Times New Roman" w:cs="Times New Roman"/>
          <w:color w:val="000000" w:themeColor="text1"/>
        </w:rPr>
        <w:t xml:space="preserve">: Experts emphasize that </w:t>
      </w:r>
      <w:proofErr w:type="gramStart"/>
      <w:r w:rsidRPr="554E3AFB">
        <w:rPr>
          <w:rFonts w:ascii="Times New Roman" w:eastAsia="Times New Roman" w:hAnsi="Times New Roman" w:cs="Times New Roman"/>
          <w:color w:val="000000" w:themeColor="text1"/>
        </w:rPr>
        <w:t>Alphabet</w:t>
      </w:r>
      <w:proofErr w:type="gramEnd"/>
      <w:r w:rsidRPr="554E3AFB">
        <w:rPr>
          <w:rFonts w:ascii="Times New Roman" w:eastAsia="Times New Roman" w:hAnsi="Times New Roman" w:cs="Times New Roman"/>
          <w:color w:val="000000" w:themeColor="text1"/>
        </w:rPr>
        <w:t xml:space="preserve"> is one of the most dominant and diversified technology companies globally. Its ability to maintain a stronghold in search while expanding into high-growth markets gives it a durable competitive edge. Experts also highlight the potential for </w:t>
      </w:r>
      <w:proofErr w:type="gramStart"/>
      <w:r w:rsidRPr="554E3AFB">
        <w:rPr>
          <w:rFonts w:ascii="Times New Roman" w:eastAsia="Times New Roman" w:hAnsi="Times New Roman" w:cs="Times New Roman"/>
          <w:color w:val="000000" w:themeColor="text1"/>
        </w:rPr>
        <w:t>Alphabet</w:t>
      </w:r>
      <w:proofErr w:type="gramEnd"/>
      <w:r w:rsidRPr="554E3AFB">
        <w:rPr>
          <w:rFonts w:ascii="Times New Roman" w:eastAsia="Times New Roman" w:hAnsi="Times New Roman" w:cs="Times New Roman"/>
          <w:color w:val="000000" w:themeColor="text1"/>
        </w:rPr>
        <w:t xml:space="preserve"> to continue scaling as digital transformation accelerates globally.</w:t>
      </w:r>
    </w:p>
    <w:p w14:paraId="30A35591" w14:textId="62FC97FC" w:rsidR="00F54BD6" w:rsidRDefault="5D2DE872" w:rsidP="554E3AFB">
      <w:pPr>
        <w:pStyle w:val="Heading4"/>
        <w:spacing w:before="240"/>
      </w:pPr>
      <w:r w:rsidRPr="554E3AFB">
        <w:rPr>
          <w:rFonts w:ascii="Times New Roman" w:eastAsia="Times New Roman" w:hAnsi="Times New Roman" w:cs="Times New Roman"/>
          <w:b/>
          <w:bCs/>
          <w:i w:val="0"/>
          <w:iCs w:val="0"/>
          <w:color w:val="000000" w:themeColor="text1"/>
        </w:rPr>
        <w:t>Reason 8) Projected Future Long-Term Growth in the Country’s Economy (Macro Factors)</w:t>
      </w:r>
    </w:p>
    <w:p w14:paraId="2D1150C2" w14:textId="7DEA9328" w:rsidR="00F54BD6" w:rsidRDefault="5D2DE872" w:rsidP="00FB7BFB">
      <w:pPr>
        <w:pStyle w:val="ListParagraph"/>
        <w:numPr>
          <w:ilvl w:val="0"/>
          <w:numId w:val="16"/>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Macroeconomic Tailwinds</w:t>
      </w:r>
      <w:r w:rsidRPr="554E3AFB">
        <w:rPr>
          <w:rFonts w:ascii="Times New Roman" w:eastAsia="Times New Roman" w:hAnsi="Times New Roman" w:cs="Times New Roman"/>
          <w:color w:val="000000" w:themeColor="text1"/>
        </w:rPr>
        <w:t xml:space="preserve">: The global shift toward digitalization, increased adoption of AI, and greater reliance on cloud services provide Alphabet with favorable </w:t>
      </w:r>
      <w:r w:rsidRPr="554E3AFB">
        <w:rPr>
          <w:rFonts w:ascii="Times New Roman" w:eastAsia="Times New Roman" w:hAnsi="Times New Roman" w:cs="Times New Roman"/>
          <w:color w:val="000000" w:themeColor="text1"/>
        </w:rPr>
        <w:lastRenderedPageBreak/>
        <w:t xml:space="preserve">macroeconomic conditions. As businesses continue to integrate AI, cloud infrastructure, and automated systems into their operations, </w:t>
      </w:r>
      <w:proofErr w:type="gramStart"/>
      <w:r w:rsidRPr="554E3AFB">
        <w:rPr>
          <w:rFonts w:ascii="Times New Roman" w:eastAsia="Times New Roman" w:hAnsi="Times New Roman" w:cs="Times New Roman"/>
          <w:color w:val="000000" w:themeColor="text1"/>
        </w:rPr>
        <w:t>Alphabet</w:t>
      </w:r>
      <w:proofErr w:type="gramEnd"/>
      <w:r w:rsidRPr="554E3AFB">
        <w:rPr>
          <w:rFonts w:ascii="Times New Roman" w:eastAsia="Times New Roman" w:hAnsi="Times New Roman" w:cs="Times New Roman"/>
          <w:color w:val="000000" w:themeColor="text1"/>
        </w:rPr>
        <w:t xml:space="preserve"> stands to benefit from these trends.</w:t>
      </w:r>
    </w:p>
    <w:p w14:paraId="58B5DE30" w14:textId="709B66B0" w:rsidR="00F54BD6" w:rsidRDefault="5D2DE872" w:rsidP="00FB7BFB">
      <w:pPr>
        <w:pStyle w:val="ListParagraph"/>
        <w:numPr>
          <w:ilvl w:val="0"/>
          <w:numId w:val="16"/>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b/>
          <w:bCs/>
          <w:color w:val="000000" w:themeColor="text1"/>
        </w:rPr>
        <w:t>Global Digital Expansion</w:t>
      </w:r>
      <w:r w:rsidRPr="554E3AFB">
        <w:rPr>
          <w:rFonts w:ascii="Times New Roman" w:eastAsia="Times New Roman" w:hAnsi="Times New Roman" w:cs="Times New Roman"/>
          <w:color w:val="000000" w:themeColor="text1"/>
        </w:rPr>
        <w:t>: As emerging markets continue to develop and internet penetration grows, Alphabet's search and advertising services will see increased demand, further fueling revenue growth. The company’s strong presence in global markets positions it to capitalize on macroeconomic trends and achieve long-term growth</w:t>
      </w:r>
    </w:p>
    <w:p w14:paraId="06AD583B" w14:textId="1B4A60DB" w:rsidR="00F54BD6" w:rsidRDefault="00F54BD6" w:rsidP="00F54BD6"/>
    <w:p w14:paraId="3F9BF5BE" w14:textId="6AE83A48" w:rsidR="00F54BD6" w:rsidRDefault="5D2DE872" w:rsidP="554E3AFB">
      <w:pPr>
        <w:spacing w:after="0"/>
      </w:pPr>
      <w:r w:rsidRPr="554E3AFB">
        <w:rPr>
          <w:rFonts w:ascii="Times New Roman" w:eastAsia="Times New Roman" w:hAnsi="Times New Roman" w:cs="Times New Roman"/>
          <w:color w:val="000000" w:themeColor="text1"/>
        </w:rPr>
        <w:t xml:space="preserve">      </w:t>
      </w:r>
      <w:r w:rsidRPr="554E3AFB">
        <w:rPr>
          <w:rFonts w:ascii="Times New Roman" w:eastAsia="Times New Roman" w:hAnsi="Times New Roman" w:cs="Times New Roman"/>
          <w:b/>
          <w:bCs/>
          <w:color w:val="000000" w:themeColor="text1"/>
        </w:rPr>
        <w:t xml:space="preserve"> c)  Amount Invested and Why </w:t>
      </w:r>
    </w:p>
    <w:p w14:paraId="6968DB0F" w14:textId="37093169" w:rsidR="00F54BD6" w:rsidRDefault="00F54BD6" w:rsidP="554E3AFB">
      <w:pPr>
        <w:shd w:val="clear" w:color="auto" w:fill="FFFFFF" w:themeFill="background1"/>
        <w:ind w:left="360"/>
        <w:jc w:val="center"/>
      </w:pPr>
    </w:p>
    <w:tbl>
      <w:tblPr>
        <w:tblW w:w="0" w:type="auto"/>
        <w:tblLayout w:type="fixed"/>
        <w:tblLook w:val="06A0" w:firstRow="1" w:lastRow="0" w:firstColumn="1" w:lastColumn="0" w:noHBand="1" w:noVBand="1"/>
      </w:tblPr>
      <w:tblGrid>
        <w:gridCol w:w="1625"/>
        <w:gridCol w:w="1625"/>
        <w:gridCol w:w="1625"/>
        <w:gridCol w:w="1625"/>
        <w:gridCol w:w="1625"/>
      </w:tblGrid>
      <w:tr w:rsidR="554E3AFB" w14:paraId="3CDE9271" w14:textId="77777777" w:rsidTr="554E3AFB">
        <w:trPr>
          <w:trHeight w:val="480"/>
        </w:trPr>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8F719" w14:textId="7E1E7B61" w:rsidR="554E3AFB" w:rsidRDefault="554E3AFB" w:rsidP="554E3AFB">
            <w:pPr>
              <w:shd w:val="clear" w:color="auto" w:fill="FFFFFF" w:themeFill="background1"/>
              <w:spacing w:after="0"/>
              <w:jc w:val="center"/>
            </w:pPr>
            <w:r w:rsidRPr="554E3AFB">
              <w:rPr>
                <w:rFonts w:ascii="Times New Roman" w:eastAsia="Times New Roman" w:hAnsi="Times New Roman" w:cs="Times New Roman"/>
                <w:color w:val="000000" w:themeColor="text1"/>
              </w:rPr>
              <w:t xml:space="preserve">Symbol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29F307" w14:textId="2CAA0A75" w:rsidR="554E3AFB" w:rsidRDefault="554E3AFB" w:rsidP="554E3AFB">
            <w:pPr>
              <w:shd w:val="clear" w:color="auto" w:fill="FFFFFF" w:themeFill="background1"/>
              <w:spacing w:after="0"/>
              <w:jc w:val="center"/>
            </w:pPr>
            <w:r w:rsidRPr="554E3AFB">
              <w:rPr>
                <w:rFonts w:ascii="Times New Roman" w:eastAsia="Times New Roman" w:hAnsi="Times New Roman" w:cs="Times New Roman"/>
                <w:color w:val="000000" w:themeColor="text1"/>
              </w:rPr>
              <w:t xml:space="preserve">Description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CC986" w14:textId="423CF660" w:rsidR="554E3AFB" w:rsidRDefault="554E3AFB" w:rsidP="554E3AFB">
            <w:pPr>
              <w:shd w:val="clear" w:color="auto" w:fill="FFFFFF" w:themeFill="background1"/>
              <w:spacing w:after="0"/>
              <w:jc w:val="center"/>
            </w:pPr>
            <w:r w:rsidRPr="554E3AFB">
              <w:rPr>
                <w:rFonts w:ascii="Times New Roman" w:eastAsia="Times New Roman" w:hAnsi="Times New Roman" w:cs="Times New Roman"/>
                <w:color w:val="000000" w:themeColor="text1"/>
              </w:rPr>
              <w:t xml:space="preserve">Transaction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F2AA4" w14:textId="40B183AB" w:rsidR="554E3AFB" w:rsidRDefault="554E3AFB" w:rsidP="554E3AFB">
            <w:pPr>
              <w:shd w:val="clear" w:color="auto" w:fill="FFFFFF" w:themeFill="background1"/>
              <w:spacing w:after="0"/>
              <w:jc w:val="center"/>
            </w:pPr>
            <w:r w:rsidRPr="554E3AFB">
              <w:rPr>
                <w:rFonts w:ascii="Times New Roman" w:eastAsia="Times New Roman" w:hAnsi="Times New Roman" w:cs="Times New Roman"/>
                <w:color w:val="000000" w:themeColor="text1"/>
              </w:rPr>
              <w:t xml:space="preserve">Quantity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05396" w14:textId="2F194E2A" w:rsidR="554E3AFB" w:rsidRDefault="554E3AFB" w:rsidP="554E3AFB">
            <w:pPr>
              <w:shd w:val="clear" w:color="auto" w:fill="FFFFFF" w:themeFill="background1"/>
              <w:spacing w:after="0"/>
              <w:jc w:val="center"/>
            </w:pPr>
            <w:r w:rsidRPr="554E3AFB">
              <w:rPr>
                <w:rFonts w:ascii="Times New Roman" w:eastAsia="Times New Roman" w:hAnsi="Times New Roman" w:cs="Times New Roman"/>
                <w:color w:val="000000" w:themeColor="text1"/>
              </w:rPr>
              <w:t xml:space="preserve">Current Price </w:t>
            </w:r>
          </w:p>
        </w:tc>
      </w:tr>
      <w:tr w:rsidR="554E3AFB" w14:paraId="3CBB1610" w14:textId="77777777" w:rsidTr="554E3AFB">
        <w:trPr>
          <w:trHeight w:val="480"/>
        </w:trPr>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F28B6" w14:textId="73964F19" w:rsidR="5D2DE872" w:rsidRDefault="554E3AFB" w:rsidP="554E3AFB">
            <w:pPr>
              <w:shd w:val="clear" w:color="auto" w:fill="FFFFFF" w:themeFill="background1"/>
              <w:spacing w:after="0"/>
              <w:jc w:val="center"/>
            </w:pPr>
            <w:proofErr w:type="spellStart"/>
            <w:r w:rsidRPr="554E3AFB">
              <w:rPr>
                <w:rFonts w:ascii="Times New Roman" w:eastAsia="Times New Roman" w:hAnsi="Times New Roman" w:cs="Times New Roman"/>
                <w:color w:val="000000" w:themeColor="text1"/>
              </w:rPr>
              <w:t>Goog</w:t>
            </w:r>
            <w:proofErr w:type="spellEnd"/>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D11837" w14:textId="46B445E8" w:rsidR="554E3AFB" w:rsidRDefault="554E3AFB" w:rsidP="554E3AFB">
            <w:pPr>
              <w:shd w:val="clear" w:color="auto" w:fill="FFFFFF" w:themeFill="background1"/>
              <w:spacing w:after="0"/>
              <w:jc w:val="center"/>
            </w:pPr>
            <w:r w:rsidRPr="554E3AFB">
              <w:rPr>
                <w:rFonts w:ascii="Times New Roman" w:eastAsia="Times New Roman" w:hAnsi="Times New Roman" w:cs="Times New Roman"/>
                <w:color w:val="000000" w:themeColor="text1"/>
              </w:rPr>
              <w:t xml:space="preserve">Alphabet Inc.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D8A292" w14:textId="37108BC3" w:rsidR="554E3AFB" w:rsidRDefault="554E3AFB" w:rsidP="554E3AFB">
            <w:pPr>
              <w:shd w:val="clear" w:color="auto" w:fill="FFFFFF" w:themeFill="background1"/>
              <w:spacing w:after="0"/>
              <w:jc w:val="center"/>
            </w:pPr>
            <w:r w:rsidRPr="554E3AFB">
              <w:rPr>
                <w:rFonts w:ascii="Times New Roman" w:eastAsia="Times New Roman" w:hAnsi="Times New Roman" w:cs="Times New Roman"/>
                <w:color w:val="000000" w:themeColor="text1"/>
              </w:rPr>
              <w:t xml:space="preserve">Open Market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FB1FD" w14:textId="24F9B6EF" w:rsidR="554E3AFB" w:rsidRDefault="554E3AFB" w:rsidP="554E3AFB">
            <w:pPr>
              <w:shd w:val="clear" w:color="auto" w:fill="FFFFFF" w:themeFill="background1"/>
              <w:spacing w:after="0"/>
              <w:jc w:val="center"/>
            </w:pPr>
            <w:r w:rsidRPr="554E3AFB">
              <w:rPr>
                <w:rFonts w:ascii="Times New Roman" w:eastAsia="Times New Roman" w:hAnsi="Times New Roman" w:cs="Times New Roman"/>
                <w:color w:val="000000" w:themeColor="text1"/>
              </w:rPr>
              <w:t>48</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6222E" w14:textId="76461672" w:rsidR="554E3AFB" w:rsidRDefault="554E3AFB" w:rsidP="554E3AFB">
            <w:pPr>
              <w:shd w:val="clear" w:color="auto" w:fill="FFFFFF" w:themeFill="background1"/>
              <w:spacing w:after="0"/>
              <w:jc w:val="center"/>
            </w:pPr>
            <w:r w:rsidRPr="554E3AFB">
              <w:rPr>
                <w:rFonts w:ascii="Times New Roman" w:eastAsia="Times New Roman" w:hAnsi="Times New Roman" w:cs="Times New Roman"/>
                <w:color w:val="000000" w:themeColor="text1"/>
              </w:rPr>
              <w:t>174.31</w:t>
            </w:r>
          </w:p>
        </w:tc>
      </w:tr>
    </w:tbl>
    <w:p w14:paraId="0727CEE8" w14:textId="2B6F1211" w:rsidR="00F54BD6" w:rsidRDefault="5D2DE872" w:rsidP="554E3AFB">
      <w:pPr>
        <w:shd w:val="clear" w:color="auto" w:fill="FFFFFF" w:themeFill="background1"/>
        <w:spacing w:after="0"/>
      </w:pPr>
      <w:r w:rsidRPr="554E3AFB">
        <w:rPr>
          <w:rFonts w:ascii="Times New Roman" w:eastAsia="Times New Roman" w:hAnsi="Times New Roman" w:cs="Times New Roman"/>
          <w:color w:val="000000" w:themeColor="text1"/>
        </w:rPr>
        <w:t xml:space="preserve"> </w:t>
      </w:r>
    </w:p>
    <w:p w14:paraId="749C2402" w14:textId="08A924E4" w:rsidR="00F54BD6" w:rsidRDefault="5D2DE872" w:rsidP="554E3AFB">
      <w:pPr>
        <w:shd w:val="clear" w:color="auto" w:fill="FFFFFF" w:themeFill="background1"/>
        <w:rPr>
          <w:rFonts w:ascii="Times New Roman" w:eastAsia="Times New Roman" w:hAnsi="Times New Roman" w:cs="Times New Roman"/>
          <w:color w:val="000000" w:themeColor="text1"/>
        </w:rPr>
      </w:pPr>
      <w:r w:rsidRPr="554E3AFB">
        <w:rPr>
          <w:rFonts w:ascii="Times New Roman" w:eastAsia="Times New Roman" w:hAnsi="Times New Roman" w:cs="Times New Roman"/>
          <w:color w:val="000000" w:themeColor="text1"/>
        </w:rPr>
        <w:t>We invested $</w:t>
      </w:r>
      <w:proofErr w:type="gramStart"/>
      <w:r w:rsidRPr="554E3AFB">
        <w:rPr>
          <w:rFonts w:ascii="Times New Roman" w:eastAsia="Times New Roman" w:hAnsi="Times New Roman" w:cs="Times New Roman"/>
          <w:color w:val="000000" w:themeColor="text1"/>
        </w:rPr>
        <w:t>8,366.68</w:t>
      </w:r>
      <w:proofErr w:type="gramEnd"/>
      <w:r w:rsidRPr="554E3AFB">
        <w:rPr>
          <w:rFonts w:ascii="Times New Roman" w:eastAsia="Times New Roman" w:hAnsi="Times New Roman" w:cs="Times New Roman"/>
          <w:color w:val="000000" w:themeColor="text1"/>
        </w:rPr>
        <w:t xml:space="preserve"> into 48 of Google Stocks because of the 8 previously stated reasons. We evenly distributed 8.36% to each of our funds towards 5 out of the 6 stocks we have chosen as we are confident in the diverseness in our portfolio and see them as all attractive investments. </w:t>
      </w:r>
    </w:p>
    <w:p w14:paraId="03D8D6E8" w14:textId="6B9E1A13" w:rsidR="00F54BD6" w:rsidRPr="008543B1" w:rsidRDefault="5D2DE872" w:rsidP="008543B1">
      <w:pPr>
        <w:rPr>
          <w:rFonts w:ascii="Times New Roman" w:eastAsia="Times New Roman" w:hAnsi="Times New Roman" w:cs="Times New Roman"/>
          <w:b/>
          <w:bCs/>
          <w:color w:val="000000" w:themeColor="text1"/>
        </w:rPr>
      </w:pPr>
      <w:r w:rsidRPr="554E3AFB">
        <w:t xml:space="preserve"> </w:t>
      </w:r>
      <w:r w:rsidRPr="554E3AFB">
        <w:rPr>
          <w:b/>
          <w:bCs/>
        </w:rPr>
        <w:t xml:space="preserve">   d) Calculation of Expected Return </w:t>
      </w:r>
      <w:r w:rsidRPr="554E3AFB">
        <w:rPr>
          <w:rFonts w:ascii="Times New Roman" w:eastAsia="Times New Roman" w:hAnsi="Times New Roman" w:cs="Times New Roman"/>
          <w:color w:val="000000" w:themeColor="text1"/>
        </w:rPr>
        <w:t xml:space="preserve"> </w:t>
      </w:r>
    </w:p>
    <w:p w14:paraId="01F4E50A" w14:textId="59EB0CC8" w:rsidR="00F54BD6" w:rsidRDefault="5D2DE872" w:rsidP="554E3AFB">
      <w:pPr>
        <w:shd w:val="clear" w:color="auto" w:fill="FFFFFF" w:themeFill="background1"/>
        <w:spacing w:after="0"/>
      </w:pPr>
      <w:r w:rsidRPr="554E3AFB">
        <w:rPr>
          <w:rFonts w:ascii="Times New Roman" w:eastAsia="Times New Roman" w:hAnsi="Times New Roman" w:cs="Times New Roman"/>
          <w:color w:val="000000" w:themeColor="text1"/>
        </w:rPr>
        <w:t xml:space="preserve">For </w:t>
      </w:r>
      <w:proofErr w:type="gramStart"/>
      <w:r w:rsidRPr="554E3AFB">
        <w:rPr>
          <w:rFonts w:ascii="Times New Roman" w:eastAsia="Times New Roman" w:hAnsi="Times New Roman" w:cs="Times New Roman"/>
          <w:color w:val="000000" w:themeColor="text1"/>
        </w:rPr>
        <w:t>the Google</w:t>
      </w:r>
      <w:proofErr w:type="gramEnd"/>
      <w:r w:rsidR="00831CCE">
        <w:rPr>
          <w:rFonts w:ascii="Times New Roman" w:eastAsia="Times New Roman" w:hAnsi="Times New Roman" w:cs="Times New Roman"/>
          <w:color w:val="000000" w:themeColor="text1"/>
        </w:rPr>
        <w:t xml:space="preserve"> Stock</w:t>
      </w:r>
      <w:r w:rsidRPr="554E3AFB">
        <w:rPr>
          <w:rFonts w:ascii="Times New Roman" w:eastAsia="Times New Roman" w:hAnsi="Times New Roman" w:cs="Times New Roman"/>
          <w:color w:val="000000" w:themeColor="text1"/>
        </w:rPr>
        <w:t xml:space="preserve">: </w:t>
      </w:r>
    </w:p>
    <w:p w14:paraId="074E835D" w14:textId="087A80B4" w:rsidR="00F54BD6" w:rsidRDefault="5D2DE872" w:rsidP="554E3AFB">
      <w:pPr>
        <w:shd w:val="clear" w:color="auto" w:fill="FFFFFF" w:themeFill="background1"/>
        <w:spacing w:after="0"/>
      </w:pPr>
      <w:r w:rsidRPr="554E3AFB">
        <w:rPr>
          <w:rFonts w:ascii="Times New Roman" w:eastAsia="Times New Roman" w:hAnsi="Times New Roman" w:cs="Times New Roman"/>
          <w:color w:val="000000" w:themeColor="text1"/>
        </w:rPr>
        <w:t xml:space="preserve">Expected Rate of Return = Rf + B*[E(Rm)-Rf) </w:t>
      </w:r>
    </w:p>
    <w:p w14:paraId="48A1B3A9" w14:textId="168EFFB3" w:rsidR="00F54BD6" w:rsidRDefault="5D2DE872" w:rsidP="554E3AFB">
      <w:pPr>
        <w:shd w:val="clear" w:color="auto" w:fill="FFFFFF" w:themeFill="background1"/>
        <w:spacing w:after="0"/>
      </w:pPr>
      <w:r w:rsidRPr="554E3AFB">
        <w:rPr>
          <w:rFonts w:ascii="Times New Roman" w:eastAsia="Times New Roman" w:hAnsi="Times New Roman" w:cs="Times New Roman"/>
          <w:color w:val="000000" w:themeColor="text1"/>
        </w:rPr>
        <w:t xml:space="preserve"> </w:t>
      </w:r>
    </w:p>
    <w:p w14:paraId="33BF5AA3" w14:textId="11CC0785" w:rsidR="00F54BD6" w:rsidRDefault="5D2DE872" w:rsidP="554E3AFB">
      <w:pPr>
        <w:shd w:val="clear" w:color="auto" w:fill="FFFFFF" w:themeFill="background1"/>
      </w:pPr>
      <w:r w:rsidRPr="554E3AFB">
        <w:rPr>
          <w:rFonts w:ascii="Times New Roman" w:eastAsia="Times New Roman" w:hAnsi="Times New Roman" w:cs="Times New Roman"/>
          <w:color w:val="000000" w:themeColor="text1"/>
        </w:rPr>
        <w:t xml:space="preserve">Where: </w:t>
      </w:r>
    </w:p>
    <w:p w14:paraId="7F350539" w14:textId="555684C0" w:rsidR="00F54BD6" w:rsidRDefault="5D2DE872" w:rsidP="00FB7BFB">
      <w:pPr>
        <w:pStyle w:val="ListParagraph"/>
        <w:numPr>
          <w:ilvl w:val="0"/>
          <w:numId w:val="15"/>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color w:val="000000" w:themeColor="text1"/>
        </w:rPr>
        <w:t xml:space="preserve">Rf = Risk-Free Rate = 4.74% (US Treasury 3 Month Bill) </w:t>
      </w:r>
    </w:p>
    <w:p w14:paraId="5049171B" w14:textId="4D4EC143" w:rsidR="00F54BD6" w:rsidRDefault="5D2DE872" w:rsidP="00FB7BFB">
      <w:pPr>
        <w:pStyle w:val="ListParagraph"/>
        <w:numPr>
          <w:ilvl w:val="0"/>
          <w:numId w:val="14"/>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color w:val="000000" w:themeColor="text1"/>
        </w:rPr>
        <w:t>B = Beta = 1.03 measure of Goog</w:t>
      </w:r>
      <w:r w:rsidR="009558DE">
        <w:rPr>
          <w:rFonts w:ascii="Times New Roman" w:eastAsia="Times New Roman" w:hAnsi="Times New Roman" w:cs="Times New Roman"/>
          <w:color w:val="000000" w:themeColor="text1"/>
        </w:rPr>
        <w:t>le</w:t>
      </w:r>
      <w:r w:rsidRPr="554E3AFB">
        <w:rPr>
          <w:rFonts w:ascii="Times New Roman" w:eastAsia="Times New Roman" w:hAnsi="Times New Roman" w:cs="Times New Roman"/>
          <w:color w:val="000000" w:themeColor="text1"/>
        </w:rPr>
        <w:t xml:space="preserve">’s share price volatility </w:t>
      </w:r>
    </w:p>
    <w:p w14:paraId="5D20233B" w14:textId="59F699D4" w:rsidR="00F54BD6" w:rsidRPr="009558DE" w:rsidRDefault="5D2DE872" w:rsidP="00FB7BFB">
      <w:pPr>
        <w:pStyle w:val="ListParagraph"/>
        <w:numPr>
          <w:ilvl w:val="0"/>
          <w:numId w:val="13"/>
        </w:numPr>
        <w:spacing w:before="240" w:after="240"/>
        <w:rPr>
          <w:rFonts w:ascii="Times New Roman" w:eastAsia="Times New Roman" w:hAnsi="Times New Roman" w:cs="Times New Roman"/>
          <w:color w:val="000000" w:themeColor="text1"/>
        </w:rPr>
      </w:pPr>
      <w:r w:rsidRPr="554E3AFB">
        <w:rPr>
          <w:rFonts w:ascii="Times New Roman" w:eastAsia="Times New Roman" w:hAnsi="Times New Roman" w:cs="Times New Roman"/>
          <w:color w:val="000000" w:themeColor="text1"/>
        </w:rPr>
        <w:t xml:space="preserve">E(Rm) = Expected return on the market = our benchmark which is a 10-year average of </w:t>
      </w:r>
      <w:proofErr w:type="gramStart"/>
      <w:r w:rsidRPr="554E3AFB">
        <w:rPr>
          <w:rFonts w:ascii="Times New Roman" w:eastAsia="Times New Roman" w:hAnsi="Times New Roman" w:cs="Times New Roman"/>
          <w:color w:val="000000" w:themeColor="text1"/>
        </w:rPr>
        <w:t>the S</w:t>
      </w:r>
      <w:proofErr w:type="gramEnd"/>
      <w:r w:rsidRPr="554E3AFB">
        <w:rPr>
          <w:rFonts w:ascii="Times New Roman" w:eastAsia="Times New Roman" w:hAnsi="Times New Roman" w:cs="Times New Roman"/>
          <w:color w:val="000000" w:themeColor="text1"/>
        </w:rPr>
        <w:t xml:space="preserve">&amp;P 500 = The average rate of return for the S&amp;P 500 since 2012 is </w:t>
      </w:r>
      <w:r w:rsidR="00831CCE">
        <w:rPr>
          <w:rFonts w:ascii="Times New Roman" w:eastAsia="Times New Roman" w:hAnsi="Times New Roman" w:cs="Times New Roman"/>
          <w:color w:val="000000" w:themeColor="text1"/>
        </w:rPr>
        <w:t>13.22</w:t>
      </w:r>
      <w:r w:rsidRPr="554E3AFB">
        <w:rPr>
          <w:rFonts w:ascii="Times New Roman" w:eastAsia="Times New Roman" w:hAnsi="Times New Roman" w:cs="Times New Roman"/>
          <w:color w:val="000000" w:themeColor="text1"/>
        </w:rPr>
        <w:t xml:space="preserve">% </w:t>
      </w:r>
    </w:p>
    <w:p w14:paraId="342C915B" w14:textId="32DA2EB4" w:rsidR="00F54BD6" w:rsidRDefault="5D2DE872" w:rsidP="554E3AFB">
      <w:pPr>
        <w:shd w:val="clear" w:color="auto" w:fill="FFFFFF" w:themeFill="background1"/>
        <w:rPr>
          <w:rFonts w:ascii="Times New Roman" w:eastAsia="Times New Roman" w:hAnsi="Times New Roman" w:cs="Times New Roman"/>
          <w:color w:val="000000" w:themeColor="text1"/>
        </w:rPr>
      </w:pPr>
      <w:r w:rsidRPr="554E3AFB">
        <w:rPr>
          <w:rFonts w:ascii="Times New Roman" w:eastAsia="Times New Roman" w:hAnsi="Times New Roman" w:cs="Times New Roman"/>
          <w:color w:val="000000" w:themeColor="text1"/>
        </w:rPr>
        <w:t xml:space="preserve">Therefore: </w:t>
      </w:r>
    </w:p>
    <w:p w14:paraId="4F1BC556" w14:textId="62CEA4E4" w:rsidR="00F54BD6" w:rsidRDefault="5D2DE872" w:rsidP="554E3AFB">
      <w:pPr>
        <w:shd w:val="clear" w:color="auto" w:fill="FFFFFF" w:themeFill="background1"/>
        <w:spacing w:after="0"/>
      </w:pPr>
      <w:r w:rsidRPr="554E3AFB">
        <w:rPr>
          <w:rFonts w:ascii="Times New Roman" w:eastAsia="Times New Roman" w:hAnsi="Times New Roman" w:cs="Times New Roman"/>
          <w:color w:val="000000" w:themeColor="text1"/>
        </w:rPr>
        <w:t xml:space="preserve">Expected Rate of Return = Rf + B*[E(Rm)-Rf] </w:t>
      </w:r>
    </w:p>
    <w:p w14:paraId="5EFD6CE1" w14:textId="07BCC534" w:rsidR="00F54BD6" w:rsidRDefault="5D2DE872" w:rsidP="554E3AFB">
      <w:pPr>
        <w:shd w:val="clear" w:color="auto" w:fill="FFFFFF" w:themeFill="background1"/>
        <w:spacing w:after="0"/>
      </w:pPr>
      <w:r w:rsidRPr="554E3AFB">
        <w:rPr>
          <w:rFonts w:ascii="Times New Roman" w:eastAsia="Times New Roman" w:hAnsi="Times New Roman" w:cs="Times New Roman"/>
          <w:color w:val="000000" w:themeColor="text1"/>
        </w:rPr>
        <w:t>= 4.74% + 1.03 * [</w:t>
      </w:r>
      <w:r w:rsidR="000F0667">
        <w:rPr>
          <w:rFonts w:ascii="Times New Roman" w:eastAsia="Times New Roman" w:hAnsi="Times New Roman" w:cs="Times New Roman"/>
          <w:color w:val="000000" w:themeColor="text1"/>
        </w:rPr>
        <w:t>13.22</w:t>
      </w:r>
      <w:r w:rsidRPr="554E3AFB">
        <w:rPr>
          <w:rFonts w:ascii="Times New Roman" w:eastAsia="Times New Roman" w:hAnsi="Times New Roman" w:cs="Times New Roman"/>
          <w:color w:val="000000" w:themeColor="text1"/>
        </w:rPr>
        <w:t xml:space="preserve">%-4.74%] </w:t>
      </w:r>
    </w:p>
    <w:p w14:paraId="28F3CD27" w14:textId="63171638" w:rsidR="554E3AFB" w:rsidRDefault="5D2DE872" w:rsidP="003F38FE">
      <w:pPr>
        <w:shd w:val="clear" w:color="auto" w:fill="FFFFFF" w:themeFill="background1"/>
        <w:spacing w:after="0"/>
      </w:pPr>
      <w:r w:rsidRPr="554E3AFB">
        <w:rPr>
          <w:rFonts w:ascii="Times New Roman" w:eastAsia="Times New Roman" w:hAnsi="Times New Roman" w:cs="Times New Roman"/>
          <w:color w:val="000000" w:themeColor="text1"/>
          <w:highlight w:val="lightGray"/>
        </w:rPr>
        <w:t xml:space="preserve">= </w:t>
      </w:r>
      <w:r w:rsidR="000F0667">
        <w:rPr>
          <w:rFonts w:ascii="Times New Roman" w:eastAsia="Times New Roman" w:hAnsi="Times New Roman" w:cs="Times New Roman"/>
          <w:color w:val="000000" w:themeColor="text1"/>
          <w:highlight w:val="lightGray"/>
        </w:rPr>
        <w:t>13.47</w:t>
      </w:r>
      <w:r w:rsidRPr="554E3AFB">
        <w:rPr>
          <w:rFonts w:ascii="Times New Roman" w:eastAsia="Times New Roman" w:hAnsi="Times New Roman" w:cs="Times New Roman"/>
          <w:color w:val="000000" w:themeColor="text1"/>
          <w:highlight w:val="lightGray"/>
        </w:rPr>
        <w:t>%</w:t>
      </w:r>
      <w:r w:rsidRPr="554E3AFB">
        <w:rPr>
          <w:rFonts w:ascii="Times New Roman" w:eastAsia="Times New Roman" w:hAnsi="Times New Roman" w:cs="Times New Roman"/>
          <w:color w:val="000000" w:themeColor="text1"/>
        </w:rPr>
        <w:t xml:space="preserve"> </w:t>
      </w:r>
    </w:p>
    <w:p w14:paraId="3EAFD1F2" w14:textId="77777777" w:rsidR="003F38FE" w:rsidRDefault="003F38FE" w:rsidP="003F38FE">
      <w:pPr>
        <w:shd w:val="clear" w:color="auto" w:fill="FFFFFF" w:themeFill="background1"/>
        <w:spacing w:after="0"/>
      </w:pPr>
    </w:p>
    <w:p w14:paraId="3C0BCFC0" w14:textId="77777777" w:rsidR="003F38FE" w:rsidRDefault="003F38FE" w:rsidP="003F38FE">
      <w:pPr>
        <w:shd w:val="clear" w:color="auto" w:fill="FFFFFF" w:themeFill="background1"/>
        <w:spacing w:after="0"/>
      </w:pPr>
    </w:p>
    <w:p w14:paraId="5BA2A5A4" w14:textId="77777777" w:rsidR="000F0667" w:rsidRDefault="000F0667" w:rsidP="003F38FE">
      <w:pPr>
        <w:shd w:val="clear" w:color="auto" w:fill="FFFFFF" w:themeFill="background1"/>
        <w:spacing w:after="0"/>
      </w:pPr>
    </w:p>
    <w:p w14:paraId="29C3A563" w14:textId="77777777" w:rsidR="000F0667" w:rsidRDefault="000F0667" w:rsidP="003F38FE">
      <w:pPr>
        <w:shd w:val="clear" w:color="auto" w:fill="FFFFFF" w:themeFill="background1"/>
        <w:spacing w:after="0"/>
      </w:pPr>
    </w:p>
    <w:p w14:paraId="3AEBD46B" w14:textId="77777777" w:rsidR="000F0667" w:rsidRDefault="000F0667" w:rsidP="003F38FE">
      <w:pPr>
        <w:shd w:val="clear" w:color="auto" w:fill="FFFFFF" w:themeFill="background1"/>
        <w:spacing w:after="0"/>
      </w:pPr>
    </w:p>
    <w:p w14:paraId="19D7B2C3" w14:textId="77777777" w:rsidR="000F0667" w:rsidRPr="003F38FE" w:rsidRDefault="000F0667" w:rsidP="003F38FE">
      <w:pPr>
        <w:shd w:val="clear" w:color="auto" w:fill="FFFFFF" w:themeFill="background1"/>
        <w:spacing w:after="0"/>
      </w:pPr>
    </w:p>
    <w:p w14:paraId="3D5257A9" w14:textId="5C35425F" w:rsidR="33B2F8E6" w:rsidRPr="00E34A1B" w:rsidRDefault="00F54BD6" w:rsidP="003F38FE">
      <w:pPr>
        <w:rPr>
          <w:rFonts w:ascii="Times New Roman" w:hAnsi="Times New Roman" w:cs="Times New Roman"/>
          <w:b/>
          <w:bCs/>
          <w:sz w:val="28"/>
          <w:szCs w:val="28"/>
        </w:rPr>
      </w:pPr>
      <w:r w:rsidRPr="00E34A1B">
        <w:rPr>
          <w:rFonts w:ascii="Times New Roman" w:hAnsi="Times New Roman" w:cs="Times New Roman"/>
          <w:b/>
          <w:bCs/>
          <w:sz w:val="28"/>
          <w:szCs w:val="28"/>
        </w:rPr>
        <w:lastRenderedPageBreak/>
        <w:t>Investment 4:</w:t>
      </w:r>
      <w:r w:rsidR="00E34A1B" w:rsidRPr="00E34A1B">
        <w:rPr>
          <w:rFonts w:ascii="Times New Roman" w:hAnsi="Times New Roman" w:cs="Times New Roman"/>
          <w:b/>
          <w:bCs/>
          <w:sz w:val="28"/>
          <w:szCs w:val="28"/>
        </w:rPr>
        <w:t xml:space="preserve"> Amazon (NYSE: AMZN)</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95"/>
        <w:gridCol w:w="1095"/>
        <w:gridCol w:w="1095"/>
        <w:gridCol w:w="1095"/>
        <w:gridCol w:w="2675"/>
        <w:gridCol w:w="1095"/>
        <w:gridCol w:w="1095"/>
      </w:tblGrid>
      <w:tr w:rsidR="2F9840D0" w:rsidRPr="001129CA" w14:paraId="5E49D225" w14:textId="77777777" w:rsidTr="2F9840D0">
        <w:trPr>
          <w:trHeight w:val="300"/>
        </w:trPr>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D2C046" w14:textId="020EECCE" w:rsidR="2F9840D0" w:rsidRPr="001129CA" w:rsidRDefault="2F9840D0" w:rsidP="2F9840D0">
            <w:pPr>
              <w:spacing w:after="0"/>
              <w:rPr>
                <w:rFonts w:ascii="Times New Roman" w:hAnsi="Times New Roman" w:cs="Times New Roman"/>
              </w:rPr>
            </w:pPr>
            <w:r w:rsidRPr="001129CA">
              <w:rPr>
                <w:rFonts w:ascii="Times New Roman" w:eastAsia="Calibri" w:hAnsi="Times New Roman" w:cs="Times New Roman"/>
                <w:color w:val="000000" w:themeColor="text1"/>
              </w:rPr>
              <w:t xml:space="preserve">4. </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C5335" w14:textId="58B7DCA4" w:rsidR="2F9840D0" w:rsidRPr="001129CA" w:rsidRDefault="2F9840D0" w:rsidP="2F9840D0">
            <w:pPr>
              <w:spacing w:after="0"/>
              <w:rPr>
                <w:rFonts w:ascii="Times New Roman" w:hAnsi="Times New Roman" w:cs="Times New Roman"/>
              </w:rPr>
            </w:pPr>
            <w:r w:rsidRPr="001129CA">
              <w:rPr>
                <w:rFonts w:ascii="Times New Roman" w:eastAsia="Calibri" w:hAnsi="Times New Roman" w:cs="Times New Roman"/>
                <w:color w:val="000000" w:themeColor="text1"/>
              </w:rPr>
              <w:t>AMAZON</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838E03" w14:textId="6E52EA57" w:rsidR="2F9840D0" w:rsidRPr="001129CA" w:rsidRDefault="2F9840D0" w:rsidP="2F9840D0">
            <w:pPr>
              <w:spacing w:after="0"/>
              <w:rPr>
                <w:rFonts w:ascii="Times New Roman" w:hAnsi="Times New Roman" w:cs="Times New Roman"/>
              </w:rPr>
            </w:pPr>
            <w:r w:rsidRPr="001129CA">
              <w:rPr>
                <w:rFonts w:ascii="Times New Roman" w:eastAsia="Calibri" w:hAnsi="Times New Roman" w:cs="Times New Roman"/>
                <w:color w:val="000000" w:themeColor="text1"/>
              </w:rPr>
              <w:t xml:space="preserve">OPEN STOCK MARKET </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CE1657" w14:textId="7BB1107B" w:rsidR="2F9840D0" w:rsidRPr="001129CA" w:rsidRDefault="2F9840D0" w:rsidP="2F9840D0">
            <w:pPr>
              <w:spacing w:after="0"/>
              <w:rPr>
                <w:rFonts w:ascii="Times New Roman" w:hAnsi="Times New Roman" w:cs="Times New Roman"/>
              </w:rPr>
            </w:pPr>
            <w:r w:rsidRPr="001129CA">
              <w:rPr>
                <w:rFonts w:ascii="Times New Roman" w:eastAsia="Calibri" w:hAnsi="Times New Roman" w:cs="Times New Roman"/>
                <w:color w:val="000000" w:themeColor="text1"/>
              </w:rPr>
              <w:t>NASDAQ STOCK EXCHANGE</w:t>
            </w:r>
          </w:p>
        </w:tc>
        <w:tc>
          <w:tcPr>
            <w:tcW w:w="2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34319A" w14:textId="371C965B" w:rsidR="2F9840D0" w:rsidRPr="001129CA" w:rsidRDefault="2F9840D0" w:rsidP="2F9840D0">
            <w:pPr>
              <w:spacing w:after="0"/>
              <w:rPr>
                <w:rFonts w:ascii="Times New Roman" w:hAnsi="Times New Roman" w:cs="Times New Roman"/>
              </w:rPr>
            </w:pPr>
            <w:r w:rsidRPr="001129CA">
              <w:rPr>
                <w:rFonts w:ascii="Times New Roman" w:eastAsia="Calibri" w:hAnsi="Times New Roman" w:cs="Times New Roman"/>
              </w:rPr>
              <w:t>Seattle, Washington(headquarters),</w:t>
            </w:r>
          </w:p>
          <w:p w14:paraId="7D8E0DF0" w14:textId="4E0625E7" w:rsidR="2F9840D0" w:rsidRPr="001129CA" w:rsidRDefault="2F9840D0" w:rsidP="2F9840D0">
            <w:pPr>
              <w:spacing w:after="0"/>
              <w:rPr>
                <w:rFonts w:ascii="Times New Roman" w:hAnsi="Times New Roman" w:cs="Times New Roman"/>
              </w:rPr>
            </w:pPr>
            <w:r w:rsidRPr="001129CA">
              <w:rPr>
                <w:rFonts w:ascii="Times New Roman" w:eastAsia="Calibri" w:hAnsi="Times New Roman" w:cs="Times New Roman"/>
              </w:rPr>
              <w:t>Germany, United Kingdom, Japan, Canada, Australia, Euronext and Hong Kong Stock Exchange</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27918F" w14:textId="14741546" w:rsidR="2F9840D0" w:rsidRPr="001129CA" w:rsidRDefault="2F9840D0" w:rsidP="2F9840D0">
            <w:pPr>
              <w:spacing w:after="0"/>
              <w:rPr>
                <w:rFonts w:ascii="Times New Roman" w:hAnsi="Times New Roman" w:cs="Times New Roman"/>
              </w:rPr>
            </w:pPr>
            <w:r w:rsidRPr="001129CA">
              <w:rPr>
                <w:rFonts w:ascii="Times New Roman" w:eastAsia="Calibri" w:hAnsi="Times New Roman" w:cs="Times New Roman"/>
                <w:color w:val="000000" w:themeColor="text1"/>
              </w:rPr>
              <w:t>8315.6</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DA205F" w14:textId="5DF639B8" w:rsidR="2F9840D0" w:rsidRPr="001129CA" w:rsidRDefault="2F9840D0" w:rsidP="2F9840D0">
            <w:pPr>
              <w:spacing w:after="0"/>
              <w:rPr>
                <w:rFonts w:ascii="Times New Roman" w:hAnsi="Times New Roman" w:cs="Times New Roman"/>
              </w:rPr>
            </w:pPr>
            <w:r w:rsidRPr="001129CA">
              <w:rPr>
                <w:rFonts w:ascii="Times New Roman" w:eastAsia="Calibri" w:hAnsi="Times New Roman" w:cs="Times New Roman"/>
                <w:color w:val="000000" w:themeColor="text1"/>
              </w:rPr>
              <w:t xml:space="preserve">8.33% </w:t>
            </w:r>
          </w:p>
        </w:tc>
      </w:tr>
    </w:tbl>
    <w:p w14:paraId="59397716" w14:textId="5CB8795B" w:rsidR="33B2F8E6" w:rsidRPr="001129CA" w:rsidRDefault="00201D39" w:rsidP="00FB7BFB">
      <w:pPr>
        <w:pStyle w:val="ListParagraph"/>
        <w:numPr>
          <w:ilvl w:val="0"/>
          <w:numId w:val="61"/>
        </w:numPr>
        <w:spacing w:line="276" w:lineRule="auto"/>
        <w:rPr>
          <w:rFonts w:ascii="Times New Roman" w:hAnsi="Times New Roman" w:cs="Times New Roman"/>
        </w:rPr>
      </w:pPr>
      <w:r w:rsidRPr="001129CA">
        <w:rPr>
          <w:rFonts w:ascii="Times New Roman" w:eastAsia="Times New Roman" w:hAnsi="Times New Roman" w:cs="Times New Roman"/>
        </w:rPr>
        <w:t>Background of company</w:t>
      </w:r>
      <w:r w:rsidR="33B2F8E6" w:rsidRPr="001129CA">
        <w:rPr>
          <w:rFonts w:ascii="Times New Roman" w:eastAsia="Times New Roman" w:hAnsi="Times New Roman" w:cs="Times New Roman"/>
        </w:rPr>
        <w:t xml:space="preserve"> </w:t>
      </w:r>
    </w:p>
    <w:p w14:paraId="66263FF6" w14:textId="04E4D2F8" w:rsidR="33B2F8E6" w:rsidRPr="00617FF5" w:rsidRDefault="33B2F8E6" w:rsidP="2F9840D0">
      <w:pPr>
        <w:spacing w:line="276" w:lineRule="auto"/>
        <w:rPr>
          <w:rFonts w:ascii="Times New Roman" w:hAnsi="Times New Roman" w:cs="Times New Roman"/>
        </w:rPr>
      </w:pPr>
      <w:r w:rsidRPr="00617FF5">
        <w:rPr>
          <w:rFonts w:ascii="Times New Roman" w:eastAsia="Times New Roman" w:hAnsi="Times New Roman" w:cs="Times New Roman"/>
        </w:rPr>
        <w:t xml:space="preserve">Amazon is an open stock market in which we decided to invest 8.33% of 100000. </w:t>
      </w:r>
      <w:r w:rsidRPr="00617FF5">
        <w:rPr>
          <w:rFonts w:ascii="Times New Roman" w:eastAsia="Calibri" w:hAnsi="Times New Roman" w:cs="Times New Roman"/>
        </w:rPr>
        <w:t xml:space="preserve">Jeff Bezos created Amazon.com, Inc. in 1994. Its headquarters is in Seattle, Washington, The Company is a world leader in digital streaming, cloud computing, e-commerce, and artificial intelligence. It began as an online bookseller before diversifying into a wide range of goods and </w:t>
      </w:r>
      <w:r w:rsidR="001129CA" w:rsidRPr="00617FF5">
        <w:rPr>
          <w:rFonts w:ascii="Times New Roman" w:eastAsia="Calibri" w:hAnsi="Times New Roman" w:cs="Times New Roman"/>
        </w:rPr>
        <w:t>services, through</w:t>
      </w:r>
      <w:r w:rsidRPr="00617FF5">
        <w:rPr>
          <w:rFonts w:ascii="Times New Roman" w:eastAsia="Calibri" w:hAnsi="Times New Roman" w:cs="Times New Roman"/>
        </w:rPr>
        <w:t xml:space="preserve"> its marketplace, Amazon Prime, and Amazon Web Services (AWS). The corporation works in several industries, including robotics, advertising, and logistics, and sells goods, including Fire TV, Kindle e-readers, and Echo gadgets. Amazon is a multinational company that serves millions of customers in 200 countries. It is always with projects like drone delivery and </w:t>
      </w:r>
      <w:proofErr w:type="spellStart"/>
      <w:r w:rsidRPr="00617FF5">
        <w:rPr>
          <w:rFonts w:ascii="Times New Roman" w:eastAsia="Calibri" w:hAnsi="Times New Roman" w:cs="Times New Roman"/>
        </w:rPr>
        <w:t>cashierless</w:t>
      </w:r>
      <w:proofErr w:type="spellEnd"/>
      <w:r w:rsidRPr="00617FF5">
        <w:rPr>
          <w:rFonts w:ascii="Times New Roman" w:eastAsia="Calibri" w:hAnsi="Times New Roman" w:cs="Times New Roman"/>
        </w:rPr>
        <w:t xml:space="preserve"> stores (Amazon Go). I invested in Amazon to profit from its strong market position, ongoing innovation, and a broad range of revenue sources.</w:t>
      </w:r>
      <w:r w:rsidRPr="00617FF5">
        <w:rPr>
          <w:rFonts w:ascii="Times New Roman" w:eastAsia="Times New Roman" w:hAnsi="Times New Roman" w:cs="Times New Roman"/>
        </w:rPr>
        <w:t xml:space="preserve"> I prefer these stocks because of the advantage of </w:t>
      </w:r>
      <w:proofErr w:type="gramStart"/>
      <w:r w:rsidRPr="00617FF5">
        <w:rPr>
          <w:rFonts w:ascii="Times New Roman" w:eastAsia="Times New Roman" w:hAnsi="Times New Roman" w:cs="Times New Roman"/>
        </w:rPr>
        <w:t>its</w:t>
      </w:r>
      <w:proofErr w:type="gramEnd"/>
      <w:r w:rsidRPr="00617FF5">
        <w:rPr>
          <w:rFonts w:ascii="Times New Roman" w:eastAsia="Times New Roman" w:hAnsi="Times New Roman" w:cs="Times New Roman"/>
        </w:rPr>
        <w:t xml:space="preserve"> potential for expansion, its flexibility in entering new markets, and its leadership in sectors like e-commerce and cloud computing. The business is a desirable investment due to its steady financial performance, acquisitions, and technological developments. Amazon faces labor issues, competition, and regulatory scrutiny despite its success, but its dedication to growth and leadership in important industries </w:t>
      </w:r>
      <w:proofErr w:type="gramStart"/>
      <w:r w:rsidRPr="00617FF5">
        <w:rPr>
          <w:rFonts w:ascii="Times New Roman" w:eastAsia="Times New Roman" w:hAnsi="Times New Roman" w:cs="Times New Roman"/>
        </w:rPr>
        <w:t>give</w:t>
      </w:r>
      <w:proofErr w:type="gramEnd"/>
      <w:r w:rsidRPr="00617FF5">
        <w:rPr>
          <w:rFonts w:ascii="Times New Roman" w:eastAsia="Times New Roman" w:hAnsi="Times New Roman" w:cs="Times New Roman"/>
        </w:rPr>
        <w:t xml:space="preserve"> investors hope for the company's long-term future.</w:t>
      </w:r>
    </w:p>
    <w:p w14:paraId="7498D4EB" w14:textId="7BB85B2F" w:rsidR="33B2F8E6" w:rsidRPr="001129CA" w:rsidRDefault="33B2F8E6" w:rsidP="00FB7BFB">
      <w:pPr>
        <w:pStyle w:val="ListParagraph"/>
        <w:numPr>
          <w:ilvl w:val="0"/>
          <w:numId w:val="59"/>
        </w:numPr>
        <w:spacing w:after="0" w:line="276" w:lineRule="auto"/>
        <w:rPr>
          <w:rFonts w:ascii="Times New Roman" w:eastAsia="Aptos" w:hAnsi="Times New Roman" w:cs="Times New Roman"/>
          <w:color w:val="000000" w:themeColor="text1"/>
        </w:rPr>
      </w:pPr>
      <w:r w:rsidRPr="001129CA">
        <w:rPr>
          <w:rFonts w:ascii="Times New Roman" w:eastAsia="Aptos" w:hAnsi="Times New Roman" w:cs="Times New Roman"/>
          <w:color w:val="000000" w:themeColor="text1"/>
        </w:rPr>
        <w:t xml:space="preserve">Fundamental Analysis: </w:t>
      </w:r>
      <w:r w:rsidRPr="001129CA">
        <w:rPr>
          <w:rFonts w:ascii="Times New Roman" w:eastAsia="Aptos" w:hAnsi="Times New Roman" w:cs="Times New Roman"/>
          <w:i/>
          <w:iCs/>
          <w:color w:val="000000" w:themeColor="text1"/>
        </w:rPr>
        <w:t>Reasons why we chose to invest in this security</w:t>
      </w:r>
      <w:r w:rsidRPr="001129CA">
        <w:rPr>
          <w:rFonts w:ascii="Times New Roman" w:eastAsia="Aptos" w:hAnsi="Times New Roman" w:cs="Times New Roman"/>
          <w:color w:val="000000" w:themeColor="text1"/>
        </w:rPr>
        <w:t xml:space="preserve"> </w:t>
      </w:r>
    </w:p>
    <w:p w14:paraId="70BD3DA7" w14:textId="7DBE8C30" w:rsidR="33B2F8E6" w:rsidRPr="001129CA" w:rsidRDefault="33B2F8E6" w:rsidP="001129CA">
      <w:pPr>
        <w:spacing w:before="240" w:after="240"/>
        <w:ind w:firstLine="360"/>
        <w:rPr>
          <w:rFonts w:ascii="Times New Roman" w:eastAsia="Times New Roman" w:hAnsi="Times New Roman" w:cs="Times New Roman"/>
          <w:color w:val="000000" w:themeColor="text1"/>
        </w:rPr>
      </w:pPr>
      <w:r w:rsidRPr="001129CA">
        <w:rPr>
          <w:rFonts w:ascii="Times New Roman" w:eastAsia="Times New Roman" w:hAnsi="Times New Roman" w:cs="Times New Roman"/>
          <w:color w:val="000000" w:themeColor="text1"/>
        </w:rPr>
        <w:t xml:space="preserve">Reason 1: Valuation Assessment: Reasonable Price-to-Earnings (P/E) Ratio </w:t>
      </w:r>
    </w:p>
    <w:p w14:paraId="3C640362" w14:textId="33D78D2F" w:rsidR="33B2F8E6" w:rsidRPr="00617FF5" w:rsidRDefault="33B2F8E6" w:rsidP="2F9840D0">
      <w:pPr>
        <w:spacing w:line="276" w:lineRule="auto"/>
        <w:rPr>
          <w:rFonts w:ascii="Times New Roman" w:hAnsi="Times New Roman" w:cs="Times New Roman"/>
        </w:rPr>
      </w:pPr>
      <w:r w:rsidRPr="00617FF5">
        <w:rPr>
          <w:rFonts w:ascii="Times New Roman" w:eastAsia="Times New Roman" w:hAnsi="Times New Roman" w:cs="Times New Roman"/>
        </w:rPr>
        <w:t xml:space="preserve">With a P/E ratio of about 60.42 now, Amazon (AMZN) reflects the premium that investors are ready to pay for its earnings. In the tech and e-commerce industries, where robust growth potential is frequently considered when determining values, this is usual yet comparatively high when compared to the whole market. Because of its successful Amazon Web Services (AWS) division, its leading position in e-commerce, and its ongoing innovation in fields like cloud computing and digital advertising, Amazon has continuously traded at a premium. </w:t>
      </w:r>
      <w:r w:rsidRPr="00617FF5">
        <w:rPr>
          <w:rFonts w:ascii="Times New Roman" w:hAnsi="Times New Roman" w:cs="Times New Roman"/>
        </w:rPr>
        <w:br/>
      </w:r>
      <w:r w:rsidRPr="00617FF5">
        <w:rPr>
          <w:rFonts w:ascii="Times New Roman" w:eastAsia="Times New Roman" w:hAnsi="Times New Roman" w:cs="Times New Roman"/>
        </w:rPr>
        <w:t xml:space="preserve">Amazon's value may also reflect possible volatility, even though its high P/E indicates great growth prospects. The company appeals to investors looking for long-term gains because of its capacity to grow in important sectors like advertising and AWS. But since the stock is valued for appreciation, </w:t>
      </w:r>
      <w:proofErr w:type="gramStart"/>
      <w:r w:rsidRPr="00617FF5">
        <w:rPr>
          <w:rFonts w:ascii="Times New Roman" w:eastAsia="Times New Roman" w:hAnsi="Times New Roman" w:cs="Times New Roman"/>
        </w:rPr>
        <w:t>those Amazon</w:t>
      </w:r>
      <w:proofErr w:type="gramEnd"/>
      <w:r w:rsidRPr="00617FF5">
        <w:rPr>
          <w:rFonts w:ascii="Times New Roman" w:eastAsia="Times New Roman" w:hAnsi="Times New Roman" w:cs="Times New Roman"/>
        </w:rPr>
        <w:t xml:space="preserve"> keeps reinvesting in its business, so investors should be ready for </w:t>
      </w:r>
      <w:r w:rsidRPr="00617FF5">
        <w:rPr>
          <w:rFonts w:ascii="Times New Roman" w:eastAsia="Times New Roman" w:hAnsi="Times New Roman" w:cs="Times New Roman"/>
        </w:rPr>
        <w:lastRenderedPageBreak/>
        <w:t>changes. Despite this, Amazon is a strong investment for people looking to expand in the future due to its market dominance and growth prospects.</w:t>
      </w:r>
    </w:p>
    <w:p w14:paraId="4B17A9DE" w14:textId="1DE6EE82" w:rsidR="2F9840D0" w:rsidRPr="00617FF5" w:rsidRDefault="2F9840D0" w:rsidP="2F9840D0">
      <w:pPr>
        <w:spacing w:line="276" w:lineRule="auto"/>
        <w:rPr>
          <w:rFonts w:ascii="Times New Roman" w:hAnsi="Times New Roman" w:cs="Times New Roman"/>
        </w:rPr>
      </w:pPr>
    </w:p>
    <w:p w14:paraId="5EFCF7EB" w14:textId="298C3158" w:rsidR="33B2F8E6" w:rsidRPr="00617FF5" w:rsidRDefault="33B2F8E6" w:rsidP="001129CA">
      <w:pPr>
        <w:spacing w:line="276" w:lineRule="auto"/>
        <w:ind w:firstLine="720"/>
        <w:rPr>
          <w:rFonts w:ascii="Times New Roman" w:hAnsi="Times New Roman" w:cs="Times New Roman"/>
        </w:rPr>
      </w:pPr>
      <w:r w:rsidRPr="00617FF5">
        <w:rPr>
          <w:rFonts w:ascii="Times New Roman" w:eastAsia="Times New Roman" w:hAnsi="Times New Roman" w:cs="Times New Roman"/>
        </w:rPr>
        <w:t>Reason 2: Price-to-book ratio</w:t>
      </w:r>
    </w:p>
    <w:p w14:paraId="370C247D" w14:textId="2BBEF962" w:rsidR="33B2F8E6" w:rsidRPr="00617FF5" w:rsidRDefault="33B2F8E6" w:rsidP="2F9840D0">
      <w:pPr>
        <w:spacing w:line="276" w:lineRule="auto"/>
        <w:rPr>
          <w:rFonts w:ascii="Times New Roman" w:hAnsi="Times New Roman" w:cs="Times New Roman"/>
        </w:rPr>
      </w:pPr>
      <w:r w:rsidRPr="00617FF5">
        <w:rPr>
          <w:rFonts w:ascii="Times New Roman" w:eastAsia="Times New Roman" w:hAnsi="Times New Roman" w:cs="Times New Roman"/>
        </w:rPr>
        <w:t xml:space="preserve">Amazon (AMZN) currently has a </w:t>
      </w:r>
      <w:r w:rsidRPr="00617FF5">
        <w:rPr>
          <w:rFonts w:ascii="Times New Roman" w:eastAsia="Aptos" w:hAnsi="Times New Roman" w:cs="Times New Roman"/>
        </w:rPr>
        <w:t>P/B ratio of 8.95</w:t>
      </w:r>
      <w:r w:rsidRPr="00617FF5">
        <w:rPr>
          <w:rFonts w:ascii="Times New Roman" w:eastAsia="Times New Roman" w:hAnsi="Times New Roman" w:cs="Times New Roman"/>
        </w:rPr>
        <w:t xml:space="preserve">, which reflects how much investors are willing to pay for each dollar of the company’s net assets. This high ratio is indicative of Amazon’s strong growth prospects, brand value, and heavy investment in intangible assets such as technology and infrastructure. Companies with higher P/B ratios than Amazon include </w:t>
      </w:r>
      <w:r w:rsidRPr="00617FF5">
        <w:rPr>
          <w:rFonts w:ascii="Times New Roman" w:eastAsia="Aptos" w:hAnsi="Times New Roman" w:cs="Times New Roman"/>
        </w:rPr>
        <w:t>Apple (AAPL)</w:t>
      </w:r>
      <w:r w:rsidRPr="00617FF5">
        <w:rPr>
          <w:rFonts w:ascii="Times New Roman" w:eastAsia="Times New Roman" w:hAnsi="Times New Roman" w:cs="Times New Roman"/>
        </w:rPr>
        <w:t xml:space="preserve">, with a P/B ratio around 40, reflecting its premium brand, strong profitability, and innovation; </w:t>
      </w:r>
      <w:r w:rsidRPr="00617FF5">
        <w:rPr>
          <w:rFonts w:ascii="Times New Roman" w:eastAsia="Aptos" w:hAnsi="Times New Roman" w:cs="Times New Roman"/>
        </w:rPr>
        <w:t>Microsoft (MSFT)</w:t>
      </w:r>
      <w:r w:rsidRPr="00617FF5">
        <w:rPr>
          <w:rFonts w:ascii="Times New Roman" w:eastAsia="Times New Roman" w:hAnsi="Times New Roman" w:cs="Times New Roman"/>
        </w:rPr>
        <w:t xml:space="preserve">, with a P/B ratio close to 15-20, due to its dominance in cloud computing and software; and </w:t>
      </w:r>
      <w:r w:rsidRPr="00617FF5">
        <w:rPr>
          <w:rFonts w:ascii="Times New Roman" w:eastAsia="Aptos" w:hAnsi="Times New Roman" w:cs="Times New Roman"/>
        </w:rPr>
        <w:t>Alphabet (GOOGL)</w:t>
      </w:r>
      <w:r w:rsidRPr="00617FF5">
        <w:rPr>
          <w:rFonts w:ascii="Times New Roman" w:eastAsia="Times New Roman" w:hAnsi="Times New Roman" w:cs="Times New Roman"/>
        </w:rPr>
        <w:t xml:space="preserve">, with a similar ratio, driven by its growth in advertising and technology. On the other hand, companies with lower P/B ratios than Amazon include </w:t>
      </w:r>
      <w:r w:rsidRPr="00617FF5">
        <w:rPr>
          <w:rFonts w:ascii="Times New Roman" w:eastAsia="Aptos" w:hAnsi="Times New Roman" w:cs="Times New Roman"/>
        </w:rPr>
        <w:t>Walmart (WMT)</w:t>
      </w:r>
      <w:r w:rsidRPr="00617FF5">
        <w:rPr>
          <w:rFonts w:ascii="Times New Roman" w:eastAsia="Times New Roman" w:hAnsi="Times New Roman" w:cs="Times New Roman"/>
        </w:rPr>
        <w:t xml:space="preserve">, around 4-5, reflecting its more traditional, asset-heavy business model; </w:t>
      </w:r>
      <w:r w:rsidRPr="00617FF5">
        <w:rPr>
          <w:rFonts w:ascii="Times New Roman" w:eastAsia="Aptos" w:hAnsi="Times New Roman" w:cs="Times New Roman"/>
        </w:rPr>
        <w:t>Ford Motor Company (F)</w:t>
      </w:r>
      <w:r w:rsidRPr="00617FF5">
        <w:rPr>
          <w:rFonts w:ascii="Times New Roman" w:eastAsia="Times New Roman" w:hAnsi="Times New Roman" w:cs="Times New Roman"/>
        </w:rPr>
        <w:t xml:space="preserve">, with a P/B ratio around 1-2, due to its manufacturing and vehicle sales focus; and </w:t>
      </w:r>
      <w:r w:rsidRPr="00617FF5">
        <w:rPr>
          <w:rFonts w:ascii="Times New Roman" w:eastAsia="Aptos" w:hAnsi="Times New Roman" w:cs="Times New Roman"/>
        </w:rPr>
        <w:t>General Motors (GM)</w:t>
      </w:r>
      <w:r w:rsidRPr="00617FF5">
        <w:rPr>
          <w:rFonts w:ascii="Times New Roman" w:eastAsia="Times New Roman" w:hAnsi="Times New Roman" w:cs="Times New Roman"/>
        </w:rPr>
        <w:t>, with a similar ratio, which typically reflects a more stable, lower-growth business compared to Amazon. These differences in P/B ratios highlight how investors value companies based on growth potential versus tangible asset value.</w:t>
      </w:r>
    </w:p>
    <w:p w14:paraId="3E1B872E" w14:textId="53972B01" w:rsidR="33B2F8E6" w:rsidRPr="00617FF5" w:rsidRDefault="33B2F8E6" w:rsidP="2F9840D0">
      <w:pPr>
        <w:spacing w:line="276" w:lineRule="auto"/>
        <w:rPr>
          <w:rFonts w:ascii="Times New Roman" w:hAnsi="Times New Roman" w:cs="Times New Roman"/>
        </w:rPr>
      </w:pPr>
      <w:r w:rsidRPr="00617FF5">
        <w:rPr>
          <w:rFonts w:ascii="Times New Roman" w:eastAsia="Times New Roman" w:hAnsi="Times New Roman" w:cs="Times New Roman"/>
        </w:rPr>
        <w:t xml:space="preserve">During the </w:t>
      </w:r>
      <w:r w:rsidRPr="00617FF5">
        <w:rPr>
          <w:rFonts w:ascii="Times New Roman" w:eastAsia="Aptos" w:hAnsi="Times New Roman" w:cs="Times New Roman"/>
        </w:rPr>
        <w:t>dot-com bubble</w:t>
      </w:r>
      <w:r w:rsidRPr="00617FF5">
        <w:rPr>
          <w:rFonts w:ascii="Times New Roman" w:eastAsia="Times New Roman" w:hAnsi="Times New Roman" w:cs="Times New Roman"/>
        </w:rPr>
        <w:t xml:space="preserve"> in 2000, Amazon's </w:t>
      </w:r>
      <w:r w:rsidRPr="00617FF5">
        <w:rPr>
          <w:rFonts w:ascii="Times New Roman" w:eastAsia="Aptos" w:hAnsi="Times New Roman" w:cs="Times New Roman"/>
        </w:rPr>
        <w:t>P/B ratio</w:t>
      </w:r>
      <w:r w:rsidRPr="00617FF5">
        <w:rPr>
          <w:rFonts w:ascii="Times New Roman" w:eastAsia="Times New Roman" w:hAnsi="Times New Roman" w:cs="Times New Roman"/>
        </w:rPr>
        <w:t xml:space="preserve"> was extremely high, exceeding </w:t>
      </w:r>
      <w:r w:rsidRPr="00617FF5">
        <w:rPr>
          <w:rFonts w:ascii="Times New Roman" w:eastAsia="Aptos" w:hAnsi="Times New Roman" w:cs="Times New Roman"/>
        </w:rPr>
        <w:t>20</w:t>
      </w:r>
      <w:r w:rsidRPr="00617FF5">
        <w:rPr>
          <w:rFonts w:ascii="Times New Roman" w:eastAsia="Times New Roman" w:hAnsi="Times New Roman" w:cs="Times New Roman"/>
        </w:rPr>
        <w:t xml:space="preserve">, driven by speculative growth expectations despite the company’s low book value and lack of profitability. After the bubble burst, the ratio fell to </w:t>
      </w:r>
      <w:r w:rsidRPr="00617FF5">
        <w:rPr>
          <w:rFonts w:ascii="Times New Roman" w:eastAsia="Aptos" w:hAnsi="Times New Roman" w:cs="Times New Roman"/>
        </w:rPr>
        <w:t>5-6</w:t>
      </w:r>
      <w:r w:rsidRPr="00617FF5">
        <w:rPr>
          <w:rFonts w:ascii="Times New Roman" w:eastAsia="Times New Roman" w:hAnsi="Times New Roman" w:cs="Times New Roman"/>
        </w:rPr>
        <w:t xml:space="preserve"> by 2002, reflecting a more cautious market as Amazon faced profitability challenges. From </w:t>
      </w:r>
      <w:r w:rsidRPr="00617FF5">
        <w:rPr>
          <w:rFonts w:ascii="Times New Roman" w:eastAsia="Aptos" w:hAnsi="Times New Roman" w:cs="Times New Roman"/>
        </w:rPr>
        <w:t>2002 to 2004</w:t>
      </w:r>
      <w:r w:rsidRPr="00617FF5">
        <w:rPr>
          <w:rFonts w:ascii="Times New Roman" w:eastAsia="Times New Roman" w:hAnsi="Times New Roman" w:cs="Times New Roman"/>
        </w:rPr>
        <w:t>, the ratio stabilized at sustainable levels, indicating growing confidence in Amazon's business model as it reinvested in infrastructure and technology, laying the groundwork for future growth.</w:t>
      </w:r>
    </w:p>
    <w:p w14:paraId="7FFEF970" w14:textId="77777777" w:rsidR="001129CA" w:rsidRDefault="001129CA" w:rsidP="2F9840D0">
      <w:pPr>
        <w:spacing w:line="276" w:lineRule="auto"/>
        <w:rPr>
          <w:rFonts w:ascii="Times New Roman" w:eastAsia="Times New Roman" w:hAnsi="Times New Roman" w:cs="Times New Roman"/>
          <w:u w:val="single"/>
        </w:rPr>
      </w:pPr>
    </w:p>
    <w:p w14:paraId="1E7F811B" w14:textId="2C4F79C3" w:rsidR="2F9840D0" w:rsidRPr="001129CA" w:rsidRDefault="33B2F8E6" w:rsidP="001129CA">
      <w:pPr>
        <w:spacing w:line="276" w:lineRule="auto"/>
        <w:ind w:firstLine="720"/>
        <w:rPr>
          <w:rFonts w:ascii="Times New Roman" w:hAnsi="Times New Roman" w:cs="Times New Roman"/>
        </w:rPr>
      </w:pPr>
      <w:r w:rsidRPr="001129CA">
        <w:rPr>
          <w:rFonts w:ascii="Times New Roman" w:eastAsia="Times New Roman" w:hAnsi="Times New Roman" w:cs="Times New Roman"/>
        </w:rPr>
        <w:t>Reason 3: Trustable and attractive Dividend Yield</w:t>
      </w:r>
    </w:p>
    <w:p w14:paraId="373F64D6" w14:textId="6159DC48" w:rsidR="33B2F8E6" w:rsidRPr="00617FF5" w:rsidRDefault="33B2F8E6" w:rsidP="2F9840D0">
      <w:pPr>
        <w:spacing w:line="276" w:lineRule="auto"/>
        <w:rPr>
          <w:rFonts w:ascii="Times New Roman" w:hAnsi="Times New Roman" w:cs="Times New Roman"/>
        </w:rPr>
      </w:pPr>
      <w:r w:rsidRPr="00617FF5">
        <w:rPr>
          <w:rFonts w:ascii="Times New Roman" w:eastAsia="Times New Roman" w:hAnsi="Times New Roman" w:cs="Times New Roman"/>
        </w:rPr>
        <w:t>Based on the image, Amazon's projected dividend yield shows a steady upward trend over the coming years. Starting in 2025, the yield begins below 0.4% but gradually increases, surpassing 0.8% by 2034. The chart indicates consistent growth in dividend payouts, as represented by the upward-sloping yellow line, which corresponds to increasing dividend per share values over time. This suggests a positive outlook for investors focused on dividend returns, with no visible downturns or fluctuations in the yield during this period.</w:t>
      </w:r>
    </w:p>
    <w:p w14:paraId="3FA221FE" w14:textId="736103C1" w:rsidR="33B2F8E6" w:rsidRPr="00A02780" w:rsidRDefault="33B2F8E6" w:rsidP="001129CA">
      <w:pPr>
        <w:spacing w:line="276" w:lineRule="auto"/>
        <w:ind w:firstLine="720"/>
        <w:rPr>
          <w:rFonts w:ascii="Times New Roman" w:hAnsi="Times New Roman" w:cs="Times New Roman"/>
        </w:rPr>
      </w:pPr>
      <w:r w:rsidRPr="00A02780">
        <w:rPr>
          <w:rFonts w:ascii="Times New Roman" w:eastAsia="Times New Roman" w:hAnsi="Times New Roman" w:cs="Times New Roman"/>
        </w:rPr>
        <w:t>Reason 4: High Market Capitalization</w:t>
      </w:r>
    </w:p>
    <w:p w14:paraId="0FFFE150" w14:textId="37BB0365" w:rsidR="33B2F8E6" w:rsidRPr="00617FF5" w:rsidRDefault="33B2F8E6" w:rsidP="2F9840D0">
      <w:pPr>
        <w:spacing w:line="276" w:lineRule="auto"/>
        <w:rPr>
          <w:rFonts w:ascii="Times New Roman" w:hAnsi="Times New Roman" w:cs="Times New Roman"/>
        </w:rPr>
      </w:pPr>
      <w:r w:rsidRPr="00617FF5">
        <w:rPr>
          <w:rFonts w:ascii="Times New Roman" w:eastAsia="Times New Roman" w:hAnsi="Times New Roman" w:cs="Times New Roman"/>
        </w:rPr>
        <w:t xml:space="preserve">Amazon’s market capitalization, currently around </w:t>
      </w:r>
      <w:r w:rsidRPr="00617FF5">
        <w:rPr>
          <w:rFonts w:ascii="Times New Roman" w:eastAsia="Aptos" w:hAnsi="Times New Roman" w:cs="Times New Roman"/>
        </w:rPr>
        <w:t>$1.98 trillion</w:t>
      </w:r>
      <w:r w:rsidRPr="00617FF5">
        <w:rPr>
          <w:rFonts w:ascii="Times New Roman" w:eastAsia="Times New Roman" w:hAnsi="Times New Roman" w:cs="Times New Roman"/>
        </w:rPr>
        <w:t xml:space="preserve"> as of 2024, is primarily driven by its dominance in </w:t>
      </w:r>
      <w:r w:rsidRPr="00617FF5">
        <w:rPr>
          <w:rFonts w:ascii="Times New Roman" w:eastAsia="Aptos" w:hAnsi="Times New Roman" w:cs="Times New Roman"/>
        </w:rPr>
        <w:t>cloud computing</w:t>
      </w:r>
      <w:r w:rsidRPr="00617FF5">
        <w:rPr>
          <w:rFonts w:ascii="Times New Roman" w:eastAsia="Times New Roman" w:hAnsi="Times New Roman" w:cs="Times New Roman"/>
        </w:rPr>
        <w:t xml:space="preserve"> through Amazon Web Services (AWS) and </w:t>
      </w:r>
      <w:r w:rsidRPr="00617FF5">
        <w:rPr>
          <w:rFonts w:ascii="Times New Roman" w:eastAsia="Aptos" w:hAnsi="Times New Roman" w:cs="Times New Roman"/>
        </w:rPr>
        <w:t>e-commerce</w:t>
      </w:r>
      <w:r w:rsidRPr="00617FF5">
        <w:rPr>
          <w:rFonts w:ascii="Times New Roman" w:eastAsia="Times New Roman" w:hAnsi="Times New Roman" w:cs="Times New Roman"/>
        </w:rPr>
        <w:t xml:space="preserve">. AWS, with over </w:t>
      </w:r>
      <w:r w:rsidRPr="00617FF5">
        <w:rPr>
          <w:rFonts w:ascii="Times New Roman" w:eastAsia="Aptos" w:hAnsi="Times New Roman" w:cs="Times New Roman"/>
        </w:rPr>
        <w:t>30% global market share</w:t>
      </w:r>
      <w:r w:rsidRPr="00617FF5">
        <w:rPr>
          <w:rFonts w:ascii="Times New Roman" w:eastAsia="Times New Roman" w:hAnsi="Times New Roman" w:cs="Times New Roman"/>
        </w:rPr>
        <w:t xml:space="preserve">, is a major contributor, generating substantial revenue </w:t>
      </w:r>
      <w:r w:rsidRPr="00617FF5">
        <w:rPr>
          <w:rFonts w:ascii="Times New Roman" w:eastAsia="Times New Roman" w:hAnsi="Times New Roman" w:cs="Times New Roman"/>
        </w:rPr>
        <w:lastRenderedPageBreak/>
        <w:t>and high</w:t>
      </w:r>
      <w:r w:rsidR="000F0667">
        <w:rPr>
          <w:rFonts w:ascii="Times New Roman" w:eastAsia="Times New Roman" w:hAnsi="Times New Roman" w:cs="Times New Roman"/>
        </w:rPr>
        <w:t>-</w:t>
      </w:r>
      <w:r w:rsidRPr="00617FF5">
        <w:rPr>
          <w:rFonts w:ascii="Times New Roman" w:eastAsia="Times New Roman" w:hAnsi="Times New Roman" w:cs="Times New Roman"/>
        </w:rPr>
        <w:t xml:space="preserve">profit margins. Meanwhile, its e-commerce segment continues to capture significant market share worldwide, further solidifying its financial </w:t>
      </w:r>
      <w:r w:rsidR="000F0667" w:rsidRPr="00617FF5">
        <w:rPr>
          <w:rFonts w:ascii="Times New Roman" w:eastAsia="Times New Roman" w:hAnsi="Times New Roman" w:cs="Times New Roman"/>
        </w:rPr>
        <w:t>strength</w:t>
      </w:r>
      <w:r w:rsidR="000F0667" w:rsidRPr="00617FF5">
        <w:rPr>
          <w:rFonts w:ascii="Times New Roman" w:eastAsia="Arial" w:hAnsi="Times New Roman" w:cs="Times New Roman"/>
        </w:rPr>
        <w:t>.</w:t>
      </w:r>
    </w:p>
    <w:p w14:paraId="5C7ABB16" w14:textId="698EBC31" w:rsidR="33B2F8E6" w:rsidRPr="00617FF5" w:rsidRDefault="33B2F8E6" w:rsidP="2F9840D0">
      <w:pPr>
        <w:spacing w:line="276" w:lineRule="auto"/>
        <w:rPr>
          <w:rFonts w:ascii="Times New Roman" w:hAnsi="Times New Roman" w:cs="Times New Roman"/>
        </w:rPr>
      </w:pPr>
      <w:r w:rsidRPr="00617FF5">
        <w:rPr>
          <w:rFonts w:ascii="Times New Roman" w:eastAsia="Times New Roman" w:hAnsi="Times New Roman" w:cs="Times New Roman"/>
        </w:rPr>
        <w:t>These two sectors form the backbone of Amazon's diversified operations, ensuring steady growth and positioning it as one of the most valuable companies globally. AWS’s consistent profitability and e-commerce’s global reach reflect Amazon’s innovation and market leadership.</w:t>
      </w:r>
    </w:p>
    <w:p w14:paraId="544A0812" w14:textId="71BA4C18" w:rsidR="33B2F8E6" w:rsidRPr="00617FF5" w:rsidRDefault="33B2F8E6" w:rsidP="2F9840D0">
      <w:pPr>
        <w:spacing w:line="276" w:lineRule="auto"/>
        <w:rPr>
          <w:rFonts w:ascii="Times New Roman" w:eastAsia="Arial" w:hAnsi="Times New Roman" w:cs="Times New Roman"/>
        </w:rPr>
      </w:pPr>
      <w:r w:rsidRPr="00617FF5">
        <w:rPr>
          <w:rFonts w:ascii="Times New Roman" w:eastAsia="Times New Roman" w:hAnsi="Times New Roman" w:cs="Times New Roman"/>
        </w:rPr>
        <w:t>Historically, Amazon’s market capitalization has grown significantly, from about $50 billion in 2010 to $250 billion by 2015 and $1.6 trillion by 2020. This growth highlights its dominant position in the market, though its size also attracts regulatory scrutiny and operational challenges. Nonetheless, Amazon’s ability to innovate and expand globally ensures its continued leadership in shaping modern commerce and technology</w:t>
      </w:r>
      <w:r w:rsidRPr="00617FF5">
        <w:rPr>
          <w:rFonts w:ascii="Times New Roman" w:eastAsia="Arial" w:hAnsi="Times New Roman" w:cs="Times New Roman"/>
        </w:rPr>
        <w:t xml:space="preserve"> </w:t>
      </w:r>
      <w:r w:rsidRPr="00617FF5">
        <w:rPr>
          <w:rFonts w:ascii="Times New Roman" w:hAnsi="Times New Roman" w:cs="Times New Roman"/>
        </w:rPr>
        <w:br/>
      </w:r>
      <w:r w:rsidRPr="00617FF5">
        <w:rPr>
          <w:rFonts w:ascii="Times New Roman" w:eastAsia="Arial" w:hAnsi="Times New Roman" w:cs="Times New Roman"/>
        </w:rPr>
        <w:t xml:space="preserve"> </w:t>
      </w:r>
    </w:p>
    <w:p w14:paraId="0E4CB9B4" w14:textId="01F43F43" w:rsidR="33B2F8E6" w:rsidRPr="00617FF5" w:rsidRDefault="33B2F8E6" w:rsidP="00A02780">
      <w:pPr>
        <w:spacing w:line="276" w:lineRule="auto"/>
        <w:ind w:firstLine="720"/>
        <w:rPr>
          <w:rFonts w:ascii="Times New Roman" w:hAnsi="Times New Roman" w:cs="Times New Roman"/>
        </w:rPr>
      </w:pPr>
      <w:r w:rsidRPr="00617FF5">
        <w:rPr>
          <w:rFonts w:ascii="Times New Roman" w:eastAsia="Arial" w:hAnsi="Times New Roman" w:cs="Times New Roman"/>
        </w:rPr>
        <w:t>Reason 5: Amazon</w:t>
      </w:r>
      <w:r w:rsidR="00A02780">
        <w:rPr>
          <w:rFonts w:ascii="Times New Roman" w:eastAsia="Arial" w:hAnsi="Times New Roman" w:cs="Times New Roman"/>
        </w:rPr>
        <w:t>’</w:t>
      </w:r>
      <w:r w:rsidRPr="00617FF5">
        <w:rPr>
          <w:rFonts w:ascii="Times New Roman" w:eastAsia="Arial" w:hAnsi="Times New Roman" w:cs="Times New Roman"/>
        </w:rPr>
        <w:t>s Growth</w:t>
      </w:r>
      <w:r w:rsidR="00A02780">
        <w:rPr>
          <w:rFonts w:ascii="Times New Roman" w:eastAsia="Arial" w:hAnsi="Times New Roman" w:cs="Times New Roman"/>
        </w:rPr>
        <w:t xml:space="preserve"> T</w:t>
      </w:r>
      <w:r w:rsidRPr="00617FF5">
        <w:rPr>
          <w:rFonts w:ascii="Times New Roman" w:eastAsia="Arial" w:hAnsi="Times New Roman" w:cs="Times New Roman"/>
        </w:rPr>
        <w:t>rend</w:t>
      </w:r>
    </w:p>
    <w:p w14:paraId="601E8B9D" w14:textId="394E94F6" w:rsidR="33B2F8E6" w:rsidRPr="00617FF5" w:rsidRDefault="33B2F8E6" w:rsidP="2F9840D0">
      <w:pPr>
        <w:spacing w:before="240" w:after="240"/>
        <w:rPr>
          <w:rFonts w:ascii="Times New Roman" w:hAnsi="Times New Roman" w:cs="Times New Roman"/>
        </w:rPr>
      </w:pPr>
      <w:r w:rsidRPr="00617FF5">
        <w:rPr>
          <w:rFonts w:ascii="Times New Roman" w:eastAsia="Times New Roman" w:hAnsi="Times New Roman" w:cs="Times New Roman"/>
        </w:rPr>
        <w:t>Amazon’s growth over the years is clearly reflected in its stock chart. From its IPO in 1997 until the early 2000s, Amazon's stock price remained low as the company focused on building its e-commerce platform. The first signs of substantial growth occurred between 2011 and 2014, when the company expanded into cloud computing through Amazon Web Services (AWS), a division that became critical to Amazon’s profitability. By 2015-2016, Amazon’s stock saw a sharp increase, driven by a mix of the growing success of AWS, its push into digital media services like Prime Video, and its continued dominance in e-commerce. During the 2020 pandemic, Amazon’s stock price reached new heights as online shopping surged globally, and it crossed $200 per share, reflecting its expanded role in people's everyday lives.</w:t>
      </w:r>
    </w:p>
    <w:p w14:paraId="7B0D5C62" w14:textId="29DF31C7" w:rsidR="2F9840D0" w:rsidRPr="00617FF5" w:rsidRDefault="33B2F8E6" w:rsidP="2F9840D0">
      <w:pPr>
        <w:spacing w:before="240" w:after="240"/>
        <w:rPr>
          <w:rFonts w:ascii="Times New Roman" w:hAnsi="Times New Roman" w:cs="Times New Roman"/>
        </w:rPr>
      </w:pPr>
      <w:r w:rsidRPr="00617FF5">
        <w:rPr>
          <w:rFonts w:ascii="Times New Roman" w:eastAsia="Times New Roman" w:hAnsi="Times New Roman" w:cs="Times New Roman"/>
        </w:rPr>
        <w:t>Looking ahead, Amazon’s cloud computing and artificial intelligence (AI) sectors are expected to remain the primary drivers of growth. AWS continues to lead the global cloud market, providing Amazon with significant profit margins. Meanwhile, innovations in AI, such as Alexa and automated warehouses, will further streamline operations. Additionally, Amazon's moves into industries like healthcare and sustainability initiatives suggest a future of continued diversification. With its strong market position and constant innovation, Amazon’s stock is expected to continue its upward trend, consolidating its place as one of the world’s most valuable companies.</w:t>
      </w:r>
    </w:p>
    <w:p w14:paraId="12D7BC01" w14:textId="00A6729F" w:rsidR="33B2F8E6" w:rsidRPr="00617FF5" w:rsidRDefault="33B2F8E6" w:rsidP="00A74C00">
      <w:pPr>
        <w:spacing w:before="240" w:after="240"/>
        <w:ind w:firstLine="720"/>
        <w:rPr>
          <w:rFonts w:ascii="Times New Roman" w:hAnsi="Times New Roman" w:cs="Times New Roman"/>
        </w:rPr>
      </w:pPr>
      <w:r w:rsidRPr="00617FF5">
        <w:rPr>
          <w:rFonts w:ascii="Times New Roman" w:eastAsia="Times New Roman" w:hAnsi="Times New Roman" w:cs="Times New Roman"/>
        </w:rPr>
        <w:t>Reason 6: Industry Expert Recommendation</w:t>
      </w:r>
    </w:p>
    <w:p w14:paraId="29AFF4B2" w14:textId="578315FA" w:rsidR="33B2F8E6" w:rsidRPr="00617FF5" w:rsidRDefault="33B2F8E6" w:rsidP="2F9840D0">
      <w:pPr>
        <w:spacing w:after="0"/>
        <w:rPr>
          <w:rFonts w:ascii="Times New Roman" w:hAnsi="Times New Roman" w:cs="Times New Roman"/>
        </w:rPr>
      </w:pPr>
      <w:r w:rsidRPr="00617FF5">
        <w:rPr>
          <w:rFonts w:ascii="Times New Roman" w:eastAsia="Times New Roman" w:hAnsi="Times New Roman" w:cs="Times New Roman"/>
        </w:rPr>
        <w:t xml:space="preserve">We invested $8,315.6 into </w:t>
      </w:r>
      <w:proofErr w:type="gramStart"/>
      <w:r w:rsidRPr="00617FF5">
        <w:rPr>
          <w:rFonts w:ascii="Times New Roman" w:eastAsia="Times New Roman" w:hAnsi="Times New Roman" w:cs="Times New Roman"/>
        </w:rPr>
        <w:t>40 of</w:t>
      </w:r>
      <w:proofErr w:type="gramEnd"/>
      <w:r w:rsidRPr="00617FF5">
        <w:rPr>
          <w:rFonts w:ascii="Times New Roman" w:eastAsia="Times New Roman" w:hAnsi="Times New Roman" w:cs="Times New Roman"/>
        </w:rPr>
        <w:t xml:space="preserve"> Amazon Stocks because of the 6 previously stated reasons. We evenly distributed 8.33% to each of our funds towards 5 out of the 6 stocks we have chosen as we are confident in the diverseness of our portfolio and see them as all attractive investments. </w:t>
      </w:r>
    </w:p>
    <w:p w14:paraId="375C9E5F" w14:textId="77777777" w:rsidR="00201D39" w:rsidRPr="00617FF5" w:rsidRDefault="00201D39" w:rsidP="00201D39">
      <w:pPr>
        <w:spacing w:after="0"/>
        <w:rPr>
          <w:rFonts w:ascii="Times New Roman" w:eastAsia="Times New Roman" w:hAnsi="Times New Roman" w:cs="Times New Roman"/>
        </w:rPr>
      </w:pPr>
    </w:p>
    <w:p w14:paraId="11645E8E" w14:textId="0F63CC33" w:rsidR="33B2F8E6" w:rsidRPr="00617FF5" w:rsidRDefault="33B2F8E6" w:rsidP="00FB7BFB">
      <w:pPr>
        <w:pStyle w:val="ListParagraph"/>
        <w:numPr>
          <w:ilvl w:val="0"/>
          <w:numId w:val="38"/>
        </w:numPr>
        <w:spacing w:after="0"/>
        <w:rPr>
          <w:rFonts w:ascii="Times New Roman" w:eastAsia="Times New Roman" w:hAnsi="Times New Roman" w:cs="Times New Roman"/>
        </w:rPr>
      </w:pPr>
      <w:r w:rsidRPr="00617FF5">
        <w:rPr>
          <w:rFonts w:ascii="Times New Roman" w:eastAsia="Times New Roman" w:hAnsi="Times New Roman" w:cs="Times New Roman"/>
        </w:rPr>
        <w:t xml:space="preserve">Calculation of Expected Return </w:t>
      </w:r>
    </w:p>
    <w:p w14:paraId="7AD8305F" w14:textId="6A8BC83B" w:rsidR="33B2F8E6" w:rsidRPr="00617FF5" w:rsidRDefault="33B2F8E6" w:rsidP="2F9840D0">
      <w:pPr>
        <w:spacing w:after="0"/>
        <w:ind w:left="360"/>
        <w:rPr>
          <w:rFonts w:ascii="Times New Roman" w:hAnsi="Times New Roman" w:cs="Times New Roman"/>
        </w:rPr>
      </w:pPr>
      <w:r w:rsidRPr="00617FF5">
        <w:rPr>
          <w:rFonts w:ascii="Times New Roman" w:eastAsia="Aptos" w:hAnsi="Times New Roman" w:cs="Times New Roman"/>
        </w:rPr>
        <w:t xml:space="preserve"> </w:t>
      </w:r>
    </w:p>
    <w:p w14:paraId="0B2DFB53" w14:textId="1738C482" w:rsidR="33B2F8E6" w:rsidRPr="00617FF5" w:rsidRDefault="33B2F8E6" w:rsidP="2F9840D0">
      <w:pPr>
        <w:spacing w:after="0"/>
        <w:rPr>
          <w:rFonts w:ascii="Times New Roman" w:hAnsi="Times New Roman" w:cs="Times New Roman"/>
        </w:rPr>
      </w:pPr>
      <w:r w:rsidRPr="00617FF5">
        <w:rPr>
          <w:rFonts w:ascii="Times New Roman" w:eastAsia="Times New Roman" w:hAnsi="Times New Roman" w:cs="Times New Roman"/>
        </w:rPr>
        <w:lastRenderedPageBreak/>
        <w:t xml:space="preserve">For the Amazon stock: </w:t>
      </w:r>
    </w:p>
    <w:p w14:paraId="4625B529" w14:textId="00AB95F3" w:rsidR="33B2F8E6" w:rsidRPr="00617FF5" w:rsidRDefault="33B2F8E6" w:rsidP="2F9840D0">
      <w:pPr>
        <w:spacing w:after="0"/>
        <w:rPr>
          <w:rFonts w:ascii="Times New Roman" w:hAnsi="Times New Roman" w:cs="Times New Roman"/>
        </w:rPr>
      </w:pPr>
      <w:r w:rsidRPr="00617FF5">
        <w:rPr>
          <w:rFonts w:ascii="Times New Roman" w:eastAsia="Times New Roman" w:hAnsi="Times New Roman" w:cs="Times New Roman"/>
        </w:rPr>
        <w:t xml:space="preserve">Expected Rate of Return = Rf + B*[E(Rm)-Rf) </w:t>
      </w:r>
    </w:p>
    <w:p w14:paraId="1CD45BBB" w14:textId="613CE3E8" w:rsidR="33B2F8E6" w:rsidRPr="00617FF5" w:rsidRDefault="33B2F8E6" w:rsidP="2F9840D0">
      <w:pPr>
        <w:spacing w:after="0"/>
        <w:rPr>
          <w:rFonts w:ascii="Times New Roman" w:hAnsi="Times New Roman" w:cs="Times New Roman"/>
        </w:rPr>
      </w:pPr>
      <w:r w:rsidRPr="00617FF5">
        <w:rPr>
          <w:rFonts w:ascii="Times New Roman" w:eastAsia="Times New Roman" w:hAnsi="Times New Roman" w:cs="Times New Roman"/>
        </w:rPr>
        <w:t xml:space="preserve"> </w:t>
      </w:r>
    </w:p>
    <w:p w14:paraId="7DAD94E2" w14:textId="04BAFE69" w:rsidR="33B2F8E6" w:rsidRPr="00617FF5" w:rsidRDefault="33B2F8E6" w:rsidP="2F9840D0">
      <w:pPr>
        <w:spacing w:after="0"/>
        <w:rPr>
          <w:rFonts w:ascii="Times New Roman" w:hAnsi="Times New Roman" w:cs="Times New Roman"/>
        </w:rPr>
      </w:pPr>
      <w:r w:rsidRPr="00617FF5">
        <w:rPr>
          <w:rFonts w:ascii="Times New Roman" w:eastAsia="Times New Roman" w:hAnsi="Times New Roman" w:cs="Times New Roman"/>
        </w:rPr>
        <w:t xml:space="preserve">Where: </w:t>
      </w:r>
    </w:p>
    <w:p w14:paraId="189446D1" w14:textId="05166242" w:rsidR="33B2F8E6" w:rsidRPr="00617FF5" w:rsidRDefault="33B2F8E6" w:rsidP="00FB7BFB">
      <w:pPr>
        <w:pStyle w:val="ListParagraph"/>
        <w:numPr>
          <w:ilvl w:val="0"/>
          <w:numId w:val="58"/>
        </w:numPr>
        <w:spacing w:after="0"/>
        <w:ind w:left="1080"/>
        <w:rPr>
          <w:rFonts w:ascii="Times New Roman" w:eastAsia="Times New Roman" w:hAnsi="Times New Roman" w:cs="Times New Roman"/>
        </w:rPr>
      </w:pPr>
      <w:r w:rsidRPr="00617FF5">
        <w:rPr>
          <w:rFonts w:ascii="Times New Roman" w:eastAsia="Times New Roman" w:hAnsi="Times New Roman" w:cs="Times New Roman"/>
        </w:rPr>
        <w:t xml:space="preserve">Rf = Risk-Free Rate = 4.74% (US Treasury 3 Month Bill) </w:t>
      </w:r>
    </w:p>
    <w:p w14:paraId="4A20EB0B" w14:textId="2D09167D" w:rsidR="33B2F8E6" w:rsidRPr="00617FF5" w:rsidRDefault="33B2F8E6" w:rsidP="00FB7BFB">
      <w:pPr>
        <w:pStyle w:val="ListParagraph"/>
        <w:numPr>
          <w:ilvl w:val="0"/>
          <w:numId w:val="57"/>
        </w:numPr>
        <w:spacing w:after="0"/>
        <w:ind w:left="1080"/>
        <w:rPr>
          <w:rFonts w:ascii="Times New Roman" w:eastAsia="Times New Roman" w:hAnsi="Times New Roman" w:cs="Times New Roman"/>
        </w:rPr>
      </w:pPr>
      <w:r w:rsidRPr="00617FF5">
        <w:rPr>
          <w:rFonts w:ascii="Times New Roman" w:eastAsia="Times New Roman" w:hAnsi="Times New Roman" w:cs="Times New Roman"/>
        </w:rPr>
        <w:t xml:space="preserve">B = Beta = 1.15 measure of Amazon’s share price volatility </w:t>
      </w:r>
    </w:p>
    <w:p w14:paraId="43D6AC71" w14:textId="1E2BAD0F" w:rsidR="33B2F8E6" w:rsidRPr="00617FF5" w:rsidRDefault="33B2F8E6" w:rsidP="00FB7BFB">
      <w:pPr>
        <w:pStyle w:val="ListParagraph"/>
        <w:numPr>
          <w:ilvl w:val="0"/>
          <w:numId w:val="56"/>
        </w:numPr>
        <w:spacing w:after="0"/>
        <w:ind w:left="1080"/>
        <w:rPr>
          <w:rFonts w:ascii="Times New Roman" w:eastAsia="Times New Roman" w:hAnsi="Times New Roman" w:cs="Times New Roman"/>
        </w:rPr>
      </w:pPr>
      <w:r w:rsidRPr="00617FF5">
        <w:rPr>
          <w:rFonts w:ascii="Times New Roman" w:eastAsia="Times New Roman" w:hAnsi="Times New Roman" w:cs="Times New Roman"/>
        </w:rPr>
        <w:t xml:space="preserve">E(Rm) = Expected return on the market = our benchmark which is a 10-year average of </w:t>
      </w:r>
      <w:proofErr w:type="gramStart"/>
      <w:r w:rsidRPr="00617FF5">
        <w:rPr>
          <w:rFonts w:ascii="Times New Roman" w:eastAsia="Times New Roman" w:hAnsi="Times New Roman" w:cs="Times New Roman"/>
        </w:rPr>
        <w:t>the S</w:t>
      </w:r>
      <w:proofErr w:type="gramEnd"/>
      <w:r w:rsidRPr="00617FF5">
        <w:rPr>
          <w:rFonts w:ascii="Times New Roman" w:eastAsia="Times New Roman" w:hAnsi="Times New Roman" w:cs="Times New Roman"/>
        </w:rPr>
        <w:t xml:space="preserve">&amp;P 500 = The average rate of return for the S&amp;P 500 since 2012 is </w:t>
      </w:r>
      <w:r w:rsidR="000F0667">
        <w:rPr>
          <w:rFonts w:ascii="Times New Roman" w:eastAsia="Times New Roman" w:hAnsi="Times New Roman" w:cs="Times New Roman"/>
        </w:rPr>
        <w:t>13.22</w:t>
      </w:r>
      <w:r w:rsidRPr="00617FF5">
        <w:rPr>
          <w:rFonts w:ascii="Times New Roman" w:eastAsia="Times New Roman" w:hAnsi="Times New Roman" w:cs="Times New Roman"/>
        </w:rPr>
        <w:t xml:space="preserve">% </w:t>
      </w:r>
    </w:p>
    <w:p w14:paraId="4442A375" w14:textId="73FDB21C" w:rsidR="33B2F8E6" w:rsidRPr="00617FF5" w:rsidRDefault="33B2F8E6" w:rsidP="2F9840D0">
      <w:pPr>
        <w:spacing w:after="0"/>
        <w:rPr>
          <w:rFonts w:ascii="Times New Roman" w:hAnsi="Times New Roman" w:cs="Times New Roman"/>
        </w:rPr>
      </w:pPr>
      <w:r w:rsidRPr="00617FF5">
        <w:rPr>
          <w:rFonts w:ascii="Times New Roman" w:eastAsia="Times New Roman" w:hAnsi="Times New Roman" w:cs="Times New Roman"/>
        </w:rPr>
        <w:t xml:space="preserve"> </w:t>
      </w:r>
    </w:p>
    <w:p w14:paraId="76AD53F3" w14:textId="3559F7CD" w:rsidR="33B2F8E6" w:rsidRPr="00617FF5" w:rsidRDefault="33B2F8E6" w:rsidP="2F9840D0">
      <w:pPr>
        <w:spacing w:after="0"/>
        <w:rPr>
          <w:rFonts w:ascii="Times New Roman" w:hAnsi="Times New Roman" w:cs="Times New Roman"/>
        </w:rPr>
      </w:pPr>
      <w:r w:rsidRPr="00617FF5">
        <w:rPr>
          <w:rFonts w:ascii="Times New Roman" w:eastAsia="Times New Roman" w:hAnsi="Times New Roman" w:cs="Times New Roman"/>
        </w:rPr>
        <w:t xml:space="preserve">Therefore: </w:t>
      </w:r>
    </w:p>
    <w:p w14:paraId="44AAB432" w14:textId="02089C4C" w:rsidR="33B2F8E6" w:rsidRPr="00617FF5" w:rsidRDefault="33B2F8E6" w:rsidP="2F9840D0">
      <w:pPr>
        <w:spacing w:after="0"/>
        <w:rPr>
          <w:rFonts w:ascii="Times New Roman" w:hAnsi="Times New Roman" w:cs="Times New Roman"/>
        </w:rPr>
      </w:pPr>
      <w:r w:rsidRPr="00617FF5">
        <w:rPr>
          <w:rFonts w:ascii="Times New Roman" w:eastAsia="Times New Roman" w:hAnsi="Times New Roman" w:cs="Times New Roman"/>
        </w:rPr>
        <w:t xml:space="preserve">Expected Rate of Return = Rf + B*[E(Rm)-Rf] </w:t>
      </w:r>
    </w:p>
    <w:p w14:paraId="011F1C18" w14:textId="0773C21B" w:rsidR="33B2F8E6" w:rsidRPr="00617FF5" w:rsidRDefault="33B2F8E6" w:rsidP="2F9840D0">
      <w:pPr>
        <w:spacing w:after="0"/>
        <w:rPr>
          <w:rFonts w:ascii="Times New Roman" w:hAnsi="Times New Roman" w:cs="Times New Roman"/>
        </w:rPr>
      </w:pPr>
      <w:r w:rsidRPr="00617FF5">
        <w:rPr>
          <w:rFonts w:ascii="Times New Roman" w:eastAsia="Times New Roman" w:hAnsi="Times New Roman" w:cs="Times New Roman"/>
        </w:rPr>
        <w:t>= 4.74% + 1.15* [</w:t>
      </w:r>
      <w:r w:rsidR="000F0667">
        <w:rPr>
          <w:rFonts w:ascii="Times New Roman" w:eastAsia="Times New Roman" w:hAnsi="Times New Roman" w:cs="Times New Roman"/>
        </w:rPr>
        <w:t>13.22</w:t>
      </w:r>
      <w:r w:rsidRPr="00617FF5">
        <w:rPr>
          <w:rFonts w:ascii="Times New Roman" w:eastAsia="Times New Roman" w:hAnsi="Times New Roman" w:cs="Times New Roman"/>
        </w:rPr>
        <w:t xml:space="preserve">%-4.74%] </w:t>
      </w:r>
    </w:p>
    <w:p w14:paraId="18952695" w14:textId="46D50868" w:rsidR="33B2F8E6" w:rsidRPr="00617FF5" w:rsidRDefault="33B2F8E6" w:rsidP="2F9840D0">
      <w:pPr>
        <w:spacing w:after="0"/>
        <w:rPr>
          <w:rFonts w:ascii="Times New Roman" w:hAnsi="Times New Roman" w:cs="Times New Roman"/>
        </w:rPr>
      </w:pPr>
      <w:r w:rsidRPr="00E366C7">
        <w:rPr>
          <w:rFonts w:ascii="Times New Roman" w:eastAsia="Times New Roman" w:hAnsi="Times New Roman" w:cs="Times New Roman"/>
          <w:color w:val="000000" w:themeColor="text1"/>
          <w:highlight w:val="lightGray"/>
        </w:rPr>
        <w:t xml:space="preserve">= </w:t>
      </w:r>
      <w:r w:rsidR="00E366C7" w:rsidRPr="00E366C7">
        <w:rPr>
          <w:rFonts w:ascii="Times New Roman" w:eastAsia="Times New Roman" w:hAnsi="Times New Roman" w:cs="Times New Roman"/>
          <w:color w:val="000000" w:themeColor="text1"/>
          <w:highlight w:val="lightGray"/>
        </w:rPr>
        <w:t>14.49%</w:t>
      </w:r>
    </w:p>
    <w:p w14:paraId="2F6EFEA1" w14:textId="673C07E7" w:rsidR="2F9840D0" w:rsidRDefault="2F9840D0" w:rsidP="2F9840D0">
      <w:pPr>
        <w:rPr>
          <w:rFonts w:ascii="Times New Roman" w:hAnsi="Times New Roman" w:cs="Times New Roman"/>
          <w:b/>
          <w:bCs/>
          <w:sz w:val="28"/>
          <w:szCs w:val="28"/>
        </w:rPr>
      </w:pPr>
    </w:p>
    <w:p w14:paraId="64F60C9A" w14:textId="49964078" w:rsidR="13FF8813" w:rsidRDefault="13FF8813" w:rsidP="13FF8813">
      <w:pPr>
        <w:rPr>
          <w:rFonts w:ascii="Times New Roman" w:hAnsi="Times New Roman" w:cs="Times New Roman"/>
          <w:b/>
          <w:bCs/>
          <w:sz w:val="28"/>
          <w:szCs w:val="28"/>
        </w:rPr>
      </w:pPr>
    </w:p>
    <w:p w14:paraId="795ABB4F" w14:textId="311FF9E7" w:rsidR="00F54BD6" w:rsidRPr="00A74C00" w:rsidRDefault="7CA15B4E" w:rsidP="00A74C00">
      <w:pPr>
        <w:rPr>
          <w:rFonts w:ascii="Times New Roman" w:eastAsia="Calibri" w:hAnsi="Times New Roman" w:cs="Times New Roman"/>
          <w:sz w:val="28"/>
          <w:szCs w:val="28"/>
        </w:rPr>
      </w:pPr>
      <w:r w:rsidRPr="00A74C00">
        <w:rPr>
          <w:rFonts w:ascii="Times New Roman" w:hAnsi="Times New Roman" w:cs="Times New Roman"/>
          <w:b/>
          <w:bCs/>
          <w:sz w:val="28"/>
          <w:szCs w:val="28"/>
        </w:rPr>
        <w:t>Investment 5:</w:t>
      </w:r>
      <w:r w:rsidR="3EDC2FB3" w:rsidRPr="00A74C00">
        <w:rPr>
          <w:rFonts w:ascii="Times New Roman" w:hAnsi="Times New Roman" w:cs="Times New Roman"/>
          <w:b/>
          <w:bCs/>
          <w:sz w:val="28"/>
          <w:szCs w:val="28"/>
        </w:rPr>
        <w:t xml:space="preserve"> </w:t>
      </w:r>
      <w:r w:rsidR="3EDC2FB3" w:rsidRPr="00A74C00">
        <w:rPr>
          <w:rFonts w:ascii="Times New Roman" w:eastAsiaTheme="minorEastAsia" w:hAnsi="Times New Roman" w:cs="Times New Roman"/>
          <w:b/>
          <w:bCs/>
          <w:sz w:val="28"/>
          <w:szCs w:val="28"/>
        </w:rPr>
        <w:t xml:space="preserve">Berkshire Hathaway Inc. </w:t>
      </w:r>
      <w:r w:rsidR="00A74C00">
        <w:rPr>
          <w:rFonts w:ascii="Times New Roman" w:eastAsiaTheme="minorEastAsia" w:hAnsi="Times New Roman" w:cs="Times New Roman"/>
          <w:b/>
          <w:bCs/>
          <w:sz w:val="28"/>
          <w:szCs w:val="28"/>
        </w:rPr>
        <w:t xml:space="preserve">(NYSE: </w:t>
      </w:r>
      <w:r w:rsidR="3EDC2FB3" w:rsidRPr="00A74C00">
        <w:rPr>
          <w:rFonts w:ascii="Times New Roman" w:eastAsiaTheme="minorEastAsia" w:hAnsi="Times New Roman" w:cs="Times New Roman"/>
          <w:b/>
          <w:bCs/>
          <w:sz w:val="28"/>
          <w:szCs w:val="28"/>
        </w:rPr>
        <w:t>BRK-B</w:t>
      </w:r>
      <w:r w:rsidR="00A74C00">
        <w:rPr>
          <w:rFonts w:ascii="Times New Roman" w:eastAsiaTheme="minorEastAsia" w:hAnsi="Times New Roman" w:cs="Times New Roman"/>
          <w:b/>
          <w:bCs/>
          <w:sz w:val="28"/>
          <w:szCs w:val="28"/>
        </w:rPr>
        <w:t>)</w:t>
      </w:r>
    </w:p>
    <w:tbl>
      <w:tblPr>
        <w:tblStyle w:val="TableGrid"/>
        <w:tblW w:w="0" w:type="auto"/>
        <w:tblLayout w:type="fixed"/>
        <w:tblLook w:val="04A0" w:firstRow="1" w:lastRow="0" w:firstColumn="1" w:lastColumn="0" w:noHBand="0" w:noVBand="1"/>
      </w:tblPr>
      <w:tblGrid>
        <w:gridCol w:w="1337"/>
        <w:gridCol w:w="1337"/>
        <w:gridCol w:w="1337"/>
        <w:gridCol w:w="1337"/>
        <w:gridCol w:w="1337"/>
        <w:gridCol w:w="1337"/>
        <w:gridCol w:w="1337"/>
      </w:tblGrid>
      <w:tr w:rsidR="13FF8813" w:rsidRPr="00A74C00" w14:paraId="4FAB93D9" w14:textId="77777777" w:rsidTr="13FF8813">
        <w:trPr>
          <w:trHeight w:val="1095"/>
        </w:trPr>
        <w:tc>
          <w:tcPr>
            <w:tcW w:w="1337" w:type="dxa"/>
            <w:tcBorders>
              <w:top w:val="single" w:sz="8" w:space="0" w:color="auto"/>
              <w:left w:val="single" w:sz="8" w:space="0" w:color="auto"/>
              <w:bottom w:val="single" w:sz="8" w:space="0" w:color="auto"/>
              <w:right w:val="single" w:sz="8" w:space="0" w:color="auto"/>
            </w:tcBorders>
            <w:tcMar>
              <w:left w:w="108" w:type="dxa"/>
              <w:right w:w="108" w:type="dxa"/>
            </w:tcMar>
          </w:tcPr>
          <w:p w14:paraId="1C295A67" w14:textId="483A9D1C" w:rsidR="13FF8813" w:rsidRPr="00A74C00" w:rsidRDefault="13FF8813" w:rsidP="13FF8813">
            <w:pPr>
              <w:jc w:val="center"/>
              <w:rPr>
                <w:rFonts w:ascii="Times New Roman" w:hAnsi="Times New Roman" w:cs="Times New Roman"/>
              </w:rPr>
            </w:pPr>
            <w:r w:rsidRPr="00A74C00">
              <w:rPr>
                <w:rFonts w:ascii="Times New Roman" w:eastAsia="Calibri" w:hAnsi="Times New Roman" w:cs="Times New Roman"/>
              </w:rPr>
              <w:t>4</w:t>
            </w:r>
          </w:p>
        </w:tc>
        <w:tc>
          <w:tcPr>
            <w:tcW w:w="1337" w:type="dxa"/>
            <w:tcBorders>
              <w:top w:val="single" w:sz="8" w:space="0" w:color="auto"/>
              <w:left w:val="single" w:sz="8" w:space="0" w:color="auto"/>
              <w:bottom w:val="single" w:sz="8" w:space="0" w:color="auto"/>
              <w:right w:val="single" w:sz="8" w:space="0" w:color="auto"/>
            </w:tcBorders>
            <w:tcMar>
              <w:left w:w="108" w:type="dxa"/>
              <w:right w:w="108" w:type="dxa"/>
            </w:tcMar>
          </w:tcPr>
          <w:p w14:paraId="238026B7" w14:textId="05C14C5C" w:rsidR="13FF8813" w:rsidRPr="00A74C00" w:rsidRDefault="13FF8813" w:rsidP="13FF8813">
            <w:pPr>
              <w:jc w:val="center"/>
              <w:rPr>
                <w:rFonts w:ascii="Times New Roman" w:hAnsi="Times New Roman" w:cs="Times New Roman"/>
              </w:rPr>
            </w:pPr>
            <w:r w:rsidRPr="00A74C00">
              <w:rPr>
                <w:rFonts w:ascii="Times New Roman" w:eastAsia="Calibri" w:hAnsi="Times New Roman" w:cs="Times New Roman"/>
              </w:rPr>
              <w:t>Berkshire Hathaway Inc.</w:t>
            </w:r>
          </w:p>
        </w:tc>
        <w:tc>
          <w:tcPr>
            <w:tcW w:w="1337" w:type="dxa"/>
            <w:tcBorders>
              <w:top w:val="single" w:sz="8" w:space="0" w:color="auto"/>
              <w:left w:val="single" w:sz="8" w:space="0" w:color="auto"/>
              <w:bottom w:val="single" w:sz="8" w:space="0" w:color="auto"/>
              <w:right w:val="single" w:sz="8" w:space="0" w:color="auto"/>
            </w:tcBorders>
            <w:tcMar>
              <w:left w:w="108" w:type="dxa"/>
              <w:right w:w="108" w:type="dxa"/>
            </w:tcMar>
          </w:tcPr>
          <w:p w14:paraId="17C1547F" w14:textId="18A759D5" w:rsidR="13FF8813" w:rsidRPr="00A74C00" w:rsidRDefault="13FF8813" w:rsidP="13FF8813">
            <w:pPr>
              <w:jc w:val="center"/>
              <w:rPr>
                <w:rFonts w:ascii="Times New Roman" w:hAnsi="Times New Roman" w:cs="Times New Roman"/>
              </w:rPr>
            </w:pPr>
            <w:r w:rsidRPr="00A74C00">
              <w:rPr>
                <w:rFonts w:ascii="Times New Roman" w:eastAsia="Calibri" w:hAnsi="Times New Roman" w:cs="Times New Roman"/>
              </w:rPr>
              <w:t>Individual Stock</w:t>
            </w:r>
          </w:p>
        </w:tc>
        <w:tc>
          <w:tcPr>
            <w:tcW w:w="1337" w:type="dxa"/>
            <w:tcBorders>
              <w:top w:val="single" w:sz="8" w:space="0" w:color="auto"/>
              <w:left w:val="single" w:sz="8" w:space="0" w:color="auto"/>
              <w:bottom w:val="single" w:sz="8" w:space="0" w:color="auto"/>
              <w:right w:val="single" w:sz="8" w:space="0" w:color="auto"/>
            </w:tcBorders>
            <w:tcMar>
              <w:left w:w="108" w:type="dxa"/>
              <w:right w:w="108" w:type="dxa"/>
            </w:tcMar>
          </w:tcPr>
          <w:p w14:paraId="4664D005" w14:textId="0924D2D3" w:rsidR="13FF8813" w:rsidRPr="00A74C00" w:rsidRDefault="13FF8813" w:rsidP="13FF8813">
            <w:pPr>
              <w:jc w:val="center"/>
              <w:rPr>
                <w:rFonts w:ascii="Times New Roman" w:hAnsi="Times New Roman" w:cs="Times New Roman"/>
              </w:rPr>
            </w:pPr>
            <w:r w:rsidRPr="00A74C00">
              <w:rPr>
                <w:rFonts w:ascii="Times New Roman" w:eastAsia="Calibri" w:hAnsi="Times New Roman" w:cs="Times New Roman"/>
              </w:rPr>
              <w:t>NYSE</w:t>
            </w:r>
          </w:p>
        </w:tc>
        <w:tc>
          <w:tcPr>
            <w:tcW w:w="1337" w:type="dxa"/>
            <w:tcBorders>
              <w:top w:val="single" w:sz="8" w:space="0" w:color="auto"/>
              <w:left w:val="single" w:sz="8" w:space="0" w:color="auto"/>
              <w:bottom w:val="single" w:sz="8" w:space="0" w:color="auto"/>
              <w:right w:val="single" w:sz="8" w:space="0" w:color="auto"/>
            </w:tcBorders>
            <w:tcMar>
              <w:left w:w="108" w:type="dxa"/>
              <w:right w:w="108" w:type="dxa"/>
            </w:tcMar>
          </w:tcPr>
          <w:p w14:paraId="198435E3" w14:textId="0E3BD74B" w:rsidR="13FF8813" w:rsidRPr="00A74C00" w:rsidRDefault="13FF8813" w:rsidP="13FF8813">
            <w:pPr>
              <w:jc w:val="center"/>
              <w:rPr>
                <w:rFonts w:ascii="Times New Roman" w:hAnsi="Times New Roman" w:cs="Times New Roman"/>
              </w:rPr>
            </w:pPr>
            <w:r w:rsidRPr="00A74C00">
              <w:rPr>
                <w:rFonts w:ascii="Times New Roman" w:eastAsia="Calibri" w:hAnsi="Times New Roman" w:cs="Times New Roman"/>
              </w:rPr>
              <w:t>Omaha, Nebraska</w:t>
            </w:r>
          </w:p>
        </w:tc>
        <w:tc>
          <w:tcPr>
            <w:tcW w:w="1337" w:type="dxa"/>
            <w:tcBorders>
              <w:top w:val="single" w:sz="8" w:space="0" w:color="auto"/>
              <w:left w:val="single" w:sz="8" w:space="0" w:color="auto"/>
              <w:bottom w:val="single" w:sz="8" w:space="0" w:color="auto"/>
              <w:right w:val="single" w:sz="8" w:space="0" w:color="auto"/>
            </w:tcBorders>
            <w:tcMar>
              <w:left w:w="108" w:type="dxa"/>
              <w:right w:w="108" w:type="dxa"/>
            </w:tcMar>
          </w:tcPr>
          <w:p w14:paraId="5ADB4997" w14:textId="7A581967" w:rsidR="13FF8813" w:rsidRPr="00A74C00" w:rsidRDefault="13FF8813" w:rsidP="13FF8813">
            <w:pPr>
              <w:jc w:val="center"/>
              <w:rPr>
                <w:rFonts w:ascii="Times New Roman" w:hAnsi="Times New Roman" w:cs="Times New Roman"/>
              </w:rPr>
            </w:pPr>
            <w:r w:rsidRPr="00A74C00">
              <w:rPr>
                <w:rFonts w:ascii="Times New Roman" w:eastAsia="Calibri" w:hAnsi="Times New Roman" w:cs="Times New Roman"/>
              </w:rPr>
              <w:t>$8231.06</w:t>
            </w:r>
          </w:p>
        </w:tc>
        <w:tc>
          <w:tcPr>
            <w:tcW w:w="1337" w:type="dxa"/>
            <w:tcBorders>
              <w:top w:val="single" w:sz="8" w:space="0" w:color="auto"/>
              <w:left w:val="single" w:sz="8" w:space="0" w:color="auto"/>
              <w:bottom w:val="single" w:sz="8" w:space="0" w:color="auto"/>
              <w:right w:val="single" w:sz="8" w:space="0" w:color="auto"/>
            </w:tcBorders>
            <w:tcMar>
              <w:left w:w="108" w:type="dxa"/>
              <w:right w:w="108" w:type="dxa"/>
            </w:tcMar>
          </w:tcPr>
          <w:p w14:paraId="7A28B8A2" w14:textId="4A7213F1" w:rsidR="13FF8813" w:rsidRPr="00A74C00" w:rsidRDefault="13FF8813" w:rsidP="13FF8813">
            <w:pPr>
              <w:jc w:val="center"/>
              <w:rPr>
                <w:rFonts w:ascii="Times New Roman" w:hAnsi="Times New Roman" w:cs="Times New Roman"/>
              </w:rPr>
            </w:pPr>
            <w:r w:rsidRPr="00A74C00">
              <w:rPr>
                <w:rFonts w:ascii="Times New Roman" w:eastAsia="Calibri" w:hAnsi="Times New Roman" w:cs="Times New Roman"/>
              </w:rPr>
              <w:t>8.231%</w:t>
            </w:r>
          </w:p>
        </w:tc>
      </w:tr>
    </w:tbl>
    <w:p w14:paraId="5E058004" w14:textId="0E39F20E" w:rsidR="00F54BD6" w:rsidRPr="00A74C00" w:rsidRDefault="00A74C00" w:rsidP="00FB7BFB">
      <w:pPr>
        <w:pStyle w:val="ListParagraph"/>
        <w:numPr>
          <w:ilvl w:val="0"/>
          <w:numId w:val="62"/>
        </w:numPr>
        <w:spacing w:after="200" w:line="276" w:lineRule="auto"/>
        <w:rPr>
          <w:rFonts w:ascii="Times New Roman" w:hAnsi="Times New Roman" w:cs="Times New Roman"/>
        </w:rPr>
      </w:pPr>
      <w:r w:rsidRPr="00A74C00">
        <w:rPr>
          <w:rFonts w:ascii="Times New Roman" w:hAnsi="Times New Roman" w:cs="Times New Roman"/>
        </w:rPr>
        <w:t>Background on Company</w:t>
      </w:r>
    </w:p>
    <w:p w14:paraId="6E7A47A7" w14:textId="5A39B824" w:rsidR="00F54BD6" w:rsidRPr="00504971" w:rsidRDefault="60FA3202" w:rsidP="13FF8813">
      <w:pPr>
        <w:spacing w:after="200" w:line="276" w:lineRule="auto"/>
        <w:rPr>
          <w:rFonts w:ascii="Times New Roman" w:eastAsia="Calibri" w:hAnsi="Times New Roman" w:cs="Times New Roman"/>
        </w:rPr>
      </w:pPr>
      <w:r w:rsidRPr="00504971">
        <w:rPr>
          <w:rFonts w:ascii="Times New Roman" w:eastAsia="Calibri" w:hAnsi="Times New Roman" w:cs="Times New Roman"/>
        </w:rPr>
        <w:t xml:space="preserve">Among other equities, A renowned equity </w:t>
      </w:r>
      <w:r w:rsidR="227BD960" w:rsidRPr="00504971">
        <w:rPr>
          <w:rFonts w:ascii="Times New Roman" w:eastAsia="Calibri" w:hAnsi="Times New Roman" w:cs="Times New Roman"/>
        </w:rPr>
        <w:t>i</w:t>
      </w:r>
      <w:r w:rsidRPr="00504971">
        <w:rPr>
          <w:rFonts w:ascii="Times New Roman" w:eastAsia="Calibri" w:hAnsi="Times New Roman" w:cs="Times New Roman"/>
        </w:rPr>
        <w:t xml:space="preserve">s Berkshire Hathaway Inc. It is an American multinational conglomerate holding company headquartered in Omaha, Nebraska. Founded in 1839 as a textile manufacturing company, it was originally known as the Valley Falls Company. In 1955, it merged with Hathaway Manufacturing to become Berkshire Hathaway. The textile business struggled </w:t>
      </w:r>
      <w:proofErr w:type="gramStart"/>
      <w:r w:rsidRPr="00504971">
        <w:rPr>
          <w:rFonts w:ascii="Times New Roman" w:eastAsia="Calibri" w:hAnsi="Times New Roman" w:cs="Times New Roman"/>
        </w:rPr>
        <w:t>for</w:t>
      </w:r>
      <w:proofErr w:type="gramEnd"/>
      <w:r w:rsidRPr="00504971">
        <w:rPr>
          <w:rFonts w:ascii="Times New Roman" w:eastAsia="Calibri" w:hAnsi="Times New Roman" w:cs="Times New Roman"/>
        </w:rPr>
        <w:t xml:space="preserve"> profitability, and by the mid-20th century, it was facing significant challenges. Moreover, </w:t>
      </w:r>
      <w:proofErr w:type="gramStart"/>
      <w:r w:rsidRPr="00504971">
        <w:rPr>
          <w:rFonts w:ascii="Times New Roman" w:eastAsia="Calibri" w:hAnsi="Times New Roman" w:cs="Times New Roman"/>
        </w:rPr>
        <w:t>In</w:t>
      </w:r>
      <w:proofErr w:type="gramEnd"/>
      <w:r w:rsidRPr="00504971">
        <w:rPr>
          <w:rFonts w:ascii="Times New Roman" w:eastAsia="Calibri" w:hAnsi="Times New Roman" w:cs="Times New Roman"/>
        </w:rPr>
        <w:t xml:space="preserve"> 1965, Warren Buffett, a young investor managing a partnership firm, acquired control of the company. Seeing limited potential in textiles, Buffett gradually shifted Berkshire Hathaway’s focus to investments and acquisitions in diverse industries. The textile operations were eventually phased out in the late 1980s.</w:t>
      </w:r>
    </w:p>
    <w:p w14:paraId="24717304" w14:textId="141C7670"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Today, Berkshire Hathaway is one of the world’s largest companies, renowned for its diversified portfolio and financial strength. It owns and operates numerous subsidiaries across various sectors, including insurance (GEICO), utilities (Berkshire Hathaway Energy), manufacturing, retail, and transportation (BNSF Railway). The company also holds significant equity stakes in global giants like Apple, Coca-Cola, and American Express. Furthermore, Under Warren Buffett’s leadership, Berkshire Hathaway became a symbol of successful value investing, </w:t>
      </w:r>
      <w:r w:rsidRPr="00A74C00">
        <w:rPr>
          <w:rFonts w:ascii="Times New Roman" w:eastAsia="Calibri" w:hAnsi="Times New Roman" w:cs="Times New Roman"/>
        </w:rPr>
        <w:lastRenderedPageBreak/>
        <w:t xml:space="preserve">maintaining a reputation for long-term growth and stability. Its class-A shares are among the most expensive publicly traded stocks in the world, reflecting </w:t>
      </w:r>
      <w:proofErr w:type="gramStart"/>
      <w:r w:rsidRPr="00A74C00">
        <w:rPr>
          <w:rFonts w:ascii="Times New Roman" w:eastAsia="Calibri" w:hAnsi="Times New Roman" w:cs="Times New Roman"/>
        </w:rPr>
        <w:t>its</w:t>
      </w:r>
      <w:proofErr w:type="gramEnd"/>
      <w:r w:rsidRPr="00A74C00">
        <w:rPr>
          <w:rFonts w:ascii="Times New Roman" w:eastAsia="Calibri" w:hAnsi="Times New Roman" w:cs="Times New Roman"/>
        </w:rPr>
        <w:t xml:space="preserve"> immense market value.</w:t>
      </w:r>
    </w:p>
    <w:p w14:paraId="37A132DC" w14:textId="4605CAEC"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b/>
          <w:bCs/>
        </w:rPr>
        <w:t>Reason 1) Valuation Assessment (Low P/E Ratio and Favorable P/E Ratio Comparison to Industry Average)</w:t>
      </w:r>
      <w:r w:rsidRPr="00A74C00">
        <w:rPr>
          <w:rFonts w:ascii="Times New Roman" w:eastAsia="Calibri" w:hAnsi="Times New Roman" w:cs="Times New Roman"/>
          <w:i/>
          <w:iCs/>
        </w:rPr>
        <w:t xml:space="preserve"> </w:t>
      </w:r>
    </w:p>
    <w:p w14:paraId="1D09AA79" w14:textId="7813D647" w:rsidR="00F54BD6" w:rsidRPr="003B689C" w:rsidRDefault="60FA3202" w:rsidP="003B689C">
      <w:pPr>
        <w:spacing w:after="0" w:line="276" w:lineRule="auto"/>
        <w:rPr>
          <w:rFonts w:ascii="Times New Roman" w:eastAsia="Calibri" w:hAnsi="Times New Roman" w:cs="Times New Roman"/>
        </w:rPr>
      </w:pPr>
      <w:r w:rsidRPr="003B689C">
        <w:rPr>
          <w:rFonts w:ascii="Times New Roman" w:eastAsia="Calibri" w:hAnsi="Times New Roman" w:cs="Times New Roman"/>
          <w:b/>
          <w:bCs/>
        </w:rPr>
        <w:t>P/E Ratio Analysis</w:t>
      </w:r>
      <w:r w:rsidRPr="003B689C">
        <w:rPr>
          <w:rFonts w:ascii="Times New Roman" w:eastAsia="Calibri" w:hAnsi="Times New Roman" w:cs="Times New Roman"/>
        </w:rPr>
        <w:t xml:space="preserve">: Berkshire Hathaway's trailing 12-month P/E ratio is approximately </w:t>
      </w:r>
      <w:r w:rsidRPr="003B689C">
        <w:rPr>
          <w:rFonts w:ascii="Times New Roman" w:eastAsia="Calibri" w:hAnsi="Times New Roman" w:cs="Times New Roman"/>
          <w:b/>
          <w:bCs/>
        </w:rPr>
        <w:t>9.5</w:t>
      </w:r>
      <w:r w:rsidRPr="003B689C">
        <w:rPr>
          <w:rFonts w:ascii="Times New Roman" w:eastAsia="Calibri" w:hAnsi="Times New Roman" w:cs="Times New Roman"/>
        </w:rPr>
        <w:t xml:space="preserve">, well below the industry average and other financial peers like American Express (22.11) and Bank of America (17.09). This indicates a conservative valuation relative to earnings, suggesting the stock may be undervalued. </w:t>
      </w:r>
    </w:p>
    <w:p w14:paraId="4E9D5AB0" w14:textId="4F566E49" w:rsidR="00F54BD6" w:rsidRPr="003B689C" w:rsidRDefault="60FA3202" w:rsidP="003B689C">
      <w:pPr>
        <w:spacing w:after="0" w:line="276" w:lineRule="auto"/>
        <w:rPr>
          <w:rFonts w:ascii="Times New Roman" w:eastAsia="Calibri" w:hAnsi="Times New Roman" w:cs="Times New Roman"/>
        </w:rPr>
      </w:pPr>
      <w:r w:rsidRPr="003B689C">
        <w:rPr>
          <w:rFonts w:ascii="Times New Roman" w:eastAsia="Calibri" w:hAnsi="Times New Roman" w:cs="Times New Roman"/>
          <w:b/>
          <w:bCs/>
        </w:rPr>
        <w:t>Industry Comparison</w:t>
      </w:r>
      <w:r w:rsidRPr="003B689C">
        <w:rPr>
          <w:rFonts w:ascii="Times New Roman" w:eastAsia="Calibri" w:hAnsi="Times New Roman" w:cs="Times New Roman"/>
        </w:rPr>
        <w:t xml:space="preserve">: The company's P/E ratio is lower compared to the broader financial services sector and S&amp;P </w:t>
      </w:r>
      <w:proofErr w:type="gramStart"/>
      <w:r w:rsidRPr="003B689C">
        <w:rPr>
          <w:rFonts w:ascii="Times New Roman" w:eastAsia="Calibri" w:hAnsi="Times New Roman" w:cs="Times New Roman"/>
        </w:rPr>
        <w:t>500 average</w:t>
      </w:r>
      <w:proofErr w:type="gramEnd"/>
      <w:r w:rsidRPr="003B689C">
        <w:rPr>
          <w:rFonts w:ascii="Times New Roman" w:eastAsia="Calibri" w:hAnsi="Times New Roman" w:cs="Times New Roman"/>
        </w:rPr>
        <w:t>, reflecting its focus on stable, diversified earnings rather than high-growth opportunities. It aligns with Berkshire's strategy of acquiring undervalued businesses and generating consistent cash flow.</w:t>
      </w:r>
    </w:p>
    <w:p w14:paraId="08E6AC94" w14:textId="07F2E0B7" w:rsidR="00F54BD6" w:rsidRPr="003B689C" w:rsidRDefault="60FA3202" w:rsidP="003B689C">
      <w:pPr>
        <w:spacing w:after="0" w:line="276" w:lineRule="auto"/>
        <w:rPr>
          <w:rFonts w:ascii="Times New Roman" w:hAnsi="Times New Roman" w:cs="Times New Roman"/>
        </w:rPr>
      </w:pPr>
      <w:r w:rsidRPr="003B689C">
        <w:rPr>
          <w:rFonts w:ascii="Times New Roman" w:eastAsia="Calibri" w:hAnsi="Times New Roman" w:cs="Times New Roman"/>
          <w:b/>
          <w:bCs/>
        </w:rPr>
        <w:t>Growth-Adjusted Valuation</w:t>
      </w:r>
      <w:r w:rsidRPr="003B689C">
        <w:rPr>
          <w:rFonts w:ascii="Times New Roman" w:eastAsia="Calibri" w:hAnsi="Times New Roman" w:cs="Times New Roman"/>
        </w:rPr>
        <w:t xml:space="preserve">: Berkshire Hathaway's PEG ratio of </w:t>
      </w:r>
      <w:r w:rsidRPr="003B689C">
        <w:rPr>
          <w:rFonts w:ascii="Times New Roman" w:eastAsia="Calibri" w:hAnsi="Times New Roman" w:cs="Times New Roman"/>
          <w:b/>
          <w:bCs/>
        </w:rPr>
        <w:t>0.2317</w:t>
      </w:r>
      <w:r w:rsidRPr="003B689C">
        <w:rPr>
          <w:rFonts w:ascii="Times New Roman" w:eastAsia="Calibri" w:hAnsi="Times New Roman" w:cs="Times New Roman"/>
        </w:rPr>
        <w:t xml:space="preserve"> demonstrates a strong balance of valuation and growth prospects, where a PEG below 1 generally indicates undervaluation. Coupled with a consistent EPS growth rate near 19.06% for 2024, this signals robust financial health.</w:t>
      </w:r>
    </w:p>
    <w:p w14:paraId="2D4F277F" w14:textId="4ACA203D"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b/>
          <w:bCs/>
        </w:rPr>
        <w:t xml:space="preserve"> </w:t>
      </w:r>
    </w:p>
    <w:p w14:paraId="06377C76" w14:textId="05B4FD2B"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b/>
          <w:bCs/>
        </w:rPr>
        <w:t>Reason 2) Valuation Assessment (Low P/B Ratio and Favorable P/B Ratio Comparison to Industry Average)</w:t>
      </w:r>
      <w:r w:rsidRPr="00A74C00">
        <w:rPr>
          <w:rFonts w:ascii="Times New Roman" w:eastAsia="Calibri" w:hAnsi="Times New Roman" w:cs="Times New Roman"/>
          <w:i/>
          <w:iCs/>
        </w:rPr>
        <w:t xml:space="preserve"> </w:t>
      </w:r>
    </w:p>
    <w:p w14:paraId="2AFF4624" w14:textId="7BFA527F" w:rsidR="00F54BD6" w:rsidRPr="003B689C" w:rsidRDefault="60FA3202" w:rsidP="003B689C">
      <w:pPr>
        <w:spacing w:after="0" w:line="276" w:lineRule="auto"/>
        <w:rPr>
          <w:rFonts w:ascii="Times New Roman" w:eastAsia="Calibri" w:hAnsi="Times New Roman" w:cs="Times New Roman"/>
        </w:rPr>
      </w:pPr>
      <w:r w:rsidRPr="003B689C">
        <w:rPr>
          <w:rFonts w:ascii="Times New Roman" w:eastAsia="Calibri" w:hAnsi="Times New Roman" w:cs="Times New Roman"/>
          <w:b/>
          <w:bCs/>
        </w:rPr>
        <w:t>P/B Ratio</w:t>
      </w:r>
      <w:r w:rsidRPr="003B689C">
        <w:rPr>
          <w:rFonts w:ascii="Times New Roman" w:eastAsia="Calibri" w:hAnsi="Times New Roman" w:cs="Times New Roman"/>
        </w:rPr>
        <w:t xml:space="preserve">: The price-to-book (P/B) ratio of </w:t>
      </w:r>
      <w:r w:rsidRPr="003B689C">
        <w:rPr>
          <w:rFonts w:ascii="Times New Roman" w:eastAsia="Calibri" w:hAnsi="Times New Roman" w:cs="Times New Roman"/>
          <w:b/>
          <w:bCs/>
        </w:rPr>
        <w:t>1.614</w:t>
      </w:r>
      <w:r w:rsidRPr="003B689C">
        <w:rPr>
          <w:rFonts w:ascii="Times New Roman" w:eastAsia="Calibri" w:hAnsi="Times New Roman" w:cs="Times New Roman"/>
        </w:rPr>
        <w:t xml:space="preserve"> indicates Berkshire's shares trade slightly above the book value of its assets, underscoring a modest premium for its diversified holdings and management's reputation. This is competitive within the financial sector.</w:t>
      </w:r>
    </w:p>
    <w:p w14:paraId="6BDC1839" w14:textId="55B23A14" w:rsidR="00F54BD6" w:rsidRPr="003B689C" w:rsidRDefault="60FA3202" w:rsidP="003B689C">
      <w:pPr>
        <w:spacing w:after="0" w:line="276" w:lineRule="auto"/>
        <w:rPr>
          <w:rFonts w:ascii="Times New Roman" w:eastAsia="Calibri" w:hAnsi="Times New Roman" w:cs="Times New Roman"/>
          <w:b/>
          <w:bCs/>
        </w:rPr>
      </w:pPr>
      <w:r w:rsidRPr="003B689C">
        <w:rPr>
          <w:rFonts w:ascii="Times New Roman" w:eastAsia="Calibri" w:hAnsi="Times New Roman" w:cs="Times New Roman"/>
          <w:b/>
          <w:bCs/>
        </w:rPr>
        <w:t>Comparison to other similar companies</w:t>
      </w:r>
      <w:r w:rsidRPr="003B689C">
        <w:rPr>
          <w:rFonts w:ascii="Times New Roman" w:eastAsia="Calibri" w:hAnsi="Times New Roman" w:cs="Times New Roman"/>
        </w:rPr>
        <w:t xml:space="preserve">: Berkshire Hathaway (P/E ratio: 9.51) is undervalued compared to peers like Exxon Mobil (14.29), Chevron (17.43), and Walmart (49.38), reflecting its conservative valuation and focus on steady performance. Its market capitalization of $1.02 trillion far exceeds competitors in the insurance sector, highlighting its scale and diversification across industries like energy, railroads, and manufacturing. With a robust net margin of 28.89%, Berkshire is more profitable than many </w:t>
      </w:r>
      <w:proofErr w:type="gramStart"/>
      <w:r w:rsidRPr="003B689C">
        <w:rPr>
          <w:rFonts w:ascii="Times New Roman" w:eastAsia="Calibri" w:hAnsi="Times New Roman" w:cs="Times New Roman"/>
        </w:rPr>
        <w:t>peers</w:t>
      </w:r>
      <w:proofErr w:type="gramEnd"/>
      <w:r w:rsidRPr="003B689C">
        <w:rPr>
          <w:rFonts w:ascii="Times New Roman" w:eastAsia="Calibri" w:hAnsi="Times New Roman" w:cs="Times New Roman"/>
        </w:rPr>
        <w:t>, although competitors like Progressive demonstrate higher returns on equity. Berkshire’s low P/B ratio underscores its ability to generate strong book value, offering long-term stability and a unique investment profile.</w:t>
      </w:r>
    </w:p>
    <w:p w14:paraId="17984399" w14:textId="346D5AF1" w:rsidR="00F54BD6" w:rsidRPr="003B689C" w:rsidRDefault="60FA3202" w:rsidP="003B689C">
      <w:pPr>
        <w:spacing w:after="0" w:line="276" w:lineRule="auto"/>
        <w:rPr>
          <w:rFonts w:ascii="Times New Roman" w:eastAsia="Calibri" w:hAnsi="Times New Roman" w:cs="Times New Roman"/>
          <w:b/>
          <w:bCs/>
        </w:rPr>
      </w:pPr>
      <w:r w:rsidRPr="003B689C">
        <w:rPr>
          <w:rFonts w:ascii="Times New Roman" w:eastAsia="Calibri" w:hAnsi="Times New Roman" w:cs="Times New Roman"/>
          <w:b/>
          <w:bCs/>
        </w:rPr>
        <w:t>Market Implications</w:t>
      </w:r>
      <w:r w:rsidRPr="003B689C">
        <w:rPr>
          <w:rFonts w:ascii="Times New Roman" w:eastAsia="Calibri" w:hAnsi="Times New Roman" w:cs="Times New Roman"/>
        </w:rPr>
        <w:t>: With a conservative valuation, Berkshire's stock is attractive for long-term investors focused on value and stability rather than rapid growth. Its holdings in various sectors provide diversification, reinforcing its resilience during economic fluctuations</w:t>
      </w:r>
      <w:r w:rsidRPr="003B689C">
        <w:rPr>
          <w:rFonts w:ascii="Times New Roman" w:eastAsia="Calibri" w:hAnsi="Times New Roman" w:cs="Times New Roman"/>
          <w:b/>
          <w:bCs/>
        </w:rPr>
        <w:t xml:space="preserve"> .</w:t>
      </w:r>
    </w:p>
    <w:p w14:paraId="6499A80D" w14:textId="5583F110" w:rsidR="00F54BD6" w:rsidRPr="00A74C00" w:rsidRDefault="00F54BD6" w:rsidP="13FF8813">
      <w:pPr>
        <w:spacing w:after="0" w:line="276" w:lineRule="auto"/>
        <w:rPr>
          <w:rFonts w:ascii="Times New Roman" w:eastAsia="Calibri" w:hAnsi="Times New Roman" w:cs="Times New Roman"/>
          <w:b/>
          <w:bCs/>
        </w:rPr>
      </w:pPr>
    </w:p>
    <w:p w14:paraId="32F793F0" w14:textId="375BF89A" w:rsidR="00F54BD6" w:rsidRPr="00A74C00" w:rsidRDefault="00F54BD6" w:rsidP="13FF8813">
      <w:pPr>
        <w:spacing w:after="0" w:line="276" w:lineRule="auto"/>
        <w:rPr>
          <w:rFonts w:ascii="Times New Roman" w:eastAsia="Calibri" w:hAnsi="Times New Roman" w:cs="Times New Roman"/>
          <w:b/>
          <w:bCs/>
        </w:rPr>
      </w:pPr>
    </w:p>
    <w:p w14:paraId="34F3323B" w14:textId="48166165" w:rsidR="00F54BD6" w:rsidRPr="00A74C00" w:rsidRDefault="51A16337" w:rsidP="13FF8813">
      <w:pPr>
        <w:spacing w:after="0" w:line="276" w:lineRule="auto"/>
        <w:rPr>
          <w:rFonts w:ascii="Times New Roman" w:eastAsia="Calibri" w:hAnsi="Times New Roman" w:cs="Times New Roman"/>
          <w:b/>
          <w:bCs/>
        </w:rPr>
      </w:pPr>
      <w:r w:rsidRPr="00A74C00">
        <w:rPr>
          <w:rFonts w:ascii="Times New Roman" w:hAnsi="Times New Roman" w:cs="Times New Roman"/>
          <w:noProof/>
        </w:rPr>
        <w:lastRenderedPageBreak/>
        <w:drawing>
          <wp:inline distT="0" distB="0" distL="0" distR="0" wp14:anchorId="373054AC" wp14:editId="06E2D4AF">
            <wp:extent cx="5943600" cy="3095625"/>
            <wp:effectExtent l="0" t="0" r="0" b="0"/>
            <wp:docPr id="2054790309" name="Picture 205479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p>
    <w:p w14:paraId="76DA964A" w14:textId="24FC9D9C" w:rsidR="00F54BD6" w:rsidRPr="00A74C00" w:rsidRDefault="60FA3202" w:rsidP="13FF8813">
      <w:pPr>
        <w:spacing w:after="200" w:line="276" w:lineRule="auto"/>
        <w:rPr>
          <w:rFonts w:ascii="Times New Roman" w:eastAsia="Calibri" w:hAnsi="Times New Roman" w:cs="Times New Roman"/>
          <w:i/>
          <w:iCs/>
        </w:rPr>
      </w:pPr>
      <w:r w:rsidRPr="00A74C00">
        <w:rPr>
          <w:rFonts w:ascii="Times New Roman" w:eastAsia="Calibri" w:hAnsi="Times New Roman" w:cs="Times New Roman"/>
          <w:b/>
          <w:bCs/>
        </w:rPr>
        <w:t>Reason 3) Profitability Assessment</w:t>
      </w:r>
      <w:r w:rsidRPr="00A74C00">
        <w:rPr>
          <w:rFonts w:ascii="Times New Roman" w:eastAsia="Calibri" w:hAnsi="Times New Roman" w:cs="Times New Roman"/>
          <w:i/>
          <w:iCs/>
        </w:rPr>
        <w:t xml:space="preserve"> </w:t>
      </w:r>
    </w:p>
    <w:p w14:paraId="4F2DCB6A" w14:textId="7ADDDD68" w:rsidR="00F54BD6" w:rsidRPr="00A74C00" w:rsidRDefault="60FA3202" w:rsidP="13FF8813">
      <w:pPr>
        <w:spacing w:after="200" w:line="276" w:lineRule="auto"/>
        <w:rPr>
          <w:rFonts w:ascii="Times New Roman" w:eastAsia="Calibri" w:hAnsi="Times New Roman" w:cs="Times New Roman"/>
        </w:rPr>
      </w:pPr>
      <w:r w:rsidRPr="00A74C00">
        <w:rPr>
          <w:rFonts w:ascii="Times New Roman" w:eastAsia="Calibri" w:hAnsi="Times New Roman" w:cs="Times New Roman"/>
        </w:rPr>
        <w:t>Berkshire Hathaway demonstrates strong profitability metrics. The company has a profit margin of approximately 28.89%, significantly higher than many industry peers, showcasing its ability to efficiently convert revenues into profits. Its return on equity (ROE) stands at 18.44%, indicating robust shareholder returns driven by effective management and operational efficiency. Moreover, Berkshire Hathaway maintains a gross margin of 37.00% and an operating margin of 37.00%, emphasizing its consistent ability to manage costs while maintaining profitability.</w:t>
      </w:r>
    </w:p>
    <w:p w14:paraId="0B69CA53" w14:textId="3016E054"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The company also exhibits remarkable profitability stability, underpinned by its diverse revenue streams from insurance, utilities, manufacturing, and investment portfolios. This diversification contributes to resilience during economic fluctuations and ensures consistent performance over time. Furthermore, Berkshire Hathaway's net income growth (e.g., a 39.16% increase in trailing 12 months) reinforces its strong financial footing.</w:t>
      </w:r>
    </w:p>
    <w:p w14:paraId="0788E2CF" w14:textId="241B5BF8"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b/>
          <w:bCs/>
        </w:rPr>
        <w:t>Reason 4) Consistent Trailing Dividend Payout or Predictable Income (Bond Consideration)</w:t>
      </w:r>
      <w:r w:rsidRPr="00A74C00">
        <w:rPr>
          <w:rFonts w:ascii="Times New Roman" w:eastAsia="Calibri" w:hAnsi="Times New Roman" w:cs="Times New Roman"/>
          <w:i/>
          <w:iCs/>
        </w:rPr>
        <w:t xml:space="preserve"> </w:t>
      </w:r>
    </w:p>
    <w:p w14:paraId="3E58D8C2" w14:textId="0AC7E8F1"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Berkshire Hathaway is </w:t>
      </w:r>
      <w:r w:rsidRPr="00A74C00">
        <w:rPr>
          <w:rFonts w:ascii="Times New Roman" w:eastAsia="Calibri" w:hAnsi="Times New Roman" w:cs="Times New Roman"/>
          <w:u w:val="single"/>
        </w:rPr>
        <w:t>notable for its lack of traditional dividend payouts</w:t>
      </w:r>
      <w:r w:rsidRPr="00A74C00">
        <w:rPr>
          <w:rFonts w:ascii="Times New Roman" w:eastAsia="Calibri" w:hAnsi="Times New Roman" w:cs="Times New Roman"/>
        </w:rPr>
        <w:t xml:space="preserve">, a strategy driven by Warren Buffett’s philosophy that </w:t>
      </w:r>
      <w:r w:rsidRPr="00A74C00">
        <w:rPr>
          <w:rFonts w:ascii="Times New Roman" w:eastAsia="Calibri" w:hAnsi="Times New Roman" w:cs="Times New Roman"/>
          <w:u w:val="single"/>
        </w:rPr>
        <w:t>reinvesting earnings within the company generates greater long-term returns</w:t>
      </w:r>
      <w:r w:rsidRPr="00A74C00">
        <w:rPr>
          <w:rFonts w:ascii="Times New Roman" w:eastAsia="Calibri" w:hAnsi="Times New Roman" w:cs="Times New Roman"/>
        </w:rPr>
        <w:t xml:space="preserve"> than distributing cash to shareholders. Since 1967, Berkshire has only paid one dividend, a choice justified by its ability to reinvest profits into high-performing assets and acquisitions, such as its stakes in Apple and other high-return ventures </w:t>
      </w:r>
    </w:p>
    <w:p w14:paraId="25141A44" w14:textId="07C9E166"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This approach appeals to investors seeking capital appreciation rather than predictable income streams. Instead of regular dividends, Berkshire provides value through share price appreciation, reflecting its retained earnings and strategic investments. As a result, shareholders benefit </w:t>
      </w:r>
      <w:r w:rsidRPr="00A74C00">
        <w:rPr>
          <w:rFonts w:ascii="Times New Roman" w:eastAsia="Calibri" w:hAnsi="Times New Roman" w:cs="Times New Roman"/>
        </w:rPr>
        <w:lastRenderedPageBreak/>
        <w:t>indirectly from compounding returns as the company efficiently allocates capital across its diverse portfolio.</w:t>
      </w:r>
    </w:p>
    <w:p w14:paraId="225996D0" w14:textId="17D07573"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While Berkshire doesn’t offer predictable income through dividends, its stability, profitability, and stock performance often attract long-term, growth-oriented investors.</w:t>
      </w:r>
    </w:p>
    <w:p w14:paraId="04C0BD14" w14:textId="466F0658"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b/>
          <w:bCs/>
        </w:rPr>
        <w:t>Reason 5) High Market Capitalization</w:t>
      </w:r>
    </w:p>
    <w:p w14:paraId="50F95275" w14:textId="16CDBCF9"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Berkshire Hathaway's market capitalization currently exceeds </w:t>
      </w:r>
      <w:r w:rsidRPr="00A74C00">
        <w:rPr>
          <w:rFonts w:ascii="Times New Roman" w:eastAsia="Calibri" w:hAnsi="Times New Roman" w:cs="Times New Roman"/>
          <w:b/>
          <w:bCs/>
        </w:rPr>
        <w:t>$1 trillion</w:t>
      </w:r>
      <w:r w:rsidRPr="00A74C00">
        <w:rPr>
          <w:rFonts w:ascii="Times New Roman" w:eastAsia="Calibri" w:hAnsi="Times New Roman" w:cs="Times New Roman"/>
        </w:rPr>
        <w:t xml:space="preserve">, </w:t>
      </w:r>
      <w:r w:rsidRPr="00A74C00">
        <w:rPr>
          <w:rFonts w:ascii="Times New Roman" w:eastAsia="Calibri" w:hAnsi="Times New Roman" w:cs="Times New Roman"/>
          <w:u w:val="single"/>
        </w:rPr>
        <w:t>ranking it among the largest companies globally</w:t>
      </w:r>
      <w:r w:rsidRPr="00A74C00">
        <w:rPr>
          <w:rFonts w:ascii="Times New Roman" w:eastAsia="Calibri" w:hAnsi="Times New Roman" w:cs="Times New Roman"/>
        </w:rPr>
        <w:t>. This high market cap reflects its vast scale, diversified portfolio, and strong financial performance. As a conglomerate, Berkshire operates across multiple sectors, including insurance (GEICO), railroads (BNSF), energy, manufacturing, and significant equity stakes in companies like Apple and Coca-Cola</w:t>
      </w:r>
    </w:p>
    <w:p w14:paraId="39508878" w14:textId="38056F64"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The company’s consistent growth in earnings, strategic acquisitions, and robust balance sheet contribute to its immense valuation. Its ability to generate and retain substantial cash flow, reinvesting effectively across various industries, reinforces investor confidence and long-term stability. Additionally, Berkshire's size and strong fundamentals make it a low-volatility, high-value investment, especially appealing during economic uncertainties.</w:t>
      </w:r>
    </w:p>
    <w:p w14:paraId="1A94413A" w14:textId="4AC9417F"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b/>
          <w:bCs/>
        </w:rPr>
        <w:t>Reason 6) Projected Future Long-Term Growth Based on Historical Data.</w:t>
      </w:r>
    </w:p>
    <w:p w14:paraId="5A984E5E" w14:textId="51FC1A20"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Berkshire Hathaway's long-term growth prospects are bolstered by its historical track record of steady performance and prudent investment strategies. Historically, the company's compounded annual growth rate (CAGR) for book value has been approximately 20% over 50 years, although recent years have seen slower growth due to its size and the broader market environment Reason 7) Industry Expert Recommendations. Moreover, Key drivers of projected growth include:</w:t>
      </w:r>
    </w:p>
    <w:p w14:paraId="3A35701B" w14:textId="4C50B1B4" w:rsidR="00F54BD6" w:rsidRPr="00A74C00" w:rsidRDefault="60FA3202" w:rsidP="00FB7BFB">
      <w:pPr>
        <w:pStyle w:val="ListParagraph"/>
        <w:numPr>
          <w:ilvl w:val="0"/>
          <w:numId w:val="54"/>
        </w:numPr>
        <w:spacing w:after="0" w:line="276" w:lineRule="auto"/>
        <w:rPr>
          <w:rFonts w:ascii="Times New Roman" w:eastAsia="Calibri" w:hAnsi="Times New Roman" w:cs="Times New Roman"/>
        </w:rPr>
      </w:pPr>
      <w:r w:rsidRPr="00A74C00">
        <w:rPr>
          <w:rFonts w:ascii="Times New Roman" w:eastAsia="Calibri" w:hAnsi="Times New Roman" w:cs="Times New Roman"/>
          <w:b/>
          <w:bCs/>
        </w:rPr>
        <w:t xml:space="preserve">Strategic Investments: </w:t>
      </w:r>
      <w:r w:rsidRPr="00A74C00">
        <w:rPr>
          <w:rFonts w:ascii="Times New Roman" w:eastAsia="Calibri" w:hAnsi="Times New Roman" w:cs="Times New Roman"/>
        </w:rPr>
        <w:t>With significant stakes in high-growth companies like Apple and a diverse portfolio spanning energy, insurance, and manufacturing, Berkshire is well-positioned for steady returns even in evolving economic landscapes.</w:t>
      </w:r>
    </w:p>
    <w:p w14:paraId="50B9E8D2" w14:textId="16C8E07A" w:rsidR="00F54BD6" w:rsidRPr="00A74C00" w:rsidRDefault="60FA3202" w:rsidP="00FB7BFB">
      <w:pPr>
        <w:pStyle w:val="ListParagraph"/>
        <w:numPr>
          <w:ilvl w:val="0"/>
          <w:numId w:val="54"/>
        </w:numPr>
        <w:spacing w:after="0" w:line="276" w:lineRule="auto"/>
        <w:rPr>
          <w:rFonts w:ascii="Times New Roman" w:eastAsia="Calibri" w:hAnsi="Times New Roman" w:cs="Times New Roman"/>
        </w:rPr>
      </w:pPr>
      <w:r w:rsidRPr="00A74C00">
        <w:rPr>
          <w:rFonts w:ascii="Times New Roman" w:eastAsia="Calibri" w:hAnsi="Times New Roman" w:cs="Times New Roman"/>
          <w:b/>
          <w:bCs/>
        </w:rPr>
        <w:t xml:space="preserve">Cash Reserves for Opportunities: </w:t>
      </w:r>
      <w:r w:rsidRPr="00A74C00">
        <w:rPr>
          <w:rFonts w:ascii="Times New Roman" w:eastAsia="Calibri" w:hAnsi="Times New Roman" w:cs="Times New Roman"/>
        </w:rPr>
        <w:t xml:space="preserve">Berkshire’s robust cash holdings, exceeding $100 billion, enable it to capitalize on undervalued opportunities during market downturns. This aligns with its historical success in acquiring businesses and stocks during times of distress. </w:t>
      </w:r>
    </w:p>
    <w:p w14:paraId="7FD3246B" w14:textId="3AD4AF30" w:rsidR="00F54BD6" w:rsidRPr="00A74C00" w:rsidRDefault="60FA3202" w:rsidP="00FB7BFB">
      <w:pPr>
        <w:pStyle w:val="ListParagraph"/>
        <w:numPr>
          <w:ilvl w:val="0"/>
          <w:numId w:val="54"/>
        </w:numPr>
        <w:spacing w:after="0" w:line="276" w:lineRule="auto"/>
        <w:rPr>
          <w:rFonts w:ascii="Times New Roman" w:eastAsia="Calibri" w:hAnsi="Times New Roman" w:cs="Times New Roman"/>
        </w:rPr>
      </w:pPr>
      <w:r w:rsidRPr="00A74C00">
        <w:rPr>
          <w:rFonts w:ascii="Times New Roman" w:eastAsia="Calibri" w:hAnsi="Times New Roman" w:cs="Times New Roman"/>
          <w:b/>
          <w:bCs/>
        </w:rPr>
        <w:t>Leadership and Operational Model</w:t>
      </w:r>
      <w:r w:rsidRPr="00A74C00">
        <w:rPr>
          <w:rFonts w:ascii="Times New Roman" w:eastAsia="Calibri" w:hAnsi="Times New Roman" w:cs="Times New Roman"/>
        </w:rPr>
        <w:t>: Although succession planning is a key consideration as Warren Buffett and Charlie Munger age, the company’s decentralized management structure and solid leadership pipeline suggest a continued focus on long-term growth. And, while Berkshire's size may temper its growth rate compared to earlier years, its consistency, diversified operations, and disciplined capital allocation underscore its potential for sustainable long-term growth.</w:t>
      </w:r>
    </w:p>
    <w:p w14:paraId="6BC11F39" w14:textId="2F3F1827" w:rsidR="00F54BD6" w:rsidRPr="00A74C00" w:rsidRDefault="00F54BD6" w:rsidP="13FF8813">
      <w:pPr>
        <w:spacing w:after="200" w:line="276" w:lineRule="auto"/>
        <w:rPr>
          <w:rFonts w:ascii="Times New Roman" w:eastAsia="Calibri" w:hAnsi="Times New Roman" w:cs="Times New Roman"/>
          <w:b/>
          <w:bCs/>
        </w:rPr>
      </w:pPr>
    </w:p>
    <w:p w14:paraId="64E14987" w14:textId="10D088E3"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b/>
          <w:bCs/>
        </w:rPr>
        <w:lastRenderedPageBreak/>
        <w:t>Reason 7) Industry Expert Recommendations.</w:t>
      </w:r>
    </w:p>
    <w:p w14:paraId="059532F9" w14:textId="5A844E3F"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Industry expert recommendations for Berkshire Hathaway (BRK.B) stock suggest that it remains a solid long-term investment. Despite its recent performance showing some volatility, Berkshire Hathaway's diverse portfolio and strategic investments, particularly in sectors like insurance, banking, and energy, continue to give it a competitive edge. The stock is typically seen as a reliable choice for conservative investors looking for steady growth and stability, due to its robust management under Warren Buffett. While some experts recommend holding </w:t>
      </w:r>
      <w:proofErr w:type="gramStart"/>
      <w:r w:rsidRPr="00A74C00">
        <w:rPr>
          <w:rFonts w:ascii="Times New Roman" w:eastAsia="Calibri" w:hAnsi="Times New Roman" w:cs="Times New Roman"/>
        </w:rPr>
        <w:t>the stock</w:t>
      </w:r>
      <w:proofErr w:type="gramEnd"/>
      <w:r w:rsidRPr="00A74C00">
        <w:rPr>
          <w:rFonts w:ascii="Times New Roman" w:eastAsia="Calibri" w:hAnsi="Times New Roman" w:cs="Times New Roman"/>
        </w:rPr>
        <w:t>, others see it as slightly overvalued, advising caution at current price levels.</w:t>
      </w:r>
    </w:p>
    <w:p w14:paraId="58073A45" w14:textId="4DEB81A5"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b/>
          <w:bCs/>
        </w:rPr>
        <w:t>Reason 8) Projected Future Long-Term Growth in the Country’s Economy (Macro Factors)</w:t>
      </w:r>
      <w:r w:rsidRPr="00A74C00">
        <w:rPr>
          <w:rFonts w:ascii="Times New Roman" w:eastAsia="Calibri" w:hAnsi="Times New Roman" w:cs="Times New Roman"/>
          <w:i/>
          <w:iCs/>
        </w:rPr>
        <w:t xml:space="preserve"> </w:t>
      </w:r>
    </w:p>
    <w:p w14:paraId="2097D823" w14:textId="44A0899E"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The U.S. economy is projected to grow modestly over the long term, with annual GDP growth rates averaging 1.8% to 2.0% in real terms. Drivers include population growth, technological innovation, and moderate inflation. Berkshire benefits directly from economic stability and growth as its portfolio spans critical sectors like railroads, energy, and financial services. Moreover, </w:t>
      </w:r>
      <w:proofErr w:type="gramStart"/>
      <w:r w:rsidRPr="00A74C00">
        <w:rPr>
          <w:rFonts w:ascii="Times New Roman" w:eastAsia="Calibri" w:hAnsi="Times New Roman" w:cs="Times New Roman"/>
        </w:rPr>
        <w:t>The</w:t>
      </w:r>
      <w:proofErr w:type="gramEnd"/>
      <w:r w:rsidRPr="00A74C00">
        <w:rPr>
          <w:rFonts w:ascii="Times New Roman" w:eastAsia="Calibri" w:hAnsi="Times New Roman" w:cs="Times New Roman"/>
        </w:rPr>
        <w:t xml:space="preserve"> energy transition, supported by government incentives like the Inflation Reduction Act, could provide long-term growth opportunities for Berkshire’s utilities and renewables subsidiaries. Its ownership of BHE (Berkshire Hathaway Energy) positions it to capitalize on increasing demand for clean energy solutions and finally, while predominantly U.S.-focused, Berkshire’s international investments could benefit from growth in emerging markets. Global GDP is projected to grow at higher rates than the U.S., with countries like India and China expected to lead the way. This provides opportunities for Berkshire’s globalized investments. </w:t>
      </w:r>
    </w:p>
    <w:p w14:paraId="0B8C9073" w14:textId="53DFFF3A" w:rsidR="00F54BD6" w:rsidRPr="00A74C00" w:rsidRDefault="60FA3202" w:rsidP="13FF8813">
      <w:pPr>
        <w:spacing w:after="200" w:line="276" w:lineRule="auto"/>
        <w:rPr>
          <w:rFonts w:ascii="Times New Roman" w:eastAsia="Calibri" w:hAnsi="Times New Roman" w:cs="Times New Roman"/>
          <w:b/>
          <w:bCs/>
        </w:rPr>
      </w:pPr>
      <w:r w:rsidRPr="00A74C00">
        <w:rPr>
          <w:rFonts w:ascii="Times New Roman" w:eastAsia="Calibri" w:hAnsi="Times New Roman" w:cs="Times New Roman"/>
        </w:rPr>
        <w:t xml:space="preserve">      </w:t>
      </w:r>
      <w:r w:rsidRPr="00A74C00">
        <w:rPr>
          <w:rFonts w:ascii="Times New Roman" w:eastAsia="Calibri" w:hAnsi="Times New Roman" w:cs="Times New Roman"/>
          <w:b/>
          <w:bCs/>
        </w:rPr>
        <w:t xml:space="preserve"> c)  Investment and portion: (How much </w:t>
      </w:r>
      <w:r w:rsidR="7DA835CA" w:rsidRPr="00A74C00">
        <w:rPr>
          <w:rFonts w:ascii="Times New Roman" w:eastAsia="Calibri" w:hAnsi="Times New Roman" w:cs="Times New Roman"/>
          <w:b/>
          <w:bCs/>
        </w:rPr>
        <w:t>of the portion)</w:t>
      </w:r>
    </w:p>
    <w:p w14:paraId="2DB5C706" w14:textId="27F075DA"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 </w:t>
      </w:r>
    </w:p>
    <w:tbl>
      <w:tblPr>
        <w:tblW w:w="0" w:type="auto"/>
        <w:jc w:val="center"/>
        <w:tblLayout w:type="fixed"/>
        <w:tblLook w:val="04A0" w:firstRow="1" w:lastRow="0" w:firstColumn="1" w:lastColumn="0" w:noHBand="0" w:noVBand="1"/>
      </w:tblPr>
      <w:tblGrid>
        <w:gridCol w:w="1620"/>
        <w:gridCol w:w="1620"/>
        <w:gridCol w:w="1620"/>
        <w:gridCol w:w="1620"/>
        <w:gridCol w:w="1620"/>
      </w:tblGrid>
      <w:tr w:rsidR="13FF8813" w:rsidRPr="00A74C00" w14:paraId="6EE592B7" w14:textId="77777777" w:rsidTr="13FF8813">
        <w:trPr>
          <w:trHeight w:val="300"/>
          <w:jc w:val="center"/>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817A4B" w14:textId="103AD9AF"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Symbol</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2A01D8" w14:textId="59C566DA"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Description</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EA77BA" w14:textId="44D1FAC2"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Transaction</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1F8B1" w14:textId="0B497D9E"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Quantity</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77EB6D" w14:textId="7B7D6F25"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Current Price</w:t>
            </w:r>
          </w:p>
        </w:tc>
      </w:tr>
      <w:tr w:rsidR="13FF8813" w:rsidRPr="00A74C00" w14:paraId="79BCB761" w14:textId="77777777" w:rsidTr="13FF8813">
        <w:trPr>
          <w:trHeight w:val="300"/>
          <w:jc w:val="center"/>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7BC6F0" w14:textId="30DEA176"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BRK-B</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5F7205" w14:textId="7A6BD139"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Berkshire Hathway Inc.</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4C06B2" w14:textId="56333CDC"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Open Market</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80291" w14:textId="51C95DA1"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17</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52D97" w14:textId="0781486C" w:rsidR="13FF8813" w:rsidRPr="00A74C00" w:rsidRDefault="13FF8813" w:rsidP="13FF8813">
            <w:pPr>
              <w:spacing w:after="200" w:line="276" w:lineRule="auto"/>
              <w:jc w:val="center"/>
              <w:rPr>
                <w:rFonts w:ascii="Times New Roman" w:hAnsi="Times New Roman" w:cs="Times New Roman"/>
              </w:rPr>
            </w:pPr>
            <w:r w:rsidRPr="00A74C00">
              <w:rPr>
                <w:rFonts w:ascii="Times New Roman" w:eastAsia="Calibri" w:hAnsi="Times New Roman" w:cs="Times New Roman"/>
              </w:rPr>
              <w:t xml:space="preserve">$ 484.18 (as of Dec 2/2024) </w:t>
            </w:r>
          </w:p>
        </w:tc>
      </w:tr>
    </w:tbl>
    <w:p w14:paraId="3909296D" w14:textId="146A4B07"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  </w:t>
      </w:r>
    </w:p>
    <w:p w14:paraId="63C43BD2" w14:textId="64164364" w:rsidR="00F54BD6" w:rsidRPr="00A74C00" w:rsidRDefault="60FA3202" w:rsidP="13FF8813">
      <w:pPr>
        <w:spacing w:after="200" w:line="276" w:lineRule="auto"/>
        <w:rPr>
          <w:rFonts w:ascii="Times New Roman" w:eastAsia="Times New Roman" w:hAnsi="Times New Roman" w:cs="Times New Roman"/>
        </w:rPr>
      </w:pPr>
      <w:r w:rsidRPr="00A74C00">
        <w:rPr>
          <w:rFonts w:ascii="Times New Roman" w:eastAsia="Calibri" w:hAnsi="Times New Roman" w:cs="Times New Roman"/>
        </w:rPr>
        <w:t xml:space="preserve">We invested $8231.06 into </w:t>
      </w:r>
      <w:proofErr w:type="gramStart"/>
      <w:r w:rsidRPr="00A74C00">
        <w:rPr>
          <w:rFonts w:ascii="Times New Roman" w:eastAsia="Calibri" w:hAnsi="Times New Roman" w:cs="Times New Roman"/>
        </w:rPr>
        <w:t>17 of</w:t>
      </w:r>
      <w:proofErr w:type="gramEnd"/>
      <w:r w:rsidRPr="00A74C00">
        <w:rPr>
          <w:rFonts w:ascii="Times New Roman" w:eastAsia="Calibri" w:hAnsi="Times New Roman" w:cs="Times New Roman"/>
        </w:rPr>
        <w:t xml:space="preserve"> BRK-B Stocks because of the 8 previously stated reasons. We evenly distributed ~8.33% to each of our funds towards 5 out of the 6 stocks we have chosen as we are confident in the diverseness in our portfolio and see them as all attractive investments.  </w:t>
      </w:r>
    </w:p>
    <w:p w14:paraId="0D31A46D" w14:textId="1D11A3AD"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 </w:t>
      </w:r>
      <w:r w:rsidRPr="00A74C00">
        <w:rPr>
          <w:rFonts w:ascii="Times New Roman" w:eastAsia="Calibri" w:hAnsi="Times New Roman" w:cs="Times New Roman"/>
          <w:b/>
          <w:bCs/>
        </w:rPr>
        <w:t xml:space="preserve">   d) Calculation of Expected Return </w:t>
      </w:r>
      <w:r w:rsidRPr="00A74C00">
        <w:rPr>
          <w:rFonts w:ascii="Times New Roman" w:eastAsia="Calibri" w:hAnsi="Times New Roman" w:cs="Times New Roman"/>
        </w:rPr>
        <w:t xml:space="preserve"> </w:t>
      </w:r>
    </w:p>
    <w:p w14:paraId="4AB82DEB" w14:textId="4C29F0E6"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lastRenderedPageBreak/>
        <w:t xml:space="preserve">  Expected Rate of Return = Rf + B*[E(Rm)-Rf)  </w:t>
      </w:r>
    </w:p>
    <w:p w14:paraId="6741B7F6" w14:textId="08DF356C"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  Where:  </w:t>
      </w:r>
    </w:p>
    <w:p w14:paraId="79BFB66D" w14:textId="095E6778" w:rsidR="00F54BD6" w:rsidRPr="00A74C00" w:rsidRDefault="60FA3202" w:rsidP="00FB7BFB">
      <w:pPr>
        <w:pStyle w:val="ListParagraph"/>
        <w:numPr>
          <w:ilvl w:val="0"/>
          <w:numId w:val="53"/>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Rf = Risk-Free Rate = 4.74% (US Treasury 3 Month Bill)  </w:t>
      </w:r>
    </w:p>
    <w:p w14:paraId="5BD2770D" w14:textId="52470EDA" w:rsidR="00F54BD6" w:rsidRPr="00A74C00" w:rsidRDefault="60FA3202" w:rsidP="00FB7BFB">
      <w:pPr>
        <w:pStyle w:val="ListParagraph"/>
        <w:numPr>
          <w:ilvl w:val="0"/>
          <w:numId w:val="52"/>
        </w:numPr>
        <w:spacing w:after="0" w:line="276" w:lineRule="auto"/>
        <w:rPr>
          <w:rFonts w:ascii="Times New Roman" w:eastAsia="Calibri" w:hAnsi="Times New Roman" w:cs="Times New Roman"/>
        </w:rPr>
      </w:pPr>
      <w:r w:rsidRPr="00A74C00">
        <w:rPr>
          <w:rFonts w:ascii="Times New Roman" w:eastAsia="Calibri" w:hAnsi="Times New Roman" w:cs="Times New Roman"/>
        </w:rPr>
        <w:t>B = Beta = 0.87 measure of Berkshire Hathaway</w:t>
      </w:r>
      <w:r w:rsidR="002D6A8C">
        <w:rPr>
          <w:rFonts w:ascii="Times New Roman" w:eastAsia="Calibri" w:hAnsi="Times New Roman" w:cs="Times New Roman"/>
        </w:rPr>
        <w:t>’s</w:t>
      </w:r>
      <w:r w:rsidRPr="00A74C00">
        <w:rPr>
          <w:rFonts w:ascii="Times New Roman" w:eastAsia="Calibri" w:hAnsi="Times New Roman" w:cs="Times New Roman"/>
        </w:rPr>
        <w:t xml:space="preserve"> share price volatility  </w:t>
      </w:r>
    </w:p>
    <w:p w14:paraId="6187B681" w14:textId="3465C23E" w:rsidR="00F54BD6" w:rsidRPr="00A74C00" w:rsidRDefault="60FA3202" w:rsidP="00FB7BFB">
      <w:pPr>
        <w:pStyle w:val="ListParagraph"/>
        <w:numPr>
          <w:ilvl w:val="0"/>
          <w:numId w:val="51"/>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E(Rm) = Expected return on the market = our benchmark which is a 10-year average of </w:t>
      </w:r>
      <w:proofErr w:type="gramStart"/>
      <w:r w:rsidRPr="00A74C00">
        <w:rPr>
          <w:rFonts w:ascii="Times New Roman" w:eastAsia="Calibri" w:hAnsi="Times New Roman" w:cs="Times New Roman"/>
        </w:rPr>
        <w:t>the S</w:t>
      </w:r>
      <w:proofErr w:type="gramEnd"/>
      <w:r w:rsidRPr="00A74C00">
        <w:rPr>
          <w:rFonts w:ascii="Times New Roman" w:eastAsia="Calibri" w:hAnsi="Times New Roman" w:cs="Times New Roman"/>
        </w:rPr>
        <w:t>&amp;P 500 = The average rate of return for the S&amp;P 500 since 2012 is 1</w:t>
      </w:r>
      <w:r w:rsidR="002D6A8C">
        <w:rPr>
          <w:rFonts w:ascii="Times New Roman" w:eastAsia="Calibri" w:hAnsi="Times New Roman" w:cs="Times New Roman"/>
        </w:rPr>
        <w:t>3.22</w:t>
      </w:r>
      <w:r w:rsidRPr="00A74C00">
        <w:rPr>
          <w:rFonts w:ascii="Times New Roman" w:eastAsia="Calibri" w:hAnsi="Times New Roman" w:cs="Times New Roman"/>
        </w:rPr>
        <w:t xml:space="preserve">%  </w:t>
      </w:r>
    </w:p>
    <w:p w14:paraId="52A36213" w14:textId="1B7A8B94"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  </w:t>
      </w:r>
    </w:p>
    <w:p w14:paraId="36C65EC9" w14:textId="5EC42985"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Therefore:  </w:t>
      </w:r>
    </w:p>
    <w:p w14:paraId="445F5720" w14:textId="7C976E4E"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4BBE3FEB" w14:textId="0F8A29BF"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4.74% + 0.87 * [1</w:t>
      </w:r>
      <w:r w:rsidR="002D6A8C">
        <w:rPr>
          <w:rFonts w:ascii="Times New Roman" w:eastAsia="Calibri" w:hAnsi="Times New Roman" w:cs="Times New Roman"/>
        </w:rPr>
        <w:t>3.22</w:t>
      </w:r>
      <w:r w:rsidRPr="00A74C00">
        <w:rPr>
          <w:rFonts w:ascii="Times New Roman" w:eastAsia="Calibri" w:hAnsi="Times New Roman" w:cs="Times New Roman"/>
        </w:rPr>
        <w:t xml:space="preserve">%-4.74%]  </w:t>
      </w:r>
    </w:p>
    <w:p w14:paraId="1B2BD7E9" w14:textId="6DD3B8E4" w:rsidR="00F54BD6" w:rsidRPr="00A74C00" w:rsidRDefault="60FA3202" w:rsidP="13FF8813">
      <w:pPr>
        <w:spacing w:after="200" w:line="276" w:lineRule="auto"/>
        <w:rPr>
          <w:rFonts w:ascii="Times New Roman" w:hAnsi="Times New Roman" w:cs="Times New Roman"/>
        </w:rPr>
      </w:pPr>
      <w:r w:rsidRPr="00A74C00">
        <w:rPr>
          <w:rFonts w:ascii="Times New Roman" w:eastAsia="Calibri" w:hAnsi="Times New Roman" w:cs="Times New Roman"/>
        </w:rPr>
        <w:t xml:space="preserve">= </w:t>
      </w:r>
      <w:r w:rsidRPr="003B689C">
        <w:rPr>
          <w:rFonts w:ascii="Times New Roman" w:eastAsia="Calibri" w:hAnsi="Times New Roman" w:cs="Times New Roman"/>
          <w:highlight w:val="lightGray"/>
        </w:rPr>
        <w:t>1</w:t>
      </w:r>
      <w:r w:rsidR="007311E6">
        <w:rPr>
          <w:rFonts w:ascii="Times New Roman" w:eastAsia="Calibri" w:hAnsi="Times New Roman" w:cs="Times New Roman"/>
          <w:highlight w:val="lightGray"/>
        </w:rPr>
        <w:t>2.12</w:t>
      </w:r>
      <w:r w:rsidRPr="003B689C">
        <w:rPr>
          <w:rFonts w:ascii="Times New Roman" w:eastAsia="Calibri" w:hAnsi="Times New Roman" w:cs="Times New Roman"/>
          <w:highlight w:val="lightGray"/>
        </w:rPr>
        <w:t>%</w:t>
      </w:r>
      <w:r w:rsidRPr="00A74C00">
        <w:rPr>
          <w:rFonts w:ascii="Times New Roman" w:eastAsia="Calibri" w:hAnsi="Times New Roman" w:cs="Times New Roman"/>
        </w:rPr>
        <w:t xml:space="preserve"> </w:t>
      </w:r>
    </w:p>
    <w:p w14:paraId="6F101656" w14:textId="77777777" w:rsidR="00F54BD6" w:rsidRDefault="00F54BD6" w:rsidP="00F54BD6"/>
    <w:p w14:paraId="44B6BBB1" w14:textId="41BD8447" w:rsidR="00F54BD6" w:rsidRPr="007311E6" w:rsidRDefault="7CA15B4E" w:rsidP="13FF8813">
      <w:pPr>
        <w:rPr>
          <w:rFonts w:ascii="Times New Roman" w:hAnsi="Times New Roman" w:cs="Times New Roman"/>
        </w:rPr>
      </w:pPr>
      <w:r w:rsidRPr="007311E6">
        <w:rPr>
          <w:rFonts w:ascii="Times New Roman" w:hAnsi="Times New Roman" w:cs="Times New Roman"/>
          <w:b/>
          <w:bCs/>
          <w:sz w:val="28"/>
          <w:szCs w:val="28"/>
        </w:rPr>
        <w:t>I</w:t>
      </w:r>
      <w:r w:rsidRPr="007311E6">
        <w:rPr>
          <w:rFonts w:ascii="Times New Roman" w:eastAsiaTheme="minorEastAsia" w:hAnsi="Times New Roman" w:cs="Times New Roman"/>
          <w:b/>
          <w:bCs/>
          <w:sz w:val="28"/>
          <w:szCs w:val="28"/>
        </w:rPr>
        <w:t>nvestment 6:</w:t>
      </w:r>
      <w:r w:rsidR="3F7CC779" w:rsidRPr="007311E6">
        <w:rPr>
          <w:rFonts w:ascii="Times New Roman" w:eastAsiaTheme="minorEastAsia" w:hAnsi="Times New Roman" w:cs="Times New Roman"/>
          <w:b/>
          <w:bCs/>
          <w:sz w:val="28"/>
          <w:szCs w:val="28"/>
        </w:rPr>
        <w:t xml:space="preserve"> Vanguard Tax-Exempt Bond Index Fund ETF (VTEB)</w:t>
      </w:r>
    </w:p>
    <w:p w14:paraId="7E229F8E" w14:textId="01B962AA" w:rsidR="00F54BD6" w:rsidRDefault="3AAABC99" w:rsidP="00C66133">
      <w:pPr>
        <w:spacing w:after="200" w:line="276" w:lineRule="auto"/>
        <w:jc w:val="center"/>
      </w:pPr>
      <w:r>
        <w:rPr>
          <w:noProof/>
        </w:rPr>
        <w:drawing>
          <wp:inline distT="0" distB="0" distL="0" distR="0" wp14:anchorId="27D8EFF6" wp14:editId="5EBDF4FD">
            <wp:extent cx="5944116" cy="2103302"/>
            <wp:effectExtent l="0" t="0" r="0" b="0"/>
            <wp:docPr id="893134677" name="Picture 893134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4116" cy="2103302"/>
                    </a:xfrm>
                    <a:prstGeom prst="rect">
                      <a:avLst/>
                    </a:prstGeom>
                  </pic:spPr>
                </pic:pic>
              </a:graphicData>
            </a:graphic>
          </wp:inline>
        </w:drawing>
      </w:r>
    </w:p>
    <w:p w14:paraId="0BD64FD3" w14:textId="1F3EE49E" w:rsidR="00F54BD6" w:rsidRPr="00C97F4F" w:rsidRDefault="3F7CC779" w:rsidP="13FF8813">
      <w:pPr>
        <w:spacing w:after="200" w:line="276" w:lineRule="auto"/>
        <w:rPr>
          <w:rFonts w:ascii="Times New Roman" w:eastAsiaTheme="minorEastAsia" w:hAnsi="Times New Roman" w:cs="Times New Roman"/>
          <w:b/>
          <w:bCs/>
        </w:rPr>
      </w:pPr>
      <w:r w:rsidRPr="13FF8813">
        <w:rPr>
          <w:rFonts w:ascii="Times New Roman" w:eastAsia="Times New Roman" w:hAnsi="Times New Roman" w:cs="Times New Roman"/>
          <w:b/>
          <w:bCs/>
        </w:rPr>
        <w:t>a</w:t>
      </w:r>
      <w:r w:rsidRPr="13FF8813">
        <w:rPr>
          <w:rFonts w:eastAsiaTheme="minorEastAsia"/>
          <w:b/>
          <w:bCs/>
          <w:sz w:val="22"/>
          <w:szCs w:val="22"/>
        </w:rPr>
        <w:t xml:space="preserve">) </w:t>
      </w:r>
      <w:r w:rsidRPr="00C97F4F">
        <w:rPr>
          <w:rFonts w:ascii="Times New Roman" w:eastAsiaTheme="minorEastAsia" w:hAnsi="Times New Roman" w:cs="Times New Roman"/>
          <w:b/>
          <w:bCs/>
        </w:rPr>
        <w:t xml:space="preserve">Background </w:t>
      </w:r>
      <w:r w:rsidR="003F182C" w:rsidRPr="00C97F4F">
        <w:rPr>
          <w:rFonts w:ascii="Times New Roman" w:eastAsiaTheme="minorEastAsia" w:hAnsi="Times New Roman" w:cs="Times New Roman"/>
          <w:b/>
          <w:bCs/>
        </w:rPr>
        <w:t>on the Bond</w:t>
      </w:r>
      <w:r w:rsidRPr="00C97F4F">
        <w:rPr>
          <w:rFonts w:ascii="Times New Roman" w:eastAsiaTheme="minorEastAsia" w:hAnsi="Times New Roman" w:cs="Times New Roman"/>
          <w:b/>
          <w:bCs/>
        </w:rPr>
        <w:t xml:space="preserve"> </w:t>
      </w:r>
    </w:p>
    <w:p w14:paraId="15DCBB05" w14:textId="3AE80139" w:rsidR="00F54BD6" w:rsidRPr="00C97F4F" w:rsidRDefault="3F7CC779" w:rsidP="13FF8813">
      <w:pPr>
        <w:spacing w:before="240" w:after="240"/>
        <w:rPr>
          <w:rFonts w:ascii="Times New Roman" w:eastAsia="Calibri" w:hAnsi="Times New Roman" w:cs="Times New Roman"/>
        </w:rPr>
      </w:pPr>
      <w:r w:rsidRPr="00C97F4F">
        <w:rPr>
          <w:rFonts w:ascii="Times New Roman" w:eastAsia="Calibri" w:hAnsi="Times New Roman" w:cs="Times New Roman"/>
        </w:rPr>
        <w:t>The Vanguard Tax-Exempt Bond Index Fund ETF (VTEB) is managed by Vanguard Group, one of the largest and most respected investment management companies in the world. Founded in 1975 by John C. Bogle, Vanguard is renowned for its low-cost investment philosophy and focus on index funds and ETFs. As of 2024, Vanguard manages over $8 trillion in global assets. Moreover, VTEB was launched on August 21, 2015, and is designed to offer investors exposure to the U.S. municipal bond market while providing tax advantages. It tracks the S&amp;P National AMT-Free Municipal Bond Index, which comprises investment-grade municipal bonds exempt from federal income taxes. This feature makes VTEB particularly attractive to high-income investors looking for tax-efficient income.</w:t>
      </w:r>
    </w:p>
    <w:p w14:paraId="588849DD" w14:textId="5496D2A7" w:rsidR="00F54BD6" w:rsidRPr="00C97F4F" w:rsidRDefault="3F7CC779" w:rsidP="00FB7BFB">
      <w:pPr>
        <w:pStyle w:val="ListParagraph"/>
        <w:numPr>
          <w:ilvl w:val="0"/>
          <w:numId w:val="50"/>
        </w:numPr>
        <w:spacing w:after="0" w:line="276" w:lineRule="auto"/>
        <w:rPr>
          <w:rFonts w:ascii="Times New Roman" w:eastAsia="Calibri" w:hAnsi="Times New Roman" w:cs="Times New Roman"/>
        </w:rPr>
      </w:pPr>
      <w:r w:rsidRPr="00C97F4F">
        <w:rPr>
          <w:rFonts w:ascii="Times New Roman" w:eastAsia="Calibri" w:hAnsi="Times New Roman" w:cs="Times New Roman"/>
        </w:rPr>
        <w:lastRenderedPageBreak/>
        <w:t>Cost-efficiency: It maintains an expense ratio of 0.05%, significantly lower than the industry average.</w:t>
      </w:r>
    </w:p>
    <w:p w14:paraId="36FDED7F" w14:textId="150C65A7" w:rsidR="00F54BD6" w:rsidRPr="00C97F4F" w:rsidRDefault="3F7CC779" w:rsidP="00FB7BFB">
      <w:pPr>
        <w:pStyle w:val="ListParagraph"/>
        <w:numPr>
          <w:ilvl w:val="0"/>
          <w:numId w:val="50"/>
        </w:numPr>
        <w:spacing w:after="0" w:line="276" w:lineRule="auto"/>
        <w:rPr>
          <w:rFonts w:ascii="Times New Roman" w:eastAsia="Calibri" w:hAnsi="Times New Roman" w:cs="Times New Roman"/>
        </w:rPr>
      </w:pPr>
      <w:r w:rsidRPr="00C97F4F">
        <w:rPr>
          <w:rFonts w:ascii="Times New Roman" w:eastAsia="Calibri" w:hAnsi="Times New Roman" w:cs="Times New Roman"/>
        </w:rPr>
        <w:t>Diverse portfolio: It invests in over 6,000 municipal bonds across various sectors, including infrastructure, healthcare, and education.</w:t>
      </w:r>
    </w:p>
    <w:p w14:paraId="39085ACD" w14:textId="7D1FA2A5" w:rsidR="00F54BD6" w:rsidRPr="00C97F4F" w:rsidRDefault="3F7CC779" w:rsidP="00FB7BFB">
      <w:pPr>
        <w:pStyle w:val="ListParagraph"/>
        <w:numPr>
          <w:ilvl w:val="0"/>
          <w:numId w:val="50"/>
        </w:numPr>
        <w:spacing w:after="0" w:line="276" w:lineRule="auto"/>
        <w:rPr>
          <w:rFonts w:ascii="Times New Roman" w:eastAsia="Calibri" w:hAnsi="Times New Roman" w:cs="Times New Roman"/>
        </w:rPr>
      </w:pPr>
      <w:r w:rsidRPr="00C97F4F">
        <w:rPr>
          <w:rFonts w:ascii="Times New Roman" w:eastAsia="Calibri" w:hAnsi="Times New Roman" w:cs="Times New Roman"/>
        </w:rPr>
        <w:t xml:space="preserve">Stability and liquidity: VTEB offers daily liquidity due to its ETF structure, combined with the reliability of investment-grade bonds. </w:t>
      </w:r>
    </w:p>
    <w:p w14:paraId="579364A8" w14:textId="71AD13A1" w:rsidR="00F54BD6" w:rsidRPr="00C97F4F" w:rsidRDefault="3F7CC779" w:rsidP="13FF8813">
      <w:pPr>
        <w:spacing w:after="200" w:line="276" w:lineRule="auto"/>
        <w:rPr>
          <w:rFonts w:ascii="Times New Roman" w:eastAsia="Calibri" w:hAnsi="Times New Roman" w:cs="Times New Roman"/>
          <w:b/>
          <w:bCs/>
        </w:rPr>
      </w:pPr>
      <w:r w:rsidRPr="00C97F4F">
        <w:rPr>
          <w:rFonts w:ascii="Times New Roman" w:eastAsia="Calibri" w:hAnsi="Times New Roman" w:cs="Times New Roman"/>
          <w:b/>
          <w:bCs/>
        </w:rPr>
        <w:t xml:space="preserve"> </w:t>
      </w:r>
    </w:p>
    <w:p w14:paraId="53D54F5A" w14:textId="4B370B5B" w:rsidR="00F54BD6" w:rsidRPr="00C97F4F" w:rsidRDefault="3F7CC779" w:rsidP="13FF8813">
      <w:pPr>
        <w:spacing w:after="200" w:line="276" w:lineRule="auto"/>
        <w:rPr>
          <w:rFonts w:ascii="Times New Roman" w:eastAsia="Calibri" w:hAnsi="Times New Roman" w:cs="Times New Roman"/>
          <w:b/>
          <w:bCs/>
        </w:rPr>
      </w:pPr>
      <w:r w:rsidRPr="00C97F4F">
        <w:rPr>
          <w:rFonts w:ascii="Times New Roman" w:eastAsia="Calibri" w:hAnsi="Times New Roman" w:cs="Times New Roman"/>
          <w:b/>
          <w:bCs/>
        </w:rPr>
        <w:t>Reason 1) Valuation Assessment</w:t>
      </w:r>
    </w:p>
    <w:p w14:paraId="45C31FF8" w14:textId="3D9FF3CF"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Portfolio Composition: VTEB primarily invests in investment-grade bonds (BBB and higher), ensuring relatively low risk. Over 70% of its portfolio typically consists of bonds rated AA or AAA, reflecting strong creditworthiness. </w:t>
      </w:r>
    </w:p>
    <w:p w14:paraId="5AD79C88" w14:textId="3C01748B"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Expense Ratio: At 0.05%, VTEB is among the most cost-effective municipal bond ETFs. This low cost enhances net returns, particularly over the long term.</w:t>
      </w:r>
    </w:p>
    <w:p w14:paraId="33133EF1" w14:textId="20ED7B00"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Assets Under Management (AUM): VTEB manages over $20 billion in assets, reflecting its popularity and liquidity in the municipal bond market.</w:t>
      </w:r>
    </w:p>
    <w:p w14:paraId="63E78FE8" w14:textId="5BC7B0DB"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Reason 2) Valuation Assessment (Low P/NAV Ratio and Favorable Comparison to Industry Average) </w:t>
      </w:r>
    </w:p>
    <w:p w14:paraId="05CAF342" w14:textId="7834BE88" w:rsidR="00F54BD6" w:rsidRPr="00C97F4F" w:rsidRDefault="3F7CC779" w:rsidP="00FB7BFB">
      <w:pPr>
        <w:pStyle w:val="ListParagraph"/>
        <w:numPr>
          <w:ilvl w:val="0"/>
          <w:numId w:val="49"/>
        </w:numPr>
        <w:spacing w:after="0" w:line="276" w:lineRule="auto"/>
        <w:rPr>
          <w:rFonts w:ascii="Times New Roman" w:eastAsia="Calibri" w:hAnsi="Times New Roman" w:cs="Times New Roman"/>
        </w:rPr>
      </w:pPr>
      <w:r w:rsidRPr="00C97F4F">
        <w:rPr>
          <w:rFonts w:ascii="Times New Roman" w:eastAsia="Calibri" w:hAnsi="Times New Roman" w:cs="Times New Roman"/>
        </w:rPr>
        <w:t>Low P/NAV Ratio : For ETFs, the Price-to-NAV ratio (analogous to P/B) is key, VTEB typically trades very close to its NAV due to its high liquidity and transparency. Deviations are minimal, often within 0.01%-0.05%, reflecting fair pricing.</w:t>
      </w:r>
    </w:p>
    <w:p w14:paraId="718F9D91" w14:textId="2C191F1C" w:rsidR="00F54BD6" w:rsidRPr="00C97F4F" w:rsidRDefault="3F7CC779" w:rsidP="13FF8813">
      <w:pPr>
        <w:spacing w:after="200"/>
        <w:rPr>
          <w:rFonts w:ascii="Times New Roman" w:eastAsia="Calibri" w:hAnsi="Times New Roman" w:cs="Times New Roman"/>
        </w:rPr>
      </w:pPr>
      <w:r w:rsidRPr="00C97F4F">
        <w:rPr>
          <w:rFonts w:ascii="Times New Roman" w:eastAsia="Calibri" w:hAnsi="Times New Roman" w:cs="Times New Roman"/>
        </w:rPr>
        <w:t>Key Insight: This low deviation indicates efficient pricing and makes VTEB attractive compared to less</w:t>
      </w:r>
      <w:r w:rsidR="00EF3634" w:rsidRPr="00C97F4F">
        <w:rPr>
          <w:rFonts w:ascii="Times New Roman" w:eastAsia="Calibri" w:hAnsi="Times New Roman" w:cs="Times New Roman"/>
        </w:rPr>
        <w:t xml:space="preserve"> </w:t>
      </w:r>
      <w:r w:rsidRPr="00C97F4F">
        <w:rPr>
          <w:rFonts w:ascii="Times New Roman" w:eastAsia="Calibri" w:hAnsi="Times New Roman" w:cs="Times New Roman"/>
        </w:rPr>
        <w:t xml:space="preserve">liquid municipal bond funds. </w:t>
      </w:r>
    </w:p>
    <w:p w14:paraId="40981CB3" w14:textId="52822627" w:rsidR="00F54BD6" w:rsidRPr="00C97F4F" w:rsidRDefault="3F7CC779" w:rsidP="13FF8813">
      <w:pPr>
        <w:spacing w:after="200"/>
        <w:rPr>
          <w:rFonts w:ascii="Times New Roman" w:eastAsia="Calibri" w:hAnsi="Times New Roman" w:cs="Times New Roman"/>
          <w:b/>
          <w:bCs/>
        </w:rPr>
      </w:pPr>
      <w:r w:rsidRPr="00C97F4F">
        <w:rPr>
          <w:rFonts w:ascii="Times New Roman" w:eastAsia="Calibri" w:hAnsi="Times New Roman" w:cs="Times New Roman"/>
          <w:b/>
          <w:bCs/>
        </w:rPr>
        <w:t xml:space="preserve">Comparison </w:t>
      </w:r>
      <w:proofErr w:type="gramStart"/>
      <w:r w:rsidRPr="00C97F4F">
        <w:rPr>
          <w:rFonts w:ascii="Times New Roman" w:eastAsia="Calibri" w:hAnsi="Times New Roman" w:cs="Times New Roman"/>
          <w:b/>
          <w:bCs/>
        </w:rPr>
        <w:t>to</w:t>
      </w:r>
      <w:proofErr w:type="gramEnd"/>
      <w:r w:rsidRPr="00C97F4F">
        <w:rPr>
          <w:rFonts w:ascii="Times New Roman" w:eastAsia="Calibri" w:hAnsi="Times New Roman" w:cs="Times New Roman"/>
          <w:b/>
          <w:bCs/>
        </w:rPr>
        <w:t xml:space="preserve"> Industry Average:</w:t>
      </w:r>
    </w:p>
    <w:p w14:paraId="20D838C0" w14:textId="536928CA" w:rsidR="00F54BD6" w:rsidRPr="00C97F4F" w:rsidRDefault="3F7CC779" w:rsidP="00FB7BFB">
      <w:pPr>
        <w:pStyle w:val="ListParagraph"/>
        <w:numPr>
          <w:ilvl w:val="0"/>
          <w:numId w:val="48"/>
        </w:numPr>
        <w:spacing w:after="0"/>
        <w:rPr>
          <w:rFonts w:ascii="Times New Roman" w:eastAsia="Calibri" w:hAnsi="Times New Roman" w:cs="Times New Roman"/>
        </w:rPr>
      </w:pPr>
      <w:r w:rsidRPr="00C97F4F">
        <w:rPr>
          <w:rFonts w:ascii="Times New Roman" w:eastAsia="Calibri" w:hAnsi="Times New Roman" w:cs="Times New Roman"/>
        </w:rPr>
        <w:t>Expense Ratio: At 0.05%, VTEB's expense ratio is significantly below the municipal bond ETF industry average (~0.25%-0.35%), enhancing net returns for investors.</w:t>
      </w:r>
    </w:p>
    <w:p w14:paraId="151FFE8F" w14:textId="6E262878" w:rsidR="00F54BD6" w:rsidRPr="00C97F4F" w:rsidRDefault="3F7CC779" w:rsidP="00FB7BFB">
      <w:pPr>
        <w:pStyle w:val="ListParagraph"/>
        <w:numPr>
          <w:ilvl w:val="0"/>
          <w:numId w:val="48"/>
        </w:numPr>
        <w:spacing w:after="0"/>
        <w:rPr>
          <w:rFonts w:ascii="Times New Roman" w:eastAsia="Calibri" w:hAnsi="Times New Roman" w:cs="Times New Roman"/>
        </w:rPr>
      </w:pPr>
      <w:r w:rsidRPr="00C97F4F">
        <w:rPr>
          <w:rFonts w:ascii="Times New Roman" w:eastAsia="Calibri" w:hAnsi="Times New Roman" w:cs="Times New Roman"/>
        </w:rPr>
        <w:t xml:space="preserve">Liquidity and Spread: VTEB offers tight bid-ask spreads due to its high trading volume, making it more cost-efficient compared to </w:t>
      </w:r>
      <w:proofErr w:type="gramStart"/>
      <w:r w:rsidRPr="00C97F4F">
        <w:rPr>
          <w:rFonts w:ascii="Times New Roman" w:eastAsia="Calibri" w:hAnsi="Times New Roman" w:cs="Times New Roman"/>
        </w:rPr>
        <w:t>peers</w:t>
      </w:r>
      <w:proofErr w:type="gramEnd"/>
      <w:r w:rsidRPr="00C97F4F">
        <w:rPr>
          <w:rFonts w:ascii="Times New Roman" w:eastAsia="Calibri" w:hAnsi="Times New Roman" w:cs="Times New Roman"/>
        </w:rPr>
        <w:t>.</w:t>
      </w:r>
    </w:p>
    <w:p w14:paraId="319D7E4C" w14:textId="4DE96880" w:rsidR="00F54BD6" w:rsidRPr="00C97F4F" w:rsidRDefault="3F7CC779" w:rsidP="00FB7BFB">
      <w:pPr>
        <w:pStyle w:val="ListParagraph"/>
        <w:numPr>
          <w:ilvl w:val="0"/>
          <w:numId w:val="48"/>
        </w:numPr>
        <w:spacing w:after="0"/>
        <w:rPr>
          <w:rFonts w:ascii="Times New Roman" w:eastAsia="Calibri" w:hAnsi="Times New Roman" w:cs="Times New Roman"/>
        </w:rPr>
      </w:pPr>
      <w:r w:rsidRPr="00C97F4F">
        <w:rPr>
          <w:rFonts w:ascii="Times New Roman" w:eastAsia="Calibri" w:hAnsi="Times New Roman" w:cs="Times New Roman"/>
        </w:rPr>
        <w:t xml:space="preserve">Yield Comparison: While yields depend on the municipal bond market, VTEB’s yields are competitive </w:t>
      </w:r>
      <w:proofErr w:type="gramStart"/>
      <w:r w:rsidRPr="00C97F4F">
        <w:rPr>
          <w:rFonts w:ascii="Times New Roman" w:eastAsia="Calibri" w:hAnsi="Times New Roman" w:cs="Times New Roman"/>
        </w:rPr>
        <w:t>relative</w:t>
      </w:r>
      <w:proofErr w:type="gramEnd"/>
      <w:r w:rsidRPr="00C97F4F">
        <w:rPr>
          <w:rFonts w:ascii="Times New Roman" w:eastAsia="Calibri" w:hAnsi="Times New Roman" w:cs="Times New Roman"/>
        </w:rPr>
        <w:t xml:space="preserve"> to other broad-based municipal bond ETFs.</w:t>
      </w:r>
    </w:p>
    <w:p w14:paraId="7737CC78" w14:textId="77777777" w:rsidR="00C97F4F" w:rsidRDefault="00C97F4F" w:rsidP="13FF8813">
      <w:pPr>
        <w:spacing w:after="200"/>
        <w:rPr>
          <w:rFonts w:ascii="Times New Roman" w:eastAsia="Calibri" w:hAnsi="Times New Roman" w:cs="Times New Roman"/>
          <w:b/>
          <w:bCs/>
        </w:rPr>
      </w:pPr>
    </w:p>
    <w:p w14:paraId="31566537" w14:textId="5C6A5B27" w:rsidR="00F54BD6" w:rsidRPr="00C97F4F" w:rsidRDefault="3F7CC779" w:rsidP="13FF8813">
      <w:pPr>
        <w:spacing w:after="200"/>
        <w:rPr>
          <w:rFonts w:ascii="Times New Roman" w:eastAsia="Calibri" w:hAnsi="Times New Roman" w:cs="Times New Roman"/>
          <w:b/>
          <w:bCs/>
        </w:rPr>
      </w:pPr>
      <w:r w:rsidRPr="00C97F4F">
        <w:rPr>
          <w:rFonts w:ascii="Times New Roman" w:eastAsia="Calibri" w:hAnsi="Times New Roman" w:cs="Times New Roman"/>
          <w:b/>
          <w:bCs/>
        </w:rPr>
        <w:t>Market Price Stability</w:t>
      </w:r>
    </w:p>
    <w:p w14:paraId="6DBD4478" w14:textId="18C9FA29" w:rsidR="00F54BD6" w:rsidRPr="00C97F4F" w:rsidRDefault="3F7CC779" w:rsidP="00FB7BFB">
      <w:pPr>
        <w:pStyle w:val="ListParagraph"/>
        <w:numPr>
          <w:ilvl w:val="0"/>
          <w:numId w:val="47"/>
        </w:numPr>
        <w:spacing w:after="0"/>
        <w:rPr>
          <w:rFonts w:ascii="Times New Roman" w:eastAsia="Calibri" w:hAnsi="Times New Roman" w:cs="Times New Roman"/>
        </w:rPr>
      </w:pPr>
      <w:r w:rsidRPr="00C97F4F">
        <w:rPr>
          <w:rFonts w:ascii="Times New Roman" w:eastAsia="Calibri" w:hAnsi="Times New Roman" w:cs="Times New Roman"/>
        </w:rPr>
        <w:t>Municipal bond ETFs are generally low-</w:t>
      </w:r>
      <w:proofErr w:type="gramStart"/>
      <w:r w:rsidRPr="00C97F4F">
        <w:rPr>
          <w:rFonts w:ascii="Times New Roman" w:eastAsia="Calibri" w:hAnsi="Times New Roman" w:cs="Times New Roman"/>
        </w:rPr>
        <w:t>volatility</w:t>
      </w:r>
      <w:proofErr w:type="gramEnd"/>
      <w:r w:rsidRPr="00C97F4F">
        <w:rPr>
          <w:rFonts w:ascii="Times New Roman" w:eastAsia="Calibri" w:hAnsi="Times New Roman" w:cs="Times New Roman"/>
        </w:rPr>
        <w:t xml:space="preserve"> investments. VTEB benefits from the high credit quality of its underlying bonds, which are predominantly </w:t>
      </w:r>
      <w:r w:rsidRPr="00C97F4F">
        <w:rPr>
          <w:rFonts w:ascii="Times New Roman" w:eastAsia="Calibri" w:hAnsi="Times New Roman" w:cs="Times New Roman"/>
          <w:b/>
          <w:bCs/>
        </w:rPr>
        <w:t>AA or AAA</w:t>
      </w:r>
      <w:r w:rsidRPr="00C97F4F">
        <w:rPr>
          <w:rFonts w:ascii="Times New Roman" w:eastAsia="Calibri" w:hAnsi="Times New Roman" w:cs="Times New Roman"/>
        </w:rPr>
        <w:t xml:space="preserve"> rated, ensuring stable valuations even during market fluctuations.</w:t>
      </w:r>
    </w:p>
    <w:p w14:paraId="54679C8A" w14:textId="1FFE55E6" w:rsidR="00F54BD6" w:rsidRPr="00C97F4F" w:rsidRDefault="3F7CC779" w:rsidP="13FF8813">
      <w:pPr>
        <w:spacing w:after="200"/>
        <w:rPr>
          <w:rFonts w:ascii="Times New Roman" w:eastAsia="Calibri" w:hAnsi="Times New Roman" w:cs="Times New Roman"/>
          <w:b/>
          <w:bCs/>
        </w:rPr>
      </w:pPr>
      <w:r w:rsidRPr="00C97F4F">
        <w:rPr>
          <w:rFonts w:ascii="Times New Roman" w:eastAsia="Calibri" w:hAnsi="Times New Roman" w:cs="Times New Roman"/>
          <w:b/>
          <w:bCs/>
        </w:rPr>
        <w:lastRenderedPageBreak/>
        <w:t>Tax Benefits as a Unique Factor</w:t>
      </w:r>
    </w:p>
    <w:p w14:paraId="089C38C2" w14:textId="4A1F0320" w:rsidR="00F54BD6" w:rsidRPr="002B01F3" w:rsidRDefault="3F7CC779" w:rsidP="00FB7BFB">
      <w:pPr>
        <w:pStyle w:val="ListParagraph"/>
        <w:numPr>
          <w:ilvl w:val="0"/>
          <w:numId w:val="46"/>
        </w:numPr>
        <w:spacing w:after="0"/>
        <w:rPr>
          <w:rFonts w:ascii="Times New Roman" w:eastAsia="Calibri" w:hAnsi="Times New Roman" w:cs="Times New Roman"/>
        </w:rPr>
      </w:pPr>
      <w:r w:rsidRPr="002B01F3">
        <w:rPr>
          <w:rFonts w:ascii="Times New Roman" w:eastAsia="Calibri" w:hAnsi="Times New Roman" w:cs="Times New Roman"/>
        </w:rPr>
        <w:t xml:space="preserve">VTEB’s tax-exempt status on interest payments gives it a significant edge over taxable bond ETFs, making it more </w:t>
      </w:r>
      <w:proofErr w:type="spellStart"/>
      <w:r w:rsidRPr="002B01F3">
        <w:rPr>
          <w:rFonts w:ascii="Times New Roman" w:eastAsia="Calibri" w:hAnsi="Times New Roman" w:cs="Times New Roman"/>
        </w:rPr>
        <w:t>favo</w:t>
      </w:r>
      <w:r w:rsidR="002B01F3">
        <w:rPr>
          <w:rFonts w:ascii="Times New Roman" w:eastAsia="Calibri" w:hAnsi="Times New Roman" w:cs="Times New Roman"/>
        </w:rPr>
        <w:t>u</w:t>
      </w:r>
      <w:r w:rsidRPr="002B01F3">
        <w:rPr>
          <w:rFonts w:ascii="Times New Roman" w:eastAsia="Calibri" w:hAnsi="Times New Roman" w:cs="Times New Roman"/>
        </w:rPr>
        <w:t>rable</w:t>
      </w:r>
      <w:proofErr w:type="spellEnd"/>
      <w:r w:rsidRPr="002B01F3">
        <w:rPr>
          <w:rFonts w:ascii="Times New Roman" w:eastAsia="Calibri" w:hAnsi="Times New Roman" w:cs="Times New Roman"/>
        </w:rPr>
        <w:t xml:space="preserve"> for investors in higher tax brackets.</w:t>
      </w:r>
    </w:p>
    <w:p w14:paraId="569D0997" w14:textId="77777777" w:rsidR="00180BD1" w:rsidRPr="00C97F4F" w:rsidRDefault="00180BD1" w:rsidP="13FF8813">
      <w:pPr>
        <w:spacing w:after="200" w:line="276" w:lineRule="auto"/>
        <w:rPr>
          <w:rFonts w:ascii="Times New Roman" w:eastAsia="Calibri" w:hAnsi="Times New Roman" w:cs="Times New Roman"/>
          <w:b/>
          <w:bCs/>
        </w:rPr>
      </w:pPr>
    </w:p>
    <w:p w14:paraId="0B5A10FD" w14:textId="79A55439"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b/>
          <w:bCs/>
        </w:rPr>
        <w:t>Reason 3) Profitability Assessment</w:t>
      </w:r>
      <w:r w:rsidRPr="00C97F4F">
        <w:rPr>
          <w:rFonts w:ascii="Times New Roman" w:eastAsia="Calibri" w:hAnsi="Times New Roman" w:cs="Times New Roman"/>
        </w:rPr>
        <w:t xml:space="preserve">  </w:t>
      </w:r>
    </w:p>
    <w:p w14:paraId="3A54F8A5" w14:textId="375B2BDC" w:rsidR="00F54BD6" w:rsidRPr="00C97F4F" w:rsidRDefault="3F7CC779" w:rsidP="13FF8813">
      <w:pPr>
        <w:spacing w:after="200" w:line="276" w:lineRule="auto"/>
        <w:rPr>
          <w:rFonts w:ascii="Times New Roman" w:eastAsia="Calibri" w:hAnsi="Times New Roman" w:cs="Times New Roman"/>
          <w:b/>
          <w:bCs/>
        </w:rPr>
      </w:pPr>
      <w:r w:rsidRPr="00C97F4F">
        <w:rPr>
          <w:rFonts w:ascii="Times New Roman" w:eastAsia="Calibri" w:hAnsi="Times New Roman" w:cs="Times New Roman"/>
          <w:b/>
          <w:bCs/>
        </w:rPr>
        <w:t>Yield and Income Generation</w:t>
      </w:r>
    </w:p>
    <w:p w14:paraId="264FF5C5" w14:textId="69DCEB6B" w:rsidR="00F54BD6" w:rsidRPr="00C97F4F" w:rsidRDefault="3F7CC779" w:rsidP="00FB7BFB">
      <w:pPr>
        <w:pStyle w:val="ListParagraph"/>
        <w:numPr>
          <w:ilvl w:val="0"/>
          <w:numId w:val="45"/>
        </w:numPr>
        <w:spacing w:after="0" w:line="276" w:lineRule="auto"/>
        <w:rPr>
          <w:rFonts w:ascii="Times New Roman" w:eastAsia="Calibri" w:hAnsi="Times New Roman" w:cs="Times New Roman"/>
        </w:rPr>
      </w:pPr>
      <w:r w:rsidRPr="00C97F4F">
        <w:rPr>
          <w:rFonts w:ascii="Times New Roman" w:eastAsia="Calibri" w:hAnsi="Times New Roman" w:cs="Times New Roman"/>
          <w:b/>
          <w:bCs/>
        </w:rPr>
        <w:t>SEC Yield</w:t>
      </w:r>
      <w:r w:rsidRPr="00C97F4F">
        <w:rPr>
          <w:rFonts w:ascii="Times New Roman" w:eastAsia="Calibri" w:hAnsi="Times New Roman" w:cs="Times New Roman"/>
        </w:rPr>
        <w:t xml:space="preserve">: VTEB generates federally tax-exempt income, with a recent SEC yield of approximately </w:t>
      </w:r>
      <w:r w:rsidRPr="00C97F4F">
        <w:rPr>
          <w:rFonts w:ascii="Times New Roman" w:eastAsia="Calibri" w:hAnsi="Times New Roman" w:cs="Times New Roman"/>
          <w:b/>
          <w:bCs/>
        </w:rPr>
        <w:t>3.01%</w:t>
      </w:r>
      <w:r w:rsidRPr="00C97F4F">
        <w:rPr>
          <w:rFonts w:ascii="Times New Roman" w:eastAsia="Calibri" w:hAnsi="Times New Roman" w:cs="Times New Roman"/>
        </w:rPr>
        <w:t>.</w:t>
      </w:r>
    </w:p>
    <w:p w14:paraId="61F3E8E6" w14:textId="6A77D50A" w:rsidR="00F54BD6" w:rsidRPr="00C97F4F" w:rsidRDefault="3F7CC779" w:rsidP="00FB7BFB">
      <w:pPr>
        <w:pStyle w:val="ListParagraph"/>
        <w:numPr>
          <w:ilvl w:val="1"/>
          <w:numId w:val="45"/>
        </w:numPr>
        <w:spacing w:after="0" w:line="276" w:lineRule="auto"/>
        <w:rPr>
          <w:rFonts w:ascii="Times New Roman" w:eastAsia="Calibri" w:hAnsi="Times New Roman" w:cs="Times New Roman"/>
        </w:rPr>
      </w:pPr>
      <w:r w:rsidRPr="00C97F4F">
        <w:rPr>
          <w:rFonts w:ascii="Times New Roman" w:eastAsia="Calibri" w:hAnsi="Times New Roman" w:cs="Times New Roman"/>
        </w:rPr>
        <w:t>This is a significant advantage for high-income investors in taxable accounts, offering higher tax-equivalent returns compared to taxable bonds.</w:t>
      </w:r>
    </w:p>
    <w:p w14:paraId="1F4A668C" w14:textId="0BB2D9D4" w:rsidR="00F54BD6" w:rsidRPr="00C97F4F" w:rsidRDefault="3F7CC779" w:rsidP="00FB7BFB">
      <w:pPr>
        <w:pStyle w:val="ListParagraph"/>
        <w:numPr>
          <w:ilvl w:val="0"/>
          <w:numId w:val="45"/>
        </w:numPr>
        <w:spacing w:after="0" w:line="276" w:lineRule="auto"/>
        <w:rPr>
          <w:rFonts w:ascii="Times New Roman" w:eastAsia="Calibri" w:hAnsi="Times New Roman" w:cs="Times New Roman"/>
        </w:rPr>
      </w:pPr>
      <w:r w:rsidRPr="00C97F4F">
        <w:rPr>
          <w:rFonts w:ascii="Times New Roman" w:eastAsia="Calibri" w:hAnsi="Times New Roman" w:cs="Times New Roman"/>
          <w:b/>
          <w:bCs/>
        </w:rPr>
        <w:t>Income Stability</w:t>
      </w:r>
      <w:r w:rsidRPr="00C97F4F">
        <w:rPr>
          <w:rFonts w:ascii="Times New Roman" w:eastAsia="Calibri" w:hAnsi="Times New Roman" w:cs="Times New Roman"/>
        </w:rPr>
        <w:t>: Municipal bonds, especially those in VTEB's portfolio, are generally less volatile and maintain stable payouts, making the fund a reliable income source.</w:t>
      </w:r>
    </w:p>
    <w:p w14:paraId="28A89FBA" w14:textId="3A042FEF" w:rsidR="00F54BD6" w:rsidRPr="00C97F4F" w:rsidRDefault="3F7CC779" w:rsidP="13FF8813">
      <w:pPr>
        <w:spacing w:after="200"/>
        <w:rPr>
          <w:rFonts w:ascii="Times New Roman" w:eastAsia="Calibri" w:hAnsi="Times New Roman" w:cs="Times New Roman"/>
          <w:b/>
          <w:bCs/>
        </w:rPr>
      </w:pPr>
      <w:r w:rsidRPr="00C97F4F">
        <w:rPr>
          <w:rFonts w:ascii="Times New Roman" w:eastAsia="Calibri" w:hAnsi="Times New Roman" w:cs="Times New Roman"/>
          <w:b/>
          <w:bCs/>
        </w:rPr>
        <w:t>Cost Efficiency (Low Expense Ratio)</w:t>
      </w:r>
    </w:p>
    <w:p w14:paraId="0F880C89" w14:textId="7E9943CE" w:rsidR="00F54BD6" w:rsidRPr="00C97F4F" w:rsidRDefault="3F7CC779" w:rsidP="00FB7BFB">
      <w:pPr>
        <w:pStyle w:val="ListParagraph"/>
        <w:numPr>
          <w:ilvl w:val="0"/>
          <w:numId w:val="44"/>
        </w:numPr>
        <w:spacing w:after="0"/>
        <w:rPr>
          <w:rFonts w:ascii="Times New Roman" w:eastAsia="Calibri" w:hAnsi="Times New Roman" w:cs="Times New Roman"/>
        </w:rPr>
      </w:pPr>
      <w:r w:rsidRPr="00C97F4F">
        <w:rPr>
          <w:rFonts w:ascii="Times New Roman" w:eastAsia="Calibri" w:hAnsi="Times New Roman" w:cs="Times New Roman"/>
          <w:b/>
          <w:bCs/>
        </w:rPr>
        <w:t>Expense Ratio:</w:t>
      </w:r>
      <w:r w:rsidRPr="00C97F4F">
        <w:rPr>
          <w:rFonts w:ascii="Times New Roman" w:eastAsia="Calibri" w:hAnsi="Times New Roman" w:cs="Times New Roman"/>
        </w:rPr>
        <w:t xml:space="preserve"> At 0.05%, VTEB's cost structure is one of the lowest in the municipal bond ETF category.</w:t>
      </w:r>
    </w:p>
    <w:p w14:paraId="20A0B97E" w14:textId="18BF19EB" w:rsidR="00F54BD6" w:rsidRPr="00C97F4F" w:rsidRDefault="3F7CC779" w:rsidP="00FB7BFB">
      <w:pPr>
        <w:pStyle w:val="ListParagraph"/>
        <w:numPr>
          <w:ilvl w:val="1"/>
          <w:numId w:val="44"/>
        </w:numPr>
        <w:spacing w:after="0"/>
        <w:rPr>
          <w:rFonts w:ascii="Times New Roman" w:eastAsia="Calibri" w:hAnsi="Times New Roman" w:cs="Times New Roman"/>
        </w:rPr>
      </w:pPr>
      <w:r w:rsidRPr="00C97F4F">
        <w:rPr>
          <w:rFonts w:ascii="Times New Roman" w:eastAsia="Calibri" w:hAnsi="Times New Roman" w:cs="Times New Roman"/>
        </w:rPr>
        <w:t>This ensures that more of the fund’s income is passed on to investors, increasing net returns.</w:t>
      </w:r>
    </w:p>
    <w:p w14:paraId="0053900F" w14:textId="2D23D903" w:rsidR="00F54BD6" w:rsidRPr="00C97F4F" w:rsidRDefault="3F7CC779" w:rsidP="00FB7BFB">
      <w:pPr>
        <w:pStyle w:val="ListParagraph"/>
        <w:numPr>
          <w:ilvl w:val="0"/>
          <w:numId w:val="44"/>
        </w:numPr>
        <w:spacing w:after="0"/>
        <w:rPr>
          <w:rFonts w:ascii="Times New Roman" w:eastAsia="Calibri" w:hAnsi="Times New Roman" w:cs="Times New Roman"/>
        </w:rPr>
      </w:pPr>
      <w:r w:rsidRPr="00C97F4F">
        <w:rPr>
          <w:rFonts w:ascii="Times New Roman" w:eastAsia="Calibri" w:hAnsi="Times New Roman" w:cs="Times New Roman"/>
        </w:rPr>
        <w:t xml:space="preserve">Compared to peers like </w:t>
      </w:r>
      <w:r w:rsidRPr="00C97F4F">
        <w:rPr>
          <w:rFonts w:ascii="Times New Roman" w:eastAsia="Calibri" w:hAnsi="Times New Roman" w:cs="Times New Roman"/>
          <w:b/>
          <w:bCs/>
        </w:rPr>
        <w:t>the iShares National Muni Bond ETF (MUB) (0.07%)</w:t>
      </w:r>
      <w:r w:rsidRPr="00C97F4F">
        <w:rPr>
          <w:rFonts w:ascii="Times New Roman" w:eastAsia="Calibri" w:hAnsi="Times New Roman" w:cs="Times New Roman"/>
        </w:rPr>
        <w:t xml:space="preserve"> or the </w:t>
      </w:r>
      <w:r w:rsidRPr="00C97F4F">
        <w:rPr>
          <w:rFonts w:ascii="Times New Roman" w:eastAsia="Calibri" w:hAnsi="Times New Roman" w:cs="Times New Roman"/>
          <w:b/>
          <w:bCs/>
        </w:rPr>
        <w:t>SPDR Nuveen Municipal Bond ETF (TFI) (0.23%)</w:t>
      </w:r>
      <w:r w:rsidRPr="00C97F4F">
        <w:rPr>
          <w:rFonts w:ascii="Times New Roman" w:eastAsia="Calibri" w:hAnsi="Times New Roman" w:cs="Times New Roman"/>
        </w:rPr>
        <w:t>, VTEB is far more cost-efficient, enhancing its relative profitability.</w:t>
      </w:r>
    </w:p>
    <w:p w14:paraId="2EE8DACE" w14:textId="67DE6032" w:rsidR="00F54BD6" w:rsidRPr="00C97F4F" w:rsidRDefault="3F7CC779" w:rsidP="00FB7BFB">
      <w:pPr>
        <w:pStyle w:val="ListParagraph"/>
        <w:numPr>
          <w:ilvl w:val="0"/>
          <w:numId w:val="44"/>
        </w:numPr>
        <w:spacing w:after="0"/>
        <w:rPr>
          <w:rFonts w:ascii="Times New Roman" w:eastAsia="Calibri" w:hAnsi="Times New Roman" w:cs="Times New Roman"/>
        </w:rPr>
      </w:pPr>
      <w:r w:rsidRPr="00C97F4F">
        <w:rPr>
          <w:rFonts w:ascii="Times New Roman" w:eastAsia="Calibri" w:hAnsi="Times New Roman" w:cs="Times New Roman"/>
          <w:b/>
          <w:bCs/>
        </w:rPr>
        <w:t>Portfolio Composition</w:t>
      </w:r>
      <w:r w:rsidRPr="00C97F4F">
        <w:rPr>
          <w:rFonts w:ascii="Times New Roman" w:eastAsia="Calibri" w:hAnsi="Times New Roman" w:cs="Times New Roman"/>
        </w:rPr>
        <w:t xml:space="preserve">: VTEB’s holdings include a wide range of </w:t>
      </w:r>
      <w:r w:rsidRPr="00C97F4F">
        <w:rPr>
          <w:rFonts w:ascii="Times New Roman" w:eastAsia="Calibri" w:hAnsi="Times New Roman" w:cs="Times New Roman"/>
          <w:b/>
          <w:bCs/>
        </w:rPr>
        <w:t>investment-grade municipal bonds</w:t>
      </w:r>
      <w:r w:rsidRPr="00C97F4F">
        <w:rPr>
          <w:rFonts w:ascii="Times New Roman" w:eastAsia="Calibri" w:hAnsi="Times New Roman" w:cs="Times New Roman"/>
        </w:rPr>
        <w:t xml:space="preserve"> (rated AAA, AA, or A). This diversification minimizes the risk of defaults and ensures consistent income from interest payments.</w:t>
      </w:r>
    </w:p>
    <w:p w14:paraId="2EA401E2" w14:textId="4512FB9F" w:rsidR="00F54BD6" w:rsidRPr="00C97F4F" w:rsidRDefault="3F7CC779" w:rsidP="00FB7BFB">
      <w:pPr>
        <w:pStyle w:val="ListParagraph"/>
        <w:numPr>
          <w:ilvl w:val="0"/>
          <w:numId w:val="44"/>
        </w:numPr>
        <w:spacing w:after="0"/>
        <w:rPr>
          <w:rFonts w:ascii="Times New Roman" w:eastAsia="Calibri" w:hAnsi="Times New Roman" w:cs="Times New Roman"/>
        </w:rPr>
      </w:pPr>
      <w:r w:rsidRPr="00C97F4F">
        <w:rPr>
          <w:rFonts w:ascii="Times New Roman" w:eastAsia="Calibri" w:hAnsi="Times New Roman" w:cs="Times New Roman"/>
          <w:b/>
          <w:bCs/>
        </w:rPr>
        <w:t>Credit Quality Stability</w:t>
      </w:r>
      <w:r w:rsidRPr="00C97F4F">
        <w:rPr>
          <w:rFonts w:ascii="Times New Roman" w:eastAsia="Calibri" w:hAnsi="Times New Roman" w:cs="Times New Roman"/>
        </w:rPr>
        <w:t xml:space="preserve">: Over </w:t>
      </w:r>
      <w:r w:rsidRPr="00C97F4F">
        <w:rPr>
          <w:rFonts w:ascii="Times New Roman" w:eastAsia="Calibri" w:hAnsi="Times New Roman" w:cs="Times New Roman"/>
          <w:b/>
          <w:bCs/>
        </w:rPr>
        <w:t>70% of its bonds</w:t>
      </w:r>
      <w:r w:rsidRPr="00C97F4F">
        <w:rPr>
          <w:rFonts w:ascii="Times New Roman" w:eastAsia="Calibri" w:hAnsi="Times New Roman" w:cs="Times New Roman"/>
        </w:rPr>
        <w:t xml:space="preserve"> are rated AA or higher, indicating strong reliability of payments.</w:t>
      </w:r>
    </w:p>
    <w:p w14:paraId="74450C5D" w14:textId="064D6B11"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 </w:t>
      </w:r>
    </w:p>
    <w:p w14:paraId="601A8805" w14:textId="573E2FE0"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b/>
          <w:bCs/>
        </w:rPr>
        <w:t>Reason 4) Consistent Trailing Dividend or Predictable Income (Bond)</w:t>
      </w:r>
      <w:r w:rsidRPr="00C97F4F">
        <w:rPr>
          <w:rFonts w:ascii="Times New Roman" w:eastAsia="Calibri" w:hAnsi="Times New Roman" w:cs="Times New Roman"/>
        </w:rPr>
        <w:t xml:space="preserve"> </w:t>
      </w:r>
    </w:p>
    <w:p w14:paraId="08EB5D34" w14:textId="64A46165" w:rsidR="00F54BD6" w:rsidRPr="00C97F4F" w:rsidRDefault="3F7CC779" w:rsidP="00FB7BFB">
      <w:pPr>
        <w:pStyle w:val="ListParagraph"/>
        <w:numPr>
          <w:ilvl w:val="0"/>
          <w:numId w:val="43"/>
        </w:numPr>
        <w:spacing w:after="0" w:line="276" w:lineRule="auto"/>
        <w:rPr>
          <w:rFonts w:ascii="Times New Roman" w:eastAsia="Calibri" w:hAnsi="Times New Roman" w:cs="Times New Roman"/>
        </w:rPr>
      </w:pPr>
      <w:r w:rsidRPr="00C97F4F">
        <w:rPr>
          <w:rFonts w:ascii="Times New Roman" w:eastAsia="Calibri" w:hAnsi="Times New Roman" w:cs="Times New Roman"/>
          <w:b/>
          <w:bCs/>
        </w:rPr>
        <w:t>Dividend Yield</w:t>
      </w:r>
      <w:r w:rsidRPr="00C97F4F">
        <w:rPr>
          <w:rFonts w:ascii="Times New Roman" w:eastAsia="Calibri" w:hAnsi="Times New Roman" w:cs="Times New Roman"/>
        </w:rPr>
        <w:t xml:space="preserve">: </w:t>
      </w:r>
      <w:r w:rsidRPr="00247AA7">
        <w:rPr>
          <w:rFonts w:ascii="Times New Roman" w:eastAsia="Calibri" w:hAnsi="Times New Roman" w:cs="Times New Roman"/>
        </w:rPr>
        <w:t xml:space="preserve">VTEB distributes </w:t>
      </w:r>
      <w:proofErr w:type="gramStart"/>
      <w:r w:rsidRPr="00247AA7">
        <w:rPr>
          <w:rFonts w:ascii="Times New Roman" w:eastAsia="Calibri" w:hAnsi="Times New Roman" w:cs="Times New Roman"/>
        </w:rPr>
        <w:t>income monthly</w:t>
      </w:r>
      <w:proofErr w:type="gramEnd"/>
      <w:r w:rsidRPr="00247AA7">
        <w:rPr>
          <w:rFonts w:ascii="Times New Roman" w:eastAsia="Calibri" w:hAnsi="Times New Roman" w:cs="Times New Roman"/>
        </w:rPr>
        <w:t xml:space="preserve">, derived from the interest payments of the investment-grade municipal bonds it holds. The fund's trailing 12-month dividend yield typically hovers around 2.5%-3.0%, reflecting the tax-exempt income generated by its underlying assets. VTEB’s focus on high-quality bonds (rated AAA to BBB) ensures minimal credit risk, further supporting steady payouts. Moreover, VTEB’s income is primarily federally tax-exempt, which offers significant tax advantages, especially for investors in higher tax brackets. Furthermore, </w:t>
      </w:r>
      <w:proofErr w:type="gramStart"/>
      <w:r w:rsidRPr="00247AA7">
        <w:rPr>
          <w:rFonts w:ascii="Times New Roman" w:eastAsia="Calibri" w:hAnsi="Times New Roman" w:cs="Times New Roman"/>
        </w:rPr>
        <w:t>With</w:t>
      </w:r>
      <w:proofErr w:type="gramEnd"/>
      <w:r w:rsidRPr="00247AA7">
        <w:rPr>
          <w:rFonts w:ascii="Times New Roman" w:eastAsia="Calibri" w:hAnsi="Times New Roman" w:cs="Times New Roman"/>
        </w:rPr>
        <w:t xml:space="preserve"> over 6,000 municipal bonds from various sectors (infrastructure, education, healthcare), VTEB mitigates risks associated </w:t>
      </w:r>
      <w:r w:rsidRPr="00247AA7">
        <w:rPr>
          <w:rFonts w:ascii="Times New Roman" w:eastAsia="Calibri" w:hAnsi="Times New Roman" w:cs="Times New Roman"/>
        </w:rPr>
        <w:lastRenderedPageBreak/>
        <w:t xml:space="preserve">with individual issuers, ensuring consistent income streams. </w:t>
      </w:r>
      <w:proofErr w:type="gramStart"/>
      <w:r w:rsidRPr="00247AA7">
        <w:rPr>
          <w:rFonts w:ascii="Times New Roman" w:eastAsia="Calibri" w:hAnsi="Times New Roman" w:cs="Times New Roman"/>
        </w:rPr>
        <w:t>The majority of</w:t>
      </w:r>
      <w:proofErr w:type="gramEnd"/>
      <w:r w:rsidRPr="00247AA7">
        <w:rPr>
          <w:rFonts w:ascii="Times New Roman" w:eastAsia="Calibri" w:hAnsi="Times New Roman" w:cs="Times New Roman"/>
        </w:rPr>
        <w:t xml:space="preserve"> the bonds are rated AA or higher, reflecting strong repayment capacity.</w:t>
      </w:r>
    </w:p>
    <w:p w14:paraId="725E84E0" w14:textId="4172720D"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 </w:t>
      </w:r>
    </w:p>
    <w:p w14:paraId="10A53781" w14:textId="621E6C39" w:rsidR="00F54BD6" w:rsidRPr="00C97F4F" w:rsidRDefault="3F7CC779" w:rsidP="13FF8813">
      <w:pPr>
        <w:spacing w:after="200" w:line="276" w:lineRule="auto"/>
        <w:rPr>
          <w:rFonts w:ascii="Times New Roman" w:eastAsia="Calibri" w:hAnsi="Times New Roman" w:cs="Times New Roman"/>
          <w:b/>
          <w:bCs/>
        </w:rPr>
      </w:pPr>
      <w:r w:rsidRPr="00C97F4F">
        <w:rPr>
          <w:rFonts w:ascii="Times New Roman" w:eastAsia="Calibri" w:hAnsi="Times New Roman" w:cs="Times New Roman"/>
          <w:b/>
          <w:bCs/>
        </w:rPr>
        <w:t xml:space="preserve">Reason 5) High Market Capitalization </w:t>
      </w:r>
    </w:p>
    <w:p w14:paraId="6112629D" w14:textId="4963E428" w:rsidR="00F54BD6" w:rsidRPr="00247AA7" w:rsidRDefault="3F7CC779" w:rsidP="13FF8813">
      <w:pPr>
        <w:spacing w:after="200" w:line="276" w:lineRule="auto"/>
        <w:rPr>
          <w:rFonts w:ascii="Times New Roman" w:eastAsia="Calibri" w:hAnsi="Times New Roman" w:cs="Times New Roman"/>
        </w:rPr>
      </w:pPr>
      <w:r w:rsidRPr="00247AA7">
        <w:rPr>
          <w:rFonts w:ascii="Times New Roman" w:eastAsia="Calibri" w:hAnsi="Times New Roman" w:cs="Times New Roman"/>
        </w:rPr>
        <w:t xml:space="preserve">The Vanguard Tax-Exempt Bond Index Fund ETF (VTEB) boasts a substantial market capitalization due to its large investor base and widespread appeal among income-focused, tax-sensitive investors. As of 2024, VTEB manages over $20 billion in assets under management (AUM), making it one of the largest ETFs in the municipal bond market. This high market capitalization signifies the fund's robust liquidity, ensuring that investors can easily buy or sell shares without significantly impacting its market price. Furthermore, the scale of VTEB allows it to keep its expense ratio exceptionally low at 0.05%, enhancing net returns for investors. Its large size also reflects widespread trust in Vanguard’s management and the fund’s ability to deliver consistent, federally tax-exempt income. Compared to competitors, such as the iShares National Muni Bond ETF (MUB) or SPDR Nuveen Municipal Bond ETF (TFI), VTEB’s high market capitalization demonstrates its dominance in the municipal bond ETF segment, driven by its efficient structure, stable performance, and cost advantages. This makes it a favored choice for both individual and institutional investors seeking a reliable, low-cost investment in the tax-exempt bond space. </w:t>
      </w:r>
    </w:p>
    <w:p w14:paraId="2C7391CA" w14:textId="437EAF3B" w:rsidR="00F54BD6" w:rsidRPr="00C97F4F" w:rsidRDefault="00F54BD6" w:rsidP="13FF8813">
      <w:pPr>
        <w:spacing w:after="200" w:line="276" w:lineRule="auto"/>
        <w:rPr>
          <w:rFonts w:ascii="Times New Roman" w:eastAsia="Calibri" w:hAnsi="Times New Roman" w:cs="Times New Roman"/>
          <w:b/>
          <w:bCs/>
        </w:rPr>
      </w:pPr>
    </w:p>
    <w:p w14:paraId="5F61C3F6" w14:textId="65F1D5F2"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b/>
          <w:bCs/>
        </w:rPr>
        <w:t>Reason 6) Projected Future Long-Term Growth Based on Historical Data</w:t>
      </w:r>
      <w:r w:rsidRPr="00C97F4F">
        <w:rPr>
          <w:rFonts w:ascii="Times New Roman" w:eastAsia="Calibri" w:hAnsi="Times New Roman" w:cs="Times New Roman"/>
        </w:rPr>
        <w:t xml:space="preserve"> </w:t>
      </w:r>
    </w:p>
    <w:p w14:paraId="2B06935C" w14:textId="5EE9F6F2" w:rsidR="00F54BD6" w:rsidRPr="00C97F4F" w:rsidRDefault="701DA9B9" w:rsidP="13FF8813">
      <w:pPr>
        <w:spacing w:after="200" w:line="276" w:lineRule="auto"/>
        <w:rPr>
          <w:rFonts w:ascii="Times New Roman" w:hAnsi="Times New Roman" w:cs="Times New Roman"/>
        </w:rPr>
      </w:pPr>
      <w:r w:rsidRPr="00C97F4F">
        <w:rPr>
          <w:rFonts w:ascii="Times New Roman" w:hAnsi="Times New Roman" w:cs="Times New Roman"/>
          <w:noProof/>
        </w:rPr>
        <w:drawing>
          <wp:inline distT="0" distB="0" distL="0" distR="0" wp14:anchorId="1DB093DA" wp14:editId="77288417">
            <wp:extent cx="5944116" cy="2091109"/>
            <wp:effectExtent l="0" t="0" r="0" b="0"/>
            <wp:docPr id="961754621" name="Picture 96175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4116" cy="2091109"/>
                    </a:xfrm>
                    <a:prstGeom prst="rect">
                      <a:avLst/>
                    </a:prstGeom>
                  </pic:spPr>
                </pic:pic>
              </a:graphicData>
            </a:graphic>
          </wp:inline>
        </w:drawing>
      </w:r>
    </w:p>
    <w:p w14:paraId="0E637100" w14:textId="45C548D9" w:rsidR="00F54BD6" w:rsidRPr="00C97F4F" w:rsidRDefault="3F7CC779" w:rsidP="13FF8813">
      <w:pPr>
        <w:spacing w:after="200" w:line="276" w:lineRule="auto"/>
        <w:rPr>
          <w:rFonts w:ascii="Times New Roman" w:eastAsia="Calibri" w:hAnsi="Times New Roman" w:cs="Times New Roman"/>
        </w:rPr>
      </w:pPr>
      <w:r w:rsidRPr="00247AA7">
        <w:rPr>
          <w:rFonts w:ascii="Times New Roman" w:eastAsia="Calibri" w:hAnsi="Times New Roman" w:cs="Times New Roman"/>
        </w:rPr>
        <w:t>The Vanguard Tax-Exempt Bond Index Fund ETF (VTEB) is designed</w:t>
      </w:r>
      <w:r w:rsidRPr="00C97F4F">
        <w:rPr>
          <w:rFonts w:ascii="Times New Roman" w:eastAsia="Calibri" w:hAnsi="Times New Roman" w:cs="Times New Roman"/>
        </w:rPr>
        <w:t xml:space="preserve"> to deliver stable, tax-exempt income rather than capital growth, which is typical for fixed-income investments like municipal bonds. Its projected long-term growth is rooted in historical trends of municipal bond performance, which show consistent, reliable returns driven by income generation rather than price appreciation. Historically, investment-grade municipal bonds have exhibited low default </w:t>
      </w:r>
      <w:r w:rsidRPr="00C97F4F">
        <w:rPr>
          <w:rFonts w:ascii="Times New Roman" w:eastAsia="Calibri" w:hAnsi="Times New Roman" w:cs="Times New Roman"/>
        </w:rPr>
        <w:lastRenderedPageBreak/>
        <w:t>rates, steady interest payments, and resilience during market downturns, contributing to predictable growth.</w:t>
      </w:r>
    </w:p>
    <w:p w14:paraId="65CC17CC" w14:textId="5954102F"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Municipal bond returns tend to align with interest rate cycles and broader economic stability. In periods of declining or stable interest rates, bond prices increase, benefiting funds like VTEB. Conversely, during rising rate environments, </w:t>
      </w:r>
      <w:r w:rsidRPr="00247AA7">
        <w:rPr>
          <w:rFonts w:ascii="Times New Roman" w:eastAsia="Calibri" w:hAnsi="Times New Roman" w:cs="Times New Roman"/>
        </w:rPr>
        <w:t>VTEB may experience temporary price declines, but reinvestment at higher yields supports future income</w:t>
      </w:r>
      <w:r w:rsidRPr="00C97F4F">
        <w:rPr>
          <w:rFonts w:ascii="Times New Roman" w:eastAsia="Calibri" w:hAnsi="Times New Roman" w:cs="Times New Roman"/>
        </w:rPr>
        <w:t xml:space="preserve"> growth. Historical data shows that municipal bonds have delivered average annual returns of 3%-5%, with VTEB providing comparable performance due to its diversified, high-quality portfolio.</w:t>
      </w:r>
    </w:p>
    <w:p w14:paraId="7E4B58E7" w14:textId="091F4EFD" w:rsidR="00F54BD6" w:rsidRPr="00C97F4F" w:rsidRDefault="3F7CC779" w:rsidP="13FF8813">
      <w:pPr>
        <w:spacing w:after="200" w:line="276" w:lineRule="auto"/>
        <w:rPr>
          <w:rFonts w:ascii="Times New Roman" w:eastAsia="Calibri" w:hAnsi="Times New Roman" w:cs="Times New Roman"/>
          <w:b/>
          <w:bCs/>
        </w:rPr>
      </w:pPr>
      <w:r w:rsidRPr="00C97F4F">
        <w:rPr>
          <w:rFonts w:ascii="Times New Roman" w:eastAsia="Calibri" w:hAnsi="Times New Roman" w:cs="Times New Roman"/>
        </w:rPr>
        <w:t>As the U.S. population grows and infrastructure development continues, demand for municipal bonds to finance public projects is expected to remain strong, supporting VTEB’s long-term income potential. Its low expense ratio and tax-exempt status further enhance its attractiveness, ensuring steady performance in line with historical trends</w:t>
      </w:r>
      <w:r w:rsidRPr="00C97F4F">
        <w:rPr>
          <w:rFonts w:ascii="Times New Roman" w:eastAsia="Calibri" w:hAnsi="Times New Roman" w:cs="Times New Roman"/>
          <w:b/>
          <w:bCs/>
        </w:rPr>
        <w:t>.</w:t>
      </w:r>
    </w:p>
    <w:p w14:paraId="04365D56" w14:textId="778513CB"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 </w:t>
      </w:r>
    </w:p>
    <w:p w14:paraId="07073CCC" w14:textId="556F78BC"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b/>
          <w:bCs/>
        </w:rPr>
        <w:t>Reason 7) Industry Expert Recommendations</w:t>
      </w:r>
      <w:r w:rsidRPr="00C97F4F">
        <w:rPr>
          <w:rFonts w:ascii="Times New Roman" w:eastAsia="Calibri" w:hAnsi="Times New Roman" w:cs="Times New Roman"/>
        </w:rPr>
        <w:t xml:space="preserve"> </w:t>
      </w:r>
    </w:p>
    <w:p w14:paraId="3F65BF72" w14:textId="41814692"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Industry experts generally view the Vanguard Tax-Exempt Bond Index Fund ETF (VTEB) as a strong investment choice for tax-sensitive, income-focused investors. Given its low expense ratio of 0.05% and focus on high-quality, investment-grade municipal bonds, VTEB is often recommended for those seeking stable, predictable, and tax-exempt income. Experts highlight the fund's ability to deliver consistent returns, particularly for investors in higher tax brackets, as the tax-exempt nature of its dividends offers a compelling advantage over taxable bond ETFs. Moreover, </w:t>
      </w:r>
      <w:proofErr w:type="gramStart"/>
      <w:r w:rsidRPr="00C97F4F">
        <w:rPr>
          <w:rFonts w:ascii="Times New Roman" w:eastAsia="Calibri" w:hAnsi="Times New Roman" w:cs="Times New Roman"/>
        </w:rPr>
        <w:t>Many</w:t>
      </w:r>
      <w:proofErr w:type="gramEnd"/>
      <w:r w:rsidRPr="00C97F4F">
        <w:rPr>
          <w:rFonts w:ascii="Times New Roman" w:eastAsia="Calibri" w:hAnsi="Times New Roman" w:cs="Times New Roman"/>
        </w:rPr>
        <w:t xml:space="preserve"> advisors suggest VTEB as part of a diversified portfolio, especially for long-term investors looking for steady cash flows with relatively low risk. Given its high liquidity and market capitalization of over $20 billion, it is considered a low-cost, highly efficient vehicle for municipal bond exposure, making it ideal for both individual investors and institutional investors. Moreover, due to Vanguard’s reputation for providing transparent, cost-effective investment products, the fund is often recommended for those seeking broad, diversified exposure to the municipal bond market with minimal active management.</w:t>
      </w:r>
    </w:p>
    <w:p w14:paraId="7DA1A07B" w14:textId="79763EC7"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 </w:t>
      </w:r>
    </w:p>
    <w:p w14:paraId="24307B67" w14:textId="35131707"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b/>
          <w:bCs/>
        </w:rPr>
        <w:t>Reason 8) Projected Future Long-Term Growth in the Country’s Economy (Macro Factors)</w:t>
      </w:r>
      <w:r w:rsidRPr="00C97F4F">
        <w:rPr>
          <w:rFonts w:ascii="Times New Roman" w:eastAsia="Calibri" w:hAnsi="Times New Roman" w:cs="Times New Roman"/>
        </w:rPr>
        <w:t xml:space="preserve"> </w:t>
      </w:r>
    </w:p>
    <w:p w14:paraId="39D94464" w14:textId="56BBC1C9"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The projected long-term growth of the Vanguard Tax-Exempt Bond Index Fund ETF (VTEB) is influenced by various macroeconomic factors that impact the broader U.S. economy and the municipal bond market. A few key drivers include:</w:t>
      </w:r>
    </w:p>
    <w:p w14:paraId="368FF7B7" w14:textId="64F3043D" w:rsidR="00F54BD6" w:rsidRPr="00C97F4F" w:rsidRDefault="3F7CC779" w:rsidP="00FB7BFB">
      <w:pPr>
        <w:pStyle w:val="ListParagraph"/>
        <w:numPr>
          <w:ilvl w:val="0"/>
          <w:numId w:val="49"/>
        </w:numPr>
        <w:spacing w:after="0" w:line="276" w:lineRule="auto"/>
        <w:rPr>
          <w:rFonts w:ascii="Times New Roman" w:eastAsia="Calibri" w:hAnsi="Times New Roman" w:cs="Times New Roman"/>
        </w:rPr>
      </w:pPr>
      <w:r w:rsidRPr="00C97F4F">
        <w:rPr>
          <w:rFonts w:ascii="Times New Roman" w:eastAsia="Calibri" w:hAnsi="Times New Roman" w:cs="Times New Roman"/>
          <w:b/>
          <w:bCs/>
        </w:rPr>
        <w:t>Economic Growth and Infrastructure Spending</w:t>
      </w:r>
      <w:r w:rsidRPr="00C97F4F">
        <w:rPr>
          <w:rFonts w:ascii="Times New Roman" w:eastAsia="Calibri" w:hAnsi="Times New Roman" w:cs="Times New Roman"/>
        </w:rPr>
        <w:t xml:space="preserve">: As the U.S. economy continues to expand, particularly with government-backed infrastructure projects under initiatives like </w:t>
      </w:r>
      <w:r w:rsidRPr="00C97F4F">
        <w:rPr>
          <w:rFonts w:ascii="Times New Roman" w:eastAsia="Calibri" w:hAnsi="Times New Roman" w:cs="Times New Roman"/>
        </w:rPr>
        <w:lastRenderedPageBreak/>
        <w:t>the Infrastructure Investment and Jobs Act, demand for municipal bonds is likely to rise. VTEB, which holds bonds issued by state and local governments to fund these projects, could see its income generation grow as municipalities issue more debt to finance infrastructure improvements. This growth in bond issuance generally supports the stability and long-term income potential of municipal bond ETFs like VTEB.</w:t>
      </w:r>
    </w:p>
    <w:p w14:paraId="5102326B" w14:textId="198B610F" w:rsidR="00F54BD6" w:rsidRPr="00C97F4F" w:rsidRDefault="3F7CC779" w:rsidP="00FB7BFB">
      <w:pPr>
        <w:pStyle w:val="ListParagraph"/>
        <w:numPr>
          <w:ilvl w:val="0"/>
          <w:numId w:val="49"/>
        </w:numPr>
        <w:spacing w:after="0" w:line="276" w:lineRule="auto"/>
        <w:rPr>
          <w:rFonts w:ascii="Times New Roman" w:eastAsia="Calibri" w:hAnsi="Times New Roman" w:cs="Times New Roman"/>
        </w:rPr>
      </w:pPr>
      <w:r w:rsidRPr="00C97F4F">
        <w:rPr>
          <w:rFonts w:ascii="Times New Roman" w:eastAsia="Calibri" w:hAnsi="Times New Roman" w:cs="Times New Roman"/>
          <w:b/>
          <w:bCs/>
        </w:rPr>
        <w:t>Interest Rates and Inflation</w:t>
      </w:r>
      <w:r w:rsidRPr="00C97F4F">
        <w:rPr>
          <w:rFonts w:ascii="Times New Roman" w:eastAsia="Calibri" w:hAnsi="Times New Roman" w:cs="Times New Roman"/>
        </w:rPr>
        <w:t>: Long-term growth in VTEB will also be shaped by interest rates set by the Federal Reserve. Historically, municipal bonds, including those in VTEB’s portfolio, perform well in low-interest rate environments, as lower rates reduce borrowing costs for municipalities and increase demand for municipal bonds. If inflation and interest rates remain relatively stable, VTEB should continue to offer competitive returns. However, in rising interest rate periods, bond prices may experience short-term volatility, though the tax-exempt income stream will likely continue to provide a stable return.</w:t>
      </w:r>
    </w:p>
    <w:p w14:paraId="3D899765" w14:textId="0DDC9951" w:rsidR="00F54BD6" w:rsidRPr="00C97F4F" w:rsidRDefault="3F7CC779" w:rsidP="00FB7BFB">
      <w:pPr>
        <w:pStyle w:val="ListParagraph"/>
        <w:numPr>
          <w:ilvl w:val="0"/>
          <w:numId w:val="49"/>
        </w:numPr>
        <w:spacing w:after="0" w:line="276" w:lineRule="auto"/>
        <w:rPr>
          <w:rFonts w:ascii="Times New Roman" w:eastAsia="Calibri" w:hAnsi="Times New Roman" w:cs="Times New Roman"/>
        </w:rPr>
      </w:pPr>
      <w:r w:rsidRPr="00C97F4F">
        <w:rPr>
          <w:rFonts w:ascii="Times New Roman" w:eastAsia="Calibri" w:hAnsi="Times New Roman" w:cs="Times New Roman"/>
          <w:b/>
          <w:bCs/>
        </w:rPr>
        <w:t>Tax Policy</w:t>
      </w:r>
      <w:r w:rsidRPr="00C97F4F">
        <w:rPr>
          <w:rFonts w:ascii="Times New Roman" w:eastAsia="Calibri" w:hAnsi="Times New Roman" w:cs="Times New Roman"/>
        </w:rPr>
        <w:t>: Changes in U.S. tax policy can also affect the attractiveness of tax-exempt bond funds like VTEB. If tax rates increase, demand for tax-exempt municipal bonds typically rises, as higher-income individuals seek tax-efficient investment strategies. Given the current focus on fiscal policy to address national debt and public spending, the demand for municipal bonds may remain robust, supporting long-term growth for funds like VTEB.</w:t>
      </w:r>
    </w:p>
    <w:p w14:paraId="5A078166" w14:textId="603A4E4A" w:rsidR="00F54BD6" w:rsidRPr="00C97F4F" w:rsidRDefault="3F7CC779" w:rsidP="00FB7BFB">
      <w:pPr>
        <w:pStyle w:val="ListParagraph"/>
        <w:numPr>
          <w:ilvl w:val="0"/>
          <w:numId w:val="49"/>
        </w:numPr>
        <w:spacing w:after="0" w:line="276" w:lineRule="auto"/>
        <w:rPr>
          <w:rFonts w:ascii="Times New Roman" w:eastAsia="Calibri" w:hAnsi="Times New Roman" w:cs="Times New Roman"/>
        </w:rPr>
      </w:pPr>
      <w:r w:rsidRPr="00C97F4F">
        <w:rPr>
          <w:rFonts w:ascii="Times New Roman" w:eastAsia="Calibri" w:hAnsi="Times New Roman" w:cs="Times New Roman"/>
          <w:b/>
          <w:bCs/>
        </w:rPr>
        <w:t>Demographic Shifts</w:t>
      </w:r>
      <w:r w:rsidRPr="00C97F4F">
        <w:rPr>
          <w:rFonts w:ascii="Times New Roman" w:eastAsia="Calibri" w:hAnsi="Times New Roman" w:cs="Times New Roman"/>
        </w:rPr>
        <w:t>: The aging U.S. population and urbanization trends are expected to drive demand for municipal bonds, especially for financing healthcare, education, and infrastructure projects. This demographic shift supports the idea that municipal bonds, and by extension VTEB, will continue to be in demand as they provide a stable and predictable income source, particularly in periods of economic uncertainty.</w:t>
      </w:r>
    </w:p>
    <w:p w14:paraId="2F5206A4" w14:textId="3FFBCB86" w:rsidR="00F54BD6" w:rsidRPr="00C97F4F" w:rsidRDefault="00F54BD6" w:rsidP="13FF8813">
      <w:pPr>
        <w:spacing w:after="200" w:line="276" w:lineRule="auto"/>
        <w:rPr>
          <w:rFonts w:ascii="Times New Roman" w:eastAsia="Calibri" w:hAnsi="Times New Roman" w:cs="Times New Roman"/>
          <w:b/>
          <w:bCs/>
        </w:rPr>
      </w:pPr>
    </w:p>
    <w:p w14:paraId="6A310174" w14:textId="3F53A178"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b/>
          <w:bCs/>
        </w:rPr>
        <w:t>c) Amount invested and Why</w:t>
      </w:r>
      <w:r w:rsidRPr="00C97F4F">
        <w:rPr>
          <w:rFonts w:ascii="Times New Roman" w:eastAsia="Calibri" w:hAnsi="Times New Roman" w:cs="Times New Roman"/>
        </w:rPr>
        <w:t xml:space="preserve"> </w:t>
      </w:r>
    </w:p>
    <w:tbl>
      <w:tblPr>
        <w:tblW w:w="0" w:type="auto"/>
        <w:tblLayout w:type="fixed"/>
        <w:tblLook w:val="04A0" w:firstRow="1" w:lastRow="0" w:firstColumn="1" w:lastColumn="0" w:noHBand="0" w:noVBand="1"/>
      </w:tblPr>
      <w:tblGrid>
        <w:gridCol w:w="1645"/>
        <w:gridCol w:w="1645"/>
        <w:gridCol w:w="1645"/>
        <w:gridCol w:w="1645"/>
        <w:gridCol w:w="1645"/>
      </w:tblGrid>
      <w:tr w:rsidR="13FF8813" w:rsidRPr="00C97F4F" w14:paraId="3D63523B" w14:textId="77777777" w:rsidTr="00247AA7">
        <w:trPr>
          <w:trHeight w:val="214"/>
        </w:trPr>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0B239" w14:textId="06801E07" w:rsidR="13FF8813" w:rsidRPr="00C97F4F" w:rsidRDefault="13FF8813"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Symbol  </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5DD9EA" w14:textId="1A391307" w:rsidR="13FF8813" w:rsidRPr="00C97F4F" w:rsidRDefault="13FF8813"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Description  </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0E1DCB" w14:textId="0FB98E4C" w:rsidR="13FF8813" w:rsidRPr="00C97F4F" w:rsidRDefault="13FF8813"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Transaction  </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540A00" w14:textId="49C374E9" w:rsidR="13FF8813" w:rsidRPr="00C97F4F" w:rsidRDefault="13FF8813"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Quantity  </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C18458" w14:textId="5824A961" w:rsidR="13FF8813" w:rsidRPr="00C97F4F" w:rsidRDefault="13FF8813"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Current Price  </w:t>
            </w:r>
          </w:p>
        </w:tc>
      </w:tr>
      <w:tr w:rsidR="13FF8813" w:rsidRPr="00C97F4F" w14:paraId="46BB283A" w14:textId="77777777" w:rsidTr="00247AA7">
        <w:trPr>
          <w:trHeight w:val="1155"/>
        </w:trPr>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23921" w14:textId="62B7C8A7" w:rsidR="13FF8813" w:rsidRPr="00C97F4F" w:rsidRDefault="13FF8813" w:rsidP="13FF8813">
            <w:pPr>
              <w:spacing w:after="200" w:line="276" w:lineRule="auto"/>
              <w:jc w:val="center"/>
              <w:rPr>
                <w:rFonts w:ascii="Times New Roman" w:eastAsia="Calibri" w:hAnsi="Times New Roman" w:cs="Times New Roman"/>
              </w:rPr>
            </w:pPr>
            <w:r w:rsidRPr="00C97F4F">
              <w:rPr>
                <w:rFonts w:ascii="Times New Roman" w:eastAsia="Calibri" w:hAnsi="Times New Roman" w:cs="Times New Roman"/>
              </w:rPr>
              <w:t>VTEB</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80B44D" w14:textId="142E57BE" w:rsidR="13FF8813" w:rsidRPr="00C97F4F" w:rsidRDefault="13FF8813" w:rsidP="13FF8813">
            <w:pPr>
              <w:spacing w:after="200" w:line="276" w:lineRule="auto"/>
              <w:jc w:val="center"/>
              <w:rPr>
                <w:rFonts w:ascii="Times New Roman" w:eastAsia="Calibri" w:hAnsi="Times New Roman" w:cs="Times New Roman"/>
              </w:rPr>
            </w:pPr>
            <w:r w:rsidRPr="00C97F4F">
              <w:rPr>
                <w:rFonts w:ascii="Times New Roman" w:eastAsia="Calibri" w:hAnsi="Times New Roman" w:cs="Times New Roman"/>
              </w:rPr>
              <w:t>Vanguard Tax-Exempt Bond Index Fund ETF: VTEB</w:t>
            </w:r>
          </w:p>
          <w:p w14:paraId="456867E1" w14:textId="1F58679C" w:rsidR="13FF8813" w:rsidRPr="00C97F4F" w:rsidRDefault="13FF8813" w:rsidP="13FF8813">
            <w:pPr>
              <w:spacing w:after="200" w:line="276" w:lineRule="auto"/>
              <w:jc w:val="center"/>
              <w:rPr>
                <w:rFonts w:ascii="Times New Roman" w:eastAsia="Calibri" w:hAnsi="Times New Roman" w:cs="Times New Roman"/>
              </w:rPr>
            </w:pPr>
          </w:p>
          <w:p w14:paraId="733BDA4F" w14:textId="20A54931" w:rsidR="13FF8813" w:rsidRPr="00C97F4F" w:rsidRDefault="13FF8813" w:rsidP="13FF8813">
            <w:pPr>
              <w:spacing w:after="200" w:line="276" w:lineRule="auto"/>
              <w:jc w:val="center"/>
              <w:rPr>
                <w:rFonts w:ascii="Times New Roman" w:eastAsia="Calibri" w:hAnsi="Times New Roman" w:cs="Times New Roman"/>
              </w:rPr>
            </w:pP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0E5B0" w14:textId="2E186751" w:rsidR="13FF8813" w:rsidRPr="00C97F4F" w:rsidRDefault="13FF8813" w:rsidP="13FF8813">
            <w:pPr>
              <w:spacing w:after="200" w:line="276" w:lineRule="auto"/>
              <w:jc w:val="center"/>
              <w:rPr>
                <w:rFonts w:ascii="Times New Roman" w:eastAsia="Calibri" w:hAnsi="Times New Roman" w:cs="Times New Roman"/>
              </w:rPr>
            </w:pPr>
            <w:r w:rsidRPr="00C97F4F">
              <w:rPr>
                <w:rFonts w:ascii="Times New Roman" w:eastAsia="Calibri" w:hAnsi="Times New Roman" w:cs="Times New Roman"/>
              </w:rPr>
              <w:t>NYSE</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27EA89" w14:textId="68C6FB1B" w:rsidR="13FF8813" w:rsidRPr="00C97F4F" w:rsidRDefault="13FF8813" w:rsidP="13FF8813">
            <w:pPr>
              <w:spacing w:after="200" w:line="276" w:lineRule="auto"/>
              <w:jc w:val="center"/>
              <w:rPr>
                <w:rFonts w:ascii="Times New Roman" w:eastAsia="Calibri" w:hAnsi="Times New Roman" w:cs="Times New Roman"/>
              </w:rPr>
            </w:pPr>
            <w:r w:rsidRPr="00C97F4F">
              <w:rPr>
                <w:rFonts w:ascii="Times New Roman" w:eastAsia="Calibri" w:hAnsi="Times New Roman" w:cs="Times New Roman"/>
              </w:rPr>
              <w:t>176</w:t>
            </w:r>
          </w:p>
        </w:tc>
        <w:tc>
          <w:tcPr>
            <w:tcW w:w="1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7EB63" w14:textId="556735D5" w:rsidR="13FF8813" w:rsidRPr="00C97F4F" w:rsidRDefault="13FF8813" w:rsidP="13FF8813">
            <w:pPr>
              <w:spacing w:after="200" w:line="276" w:lineRule="auto"/>
              <w:jc w:val="center"/>
              <w:rPr>
                <w:rFonts w:ascii="Times New Roman" w:eastAsia="Calibri" w:hAnsi="Times New Roman" w:cs="Times New Roman"/>
              </w:rPr>
            </w:pPr>
            <w:r w:rsidRPr="00C97F4F">
              <w:rPr>
                <w:rFonts w:ascii="Times New Roman" w:eastAsia="Calibri" w:hAnsi="Times New Roman" w:cs="Times New Roman"/>
              </w:rPr>
              <w:t>$51.05</w:t>
            </w:r>
          </w:p>
        </w:tc>
      </w:tr>
    </w:tbl>
    <w:p w14:paraId="1DB76B4F" w14:textId="661C3CF3"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 </w:t>
      </w:r>
    </w:p>
    <w:p w14:paraId="4095293C" w14:textId="2D1EA44C" w:rsidR="00F54BD6" w:rsidRPr="00C97F4F" w:rsidRDefault="4CACD66F" w:rsidP="13FF8813">
      <w:pPr>
        <w:spacing w:after="200" w:line="276" w:lineRule="auto"/>
        <w:jc w:val="center"/>
        <w:rPr>
          <w:rFonts w:ascii="Times New Roman" w:hAnsi="Times New Roman" w:cs="Times New Roman"/>
        </w:rPr>
      </w:pPr>
      <w:r w:rsidRPr="00C97F4F">
        <w:rPr>
          <w:rFonts w:ascii="Times New Roman" w:hAnsi="Times New Roman" w:cs="Times New Roman"/>
          <w:noProof/>
        </w:rPr>
        <w:lastRenderedPageBreak/>
        <w:drawing>
          <wp:inline distT="0" distB="0" distL="0" distR="0" wp14:anchorId="2B90F08A" wp14:editId="5C2BE99C">
            <wp:extent cx="2670280" cy="1731414"/>
            <wp:effectExtent l="0" t="0" r="0" b="0"/>
            <wp:docPr id="210608656" name="Picture 21060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70280" cy="1731414"/>
                    </a:xfrm>
                    <a:prstGeom prst="rect">
                      <a:avLst/>
                    </a:prstGeom>
                  </pic:spPr>
                </pic:pic>
              </a:graphicData>
            </a:graphic>
          </wp:inline>
        </w:drawing>
      </w:r>
    </w:p>
    <w:p w14:paraId="78DF0F61" w14:textId="2142B076"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rPr>
        <w:t xml:space="preserve">We invested $9,000 into </w:t>
      </w:r>
      <w:proofErr w:type="gramStart"/>
      <w:r w:rsidRPr="00C97F4F">
        <w:rPr>
          <w:rFonts w:ascii="Times New Roman" w:eastAsia="Calibri" w:hAnsi="Times New Roman" w:cs="Times New Roman"/>
        </w:rPr>
        <w:t>176 of</w:t>
      </w:r>
      <w:proofErr w:type="gramEnd"/>
      <w:r w:rsidRPr="00C97F4F">
        <w:rPr>
          <w:rFonts w:ascii="Times New Roman" w:eastAsia="Calibri" w:hAnsi="Times New Roman" w:cs="Times New Roman"/>
        </w:rPr>
        <w:t xml:space="preserve"> VTEB bonds because of the 6 previously stated reasons. We evenly distributed 9% to each of our funds towards 5 out of the 5 bonds we have chosen as we are confident in the diverseness in our portfolio and see them as all attractive investments.     </w:t>
      </w:r>
    </w:p>
    <w:p w14:paraId="4F26A819" w14:textId="6122EE94" w:rsidR="00F54BD6" w:rsidRPr="00C97F4F" w:rsidRDefault="3F7CC779" w:rsidP="13FF8813">
      <w:pPr>
        <w:spacing w:after="200" w:line="276" w:lineRule="auto"/>
        <w:rPr>
          <w:rFonts w:ascii="Times New Roman" w:eastAsia="Calibri" w:hAnsi="Times New Roman" w:cs="Times New Roman"/>
        </w:rPr>
      </w:pPr>
      <w:r w:rsidRPr="00C97F4F">
        <w:rPr>
          <w:rFonts w:ascii="Times New Roman" w:eastAsia="Calibri" w:hAnsi="Times New Roman" w:cs="Times New Roman"/>
          <w:b/>
          <w:bCs/>
        </w:rPr>
        <w:t>For the VTEB Bonds</w:t>
      </w:r>
      <w:r w:rsidRPr="00C97F4F">
        <w:rPr>
          <w:rFonts w:ascii="Times New Roman" w:eastAsia="Calibri" w:hAnsi="Times New Roman" w:cs="Times New Roman"/>
        </w:rPr>
        <w:t xml:space="preserve">:   </w:t>
      </w:r>
    </w:p>
    <w:p w14:paraId="62731127" w14:textId="77777777" w:rsidR="00543BD5" w:rsidRPr="00A74C00" w:rsidRDefault="00543BD5" w:rsidP="00543BD5">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7365E8D2" w14:textId="77777777" w:rsidR="00543BD5" w:rsidRPr="00A74C00" w:rsidRDefault="00543BD5" w:rsidP="00543BD5">
      <w:pPr>
        <w:spacing w:after="200" w:line="276" w:lineRule="auto"/>
        <w:rPr>
          <w:rFonts w:ascii="Times New Roman" w:hAnsi="Times New Roman" w:cs="Times New Roman"/>
        </w:rPr>
      </w:pPr>
      <w:r w:rsidRPr="00A74C00">
        <w:rPr>
          <w:rFonts w:ascii="Times New Roman" w:eastAsia="Calibri" w:hAnsi="Times New Roman" w:cs="Times New Roman"/>
        </w:rPr>
        <w:t xml:space="preserve">  Where:  </w:t>
      </w:r>
    </w:p>
    <w:p w14:paraId="27A1B075" w14:textId="77777777" w:rsidR="00543BD5" w:rsidRPr="00A74C00" w:rsidRDefault="00543BD5" w:rsidP="00543BD5">
      <w:pPr>
        <w:pStyle w:val="ListParagraph"/>
        <w:numPr>
          <w:ilvl w:val="0"/>
          <w:numId w:val="53"/>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Rf = Risk-Free Rate = 4.74% (US Treasury 3 Month Bill)  </w:t>
      </w:r>
    </w:p>
    <w:p w14:paraId="00FB4F33" w14:textId="5A76A087" w:rsidR="00543BD5" w:rsidRPr="00A74C00" w:rsidRDefault="00543BD5" w:rsidP="00543BD5">
      <w:pPr>
        <w:pStyle w:val="ListParagraph"/>
        <w:numPr>
          <w:ilvl w:val="0"/>
          <w:numId w:val="52"/>
        </w:numPr>
        <w:spacing w:after="0" w:line="276" w:lineRule="auto"/>
        <w:rPr>
          <w:rFonts w:ascii="Times New Roman" w:eastAsia="Calibri" w:hAnsi="Times New Roman" w:cs="Times New Roman"/>
        </w:rPr>
      </w:pPr>
      <w:r w:rsidRPr="00A74C00">
        <w:rPr>
          <w:rFonts w:ascii="Times New Roman" w:eastAsia="Calibri" w:hAnsi="Times New Roman" w:cs="Times New Roman"/>
        </w:rPr>
        <w:t>B = Beta = 0.</w:t>
      </w:r>
      <w:r w:rsidR="00B43F1B">
        <w:rPr>
          <w:rFonts w:ascii="Times New Roman" w:eastAsia="Calibri" w:hAnsi="Times New Roman" w:cs="Times New Roman"/>
        </w:rPr>
        <w:t>96</w:t>
      </w:r>
      <w:r w:rsidRPr="00A74C00">
        <w:rPr>
          <w:rFonts w:ascii="Times New Roman" w:eastAsia="Calibri" w:hAnsi="Times New Roman" w:cs="Times New Roman"/>
        </w:rPr>
        <w:t xml:space="preserve"> measure of </w:t>
      </w:r>
      <w:r w:rsidR="00B43F1B">
        <w:rPr>
          <w:rFonts w:ascii="Times New Roman" w:eastAsia="Calibri" w:hAnsi="Times New Roman" w:cs="Times New Roman"/>
        </w:rPr>
        <w:t xml:space="preserve">VTEB ETF </w:t>
      </w:r>
      <w:r w:rsidRPr="00A74C00">
        <w:rPr>
          <w:rFonts w:ascii="Times New Roman" w:eastAsia="Calibri" w:hAnsi="Times New Roman" w:cs="Times New Roman"/>
        </w:rPr>
        <w:t xml:space="preserve">price volatility  </w:t>
      </w:r>
    </w:p>
    <w:p w14:paraId="441A1113" w14:textId="77777777" w:rsidR="00543BD5" w:rsidRPr="00A74C00" w:rsidRDefault="00543BD5" w:rsidP="00543BD5">
      <w:pPr>
        <w:pStyle w:val="ListParagraph"/>
        <w:numPr>
          <w:ilvl w:val="0"/>
          <w:numId w:val="51"/>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E(Rm) = Expected return on the market = our benchmark which is a 10-year average of </w:t>
      </w:r>
      <w:proofErr w:type="gramStart"/>
      <w:r w:rsidRPr="00A74C00">
        <w:rPr>
          <w:rFonts w:ascii="Times New Roman" w:eastAsia="Calibri" w:hAnsi="Times New Roman" w:cs="Times New Roman"/>
        </w:rPr>
        <w:t>the S</w:t>
      </w:r>
      <w:proofErr w:type="gramEnd"/>
      <w:r w:rsidRPr="00A74C00">
        <w:rPr>
          <w:rFonts w:ascii="Times New Roman" w:eastAsia="Calibri" w:hAnsi="Times New Roman" w:cs="Times New Roman"/>
        </w:rPr>
        <w:t>&amp;P 500 = The average rate of return for the S&amp;P 500 since 2012 is 1</w:t>
      </w:r>
      <w:r>
        <w:rPr>
          <w:rFonts w:ascii="Times New Roman" w:eastAsia="Calibri" w:hAnsi="Times New Roman" w:cs="Times New Roman"/>
        </w:rPr>
        <w:t>3.22</w:t>
      </w:r>
      <w:r w:rsidRPr="00A74C00">
        <w:rPr>
          <w:rFonts w:ascii="Times New Roman" w:eastAsia="Calibri" w:hAnsi="Times New Roman" w:cs="Times New Roman"/>
        </w:rPr>
        <w:t xml:space="preserve">%  </w:t>
      </w:r>
    </w:p>
    <w:p w14:paraId="370DCC90" w14:textId="77777777" w:rsidR="00543BD5" w:rsidRPr="00A74C00" w:rsidRDefault="00543BD5" w:rsidP="00543BD5">
      <w:pPr>
        <w:spacing w:after="200" w:line="276" w:lineRule="auto"/>
        <w:rPr>
          <w:rFonts w:ascii="Times New Roman" w:hAnsi="Times New Roman" w:cs="Times New Roman"/>
        </w:rPr>
      </w:pPr>
      <w:r w:rsidRPr="00A74C00">
        <w:rPr>
          <w:rFonts w:ascii="Times New Roman" w:eastAsia="Calibri" w:hAnsi="Times New Roman" w:cs="Times New Roman"/>
        </w:rPr>
        <w:t xml:space="preserve">  </w:t>
      </w:r>
    </w:p>
    <w:p w14:paraId="276D7A45" w14:textId="77777777" w:rsidR="00543BD5" w:rsidRPr="00A74C00" w:rsidRDefault="00543BD5" w:rsidP="00543BD5">
      <w:pPr>
        <w:spacing w:after="200" w:line="276" w:lineRule="auto"/>
        <w:rPr>
          <w:rFonts w:ascii="Times New Roman" w:hAnsi="Times New Roman" w:cs="Times New Roman"/>
        </w:rPr>
      </w:pPr>
      <w:r w:rsidRPr="00A74C00">
        <w:rPr>
          <w:rFonts w:ascii="Times New Roman" w:eastAsia="Calibri" w:hAnsi="Times New Roman" w:cs="Times New Roman"/>
        </w:rPr>
        <w:t xml:space="preserve">Therefore:  </w:t>
      </w:r>
    </w:p>
    <w:p w14:paraId="2DF86742" w14:textId="77777777" w:rsidR="00543BD5" w:rsidRPr="00A74C00" w:rsidRDefault="00543BD5" w:rsidP="00543BD5">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2D9E1FAD" w14:textId="5F84A02E" w:rsidR="00543BD5" w:rsidRPr="00A74C00" w:rsidRDefault="00543BD5" w:rsidP="00543BD5">
      <w:pPr>
        <w:spacing w:after="200" w:line="276" w:lineRule="auto"/>
        <w:rPr>
          <w:rFonts w:ascii="Times New Roman" w:hAnsi="Times New Roman" w:cs="Times New Roman"/>
        </w:rPr>
      </w:pPr>
      <w:r w:rsidRPr="00A74C00">
        <w:rPr>
          <w:rFonts w:ascii="Times New Roman" w:eastAsia="Calibri" w:hAnsi="Times New Roman" w:cs="Times New Roman"/>
        </w:rPr>
        <w:t>= 4.74% + 0.</w:t>
      </w:r>
      <w:r w:rsidR="00B43F1B">
        <w:rPr>
          <w:rFonts w:ascii="Times New Roman" w:eastAsia="Calibri" w:hAnsi="Times New Roman" w:cs="Times New Roman"/>
        </w:rPr>
        <w:t>96</w:t>
      </w:r>
      <w:r w:rsidRPr="00A74C00">
        <w:rPr>
          <w:rFonts w:ascii="Times New Roman" w:eastAsia="Calibri" w:hAnsi="Times New Roman" w:cs="Times New Roman"/>
        </w:rPr>
        <w:t xml:space="preserve"> * [1</w:t>
      </w:r>
      <w:r>
        <w:rPr>
          <w:rFonts w:ascii="Times New Roman" w:eastAsia="Calibri" w:hAnsi="Times New Roman" w:cs="Times New Roman"/>
        </w:rPr>
        <w:t>3.22</w:t>
      </w:r>
      <w:r w:rsidRPr="00A74C00">
        <w:rPr>
          <w:rFonts w:ascii="Times New Roman" w:eastAsia="Calibri" w:hAnsi="Times New Roman" w:cs="Times New Roman"/>
        </w:rPr>
        <w:t xml:space="preserve">%-4.74%]  </w:t>
      </w:r>
    </w:p>
    <w:p w14:paraId="49A9DC7B" w14:textId="59BB2680" w:rsidR="00180BD1" w:rsidRPr="003B3C19" w:rsidRDefault="00543BD5" w:rsidP="003B3C19">
      <w:pPr>
        <w:spacing w:after="200" w:line="276" w:lineRule="auto"/>
        <w:rPr>
          <w:rFonts w:ascii="Times New Roman" w:hAnsi="Times New Roman" w:cs="Times New Roman"/>
        </w:rPr>
      </w:pPr>
      <w:r w:rsidRPr="00A74C00">
        <w:rPr>
          <w:rFonts w:ascii="Times New Roman" w:eastAsia="Calibri" w:hAnsi="Times New Roman" w:cs="Times New Roman"/>
        </w:rPr>
        <w:t xml:space="preserve">= </w:t>
      </w:r>
      <w:r w:rsidRPr="003B689C">
        <w:rPr>
          <w:rFonts w:ascii="Times New Roman" w:eastAsia="Calibri" w:hAnsi="Times New Roman" w:cs="Times New Roman"/>
          <w:highlight w:val="lightGray"/>
        </w:rPr>
        <w:t>1</w:t>
      </w:r>
      <w:r>
        <w:rPr>
          <w:rFonts w:ascii="Times New Roman" w:eastAsia="Calibri" w:hAnsi="Times New Roman" w:cs="Times New Roman"/>
          <w:highlight w:val="lightGray"/>
        </w:rPr>
        <w:t>2.</w:t>
      </w:r>
      <w:r w:rsidR="00B43F1B">
        <w:rPr>
          <w:rFonts w:ascii="Times New Roman" w:eastAsia="Calibri" w:hAnsi="Times New Roman" w:cs="Times New Roman"/>
          <w:highlight w:val="lightGray"/>
        </w:rPr>
        <w:t>88</w:t>
      </w:r>
      <w:r w:rsidRPr="003B689C">
        <w:rPr>
          <w:rFonts w:ascii="Times New Roman" w:eastAsia="Calibri" w:hAnsi="Times New Roman" w:cs="Times New Roman"/>
          <w:highlight w:val="lightGray"/>
        </w:rPr>
        <w:t>%</w:t>
      </w:r>
      <w:r w:rsidRPr="00A74C00">
        <w:rPr>
          <w:rFonts w:ascii="Times New Roman" w:eastAsia="Calibri" w:hAnsi="Times New Roman" w:cs="Times New Roman"/>
        </w:rPr>
        <w:t xml:space="preserve"> </w:t>
      </w:r>
    </w:p>
    <w:p w14:paraId="24FA194A" w14:textId="4DC62628" w:rsidR="004903E6" w:rsidRDefault="004903E6" w:rsidP="00F54BD6"/>
    <w:p w14:paraId="4778980B" w14:textId="46CFBA25" w:rsidR="00F54BD6" w:rsidRDefault="594967CA" w:rsidP="554E3AFB">
      <w:pPr>
        <w:rPr>
          <w:rFonts w:ascii="Times New Roman" w:eastAsia="Times New Roman" w:hAnsi="Times New Roman" w:cs="Times New Roman"/>
          <w:b/>
          <w:bCs/>
          <w:sz w:val="28"/>
          <w:szCs w:val="28"/>
        </w:rPr>
      </w:pPr>
      <w:r w:rsidRPr="554E3AFB">
        <w:rPr>
          <w:rFonts w:ascii="Times New Roman" w:eastAsia="Times New Roman" w:hAnsi="Times New Roman" w:cs="Times New Roman"/>
          <w:b/>
          <w:bCs/>
          <w:sz w:val="28"/>
          <w:szCs w:val="28"/>
        </w:rPr>
        <w:t>Investment 7:</w:t>
      </w:r>
      <w:r w:rsidR="2605E868" w:rsidRPr="554E3AFB">
        <w:rPr>
          <w:rFonts w:ascii="Times New Roman" w:eastAsia="Times New Roman" w:hAnsi="Times New Roman" w:cs="Times New Roman"/>
          <w:b/>
          <w:bCs/>
          <w:sz w:val="28"/>
          <w:szCs w:val="28"/>
        </w:rPr>
        <w:t xml:space="preserve"> </w:t>
      </w:r>
      <w:r w:rsidR="0F59DB97" w:rsidRPr="554E3AFB">
        <w:rPr>
          <w:rFonts w:ascii="Times New Roman" w:eastAsia="Times New Roman" w:hAnsi="Times New Roman" w:cs="Times New Roman"/>
          <w:b/>
          <w:bCs/>
          <w:sz w:val="28"/>
          <w:szCs w:val="28"/>
        </w:rPr>
        <w:t xml:space="preserve"> </w:t>
      </w:r>
      <w:r w:rsidR="0A1B7FF6" w:rsidRPr="554E3AFB">
        <w:rPr>
          <w:rFonts w:ascii="Times New Roman" w:eastAsia="Times New Roman" w:hAnsi="Times New Roman" w:cs="Times New Roman"/>
          <w:b/>
          <w:bCs/>
          <w:sz w:val="28"/>
          <w:szCs w:val="28"/>
        </w:rPr>
        <w:t>iShares 20+ Year Treasury Bond ETF (TLT)</w:t>
      </w:r>
    </w:p>
    <w:p w14:paraId="42C51272" w14:textId="19E8C96B" w:rsidR="00F54BD6" w:rsidRPr="009C4AB9" w:rsidRDefault="0A1B7FF6" w:rsidP="554E3AFB">
      <w:pPr>
        <w:spacing w:before="240" w:after="240"/>
        <w:rPr>
          <w:rFonts w:ascii="Times New Roman" w:hAnsi="Times New Roman" w:cs="Times New Roman"/>
        </w:rPr>
      </w:pPr>
      <w:r w:rsidRPr="009C4AB9">
        <w:rPr>
          <w:rFonts w:ascii="Times New Roman" w:eastAsia="Times New Roman" w:hAnsi="Times New Roman" w:cs="Times New Roman"/>
          <w:b/>
          <w:bCs/>
          <w:color w:val="000000" w:themeColor="text1"/>
        </w:rPr>
        <w:t>a) Background on Company</w:t>
      </w:r>
    </w:p>
    <w:p w14:paraId="10B51942" w14:textId="22A9E61C" w:rsidR="00F54BD6" w:rsidRPr="009C4AB9" w:rsidRDefault="0A1B7FF6" w:rsidP="554E3AFB">
      <w:pPr>
        <w:rPr>
          <w:rFonts w:ascii="Times New Roman" w:eastAsia="Times New Roman" w:hAnsi="Times New Roman" w:cs="Times New Roman"/>
          <w:color w:val="000000" w:themeColor="text1"/>
        </w:rPr>
      </w:pPr>
      <w:r w:rsidRPr="009C4AB9">
        <w:rPr>
          <w:rFonts w:ascii="Times New Roman" w:eastAsia="Times New Roman" w:hAnsi="Times New Roman" w:cs="Times New Roman"/>
          <w:color w:val="000000" w:themeColor="text1"/>
        </w:rPr>
        <w:t xml:space="preserve">The </w:t>
      </w:r>
      <w:r w:rsidRPr="009C4AB9">
        <w:rPr>
          <w:rFonts w:ascii="Times New Roman" w:eastAsia="Times New Roman" w:hAnsi="Times New Roman" w:cs="Times New Roman"/>
          <w:b/>
          <w:bCs/>
          <w:color w:val="000000" w:themeColor="text1"/>
        </w:rPr>
        <w:t>iShares 20+ Year Treasury Bond ETF (TLT)</w:t>
      </w:r>
      <w:r w:rsidRPr="009C4AB9">
        <w:rPr>
          <w:rFonts w:ascii="Times New Roman" w:eastAsia="Times New Roman" w:hAnsi="Times New Roman" w:cs="Times New Roman"/>
          <w:color w:val="000000" w:themeColor="text1"/>
        </w:rPr>
        <w:t xml:space="preserve"> is an exchange-traded fund that invests in U.S. Treasury bonds with maturities greater than 20 years. TLT offers investors exposure to long-duration U.S. government bonds, which are considered </w:t>
      </w:r>
      <w:proofErr w:type="gramStart"/>
      <w:r w:rsidRPr="009C4AB9">
        <w:rPr>
          <w:rFonts w:ascii="Times New Roman" w:eastAsia="Times New Roman" w:hAnsi="Times New Roman" w:cs="Times New Roman"/>
          <w:color w:val="000000" w:themeColor="text1"/>
        </w:rPr>
        <w:t>a safe haven</w:t>
      </w:r>
      <w:proofErr w:type="gramEnd"/>
      <w:r w:rsidRPr="009C4AB9">
        <w:rPr>
          <w:rFonts w:ascii="Times New Roman" w:eastAsia="Times New Roman" w:hAnsi="Times New Roman" w:cs="Times New Roman"/>
          <w:color w:val="000000" w:themeColor="text1"/>
        </w:rPr>
        <w:t xml:space="preserve"> during periods of economic uncertainty. The ETF is designed to provide regular income while serving as a hedge against market volatility.</w:t>
      </w:r>
    </w:p>
    <w:p w14:paraId="37397F1A" w14:textId="358757C6" w:rsidR="00F54BD6" w:rsidRPr="009C4AB9" w:rsidRDefault="0A1B7FF6" w:rsidP="554E3AFB">
      <w:pPr>
        <w:pStyle w:val="ListParagraph"/>
        <w:numPr>
          <w:ilvl w:val="0"/>
          <w:numId w:val="12"/>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lastRenderedPageBreak/>
        <w:t>Market Capitalization</w:t>
      </w:r>
      <w:r w:rsidRPr="009C4AB9">
        <w:rPr>
          <w:rFonts w:ascii="Times New Roman" w:eastAsia="Times New Roman" w:hAnsi="Times New Roman" w:cs="Times New Roman"/>
          <w:color w:val="000000" w:themeColor="text1"/>
        </w:rPr>
        <w:t>: $22 billion (as of December 2023)</w:t>
      </w:r>
    </w:p>
    <w:p w14:paraId="3692CE42" w14:textId="26470452" w:rsidR="00F54BD6" w:rsidRPr="009C4AB9" w:rsidRDefault="0A1B7FF6" w:rsidP="554E3AFB">
      <w:pPr>
        <w:pStyle w:val="ListParagraph"/>
        <w:numPr>
          <w:ilvl w:val="0"/>
          <w:numId w:val="12"/>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t>Expense Ratio</w:t>
      </w:r>
      <w:r w:rsidRPr="009C4AB9">
        <w:rPr>
          <w:rFonts w:ascii="Times New Roman" w:eastAsia="Times New Roman" w:hAnsi="Times New Roman" w:cs="Times New Roman"/>
          <w:color w:val="000000" w:themeColor="text1"/>
        </w:rPr>
        <w:t>: 0.15% (as of 2023)</w:t>
      </w:r>
    </w:p>
    <w:p w14:paraId="55BAD4F6" w14:textId="0D841D67" w:rsidR="00F54BD6" w:rsidRPr="009C4AB9" w:rsidRDefault="0A1B7FF6" w:rsidP="554E3AFB">
      <w:pPr>
        <w:pStyle w:val="ListParagraph"/>
        <w:numPr>
          <w:ilvl w:val="0"/>
          <w:numId w:val="12"/>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t>Dividend Yield</w:t>
      </w:r>
      <w:r w:rsidRPr="009C4AB9">
        <w:rPr>
          <w:rFonts w:ascii="Times New Roman" w:eastAsia="Times New Roman" w:hAnsi="Times New Roman" w:cs="Times New Roman"/>
          <w:color w:val="000000" w:themeColor="text1"/>
        </w:rPr>
        <w:t>: 3.12% (annual yield based on trailing 12-month income)</w:t>
      </w:r>
    </w:p>
    <w:p w14:paraId="24C5AC0D" w14:textId="006383F5" w:rsidR="00F54BD6" w:rsidRPr="009C4AB9" w:rsidRDefault="0A1B7FF6" w:rsidP="554E3AFB">
      <w:pPr>
        <w:pStyle w:val="ListParagraph"/>
        <w:numPr>
          <w:ilvl w:val="0"/>
          <w:numId w:val="12"/>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t>Current Price</w:t>
      </w:r>
      <w:r w:rsidRPr="009C4AB9">
        <w:rPr>
          <w:rFonts w:ascii="Times New Roman" w:eastAsia="Times New Roman" w:hAnsi="Times New Roman" w:cs="Times New Roman"/>
          <w:color w:val="000000" w:themeColor="text1"/>
        </w:rPr>
        <w:t>: $93.97 (as of December 2023)</w:t>
      </w:r>
    </w:p>
    <w:p w14:paraId="334BC801" w14:textId="594D753B" w:rsidR="00F54BD6" w:rsidRPr="009C4AB9" w:rsidRDefault="0A1B7FF6" w:rsidP="554E3AFB">
      <w:pPr>
        <w:spacing w:before="240" w:after="240"/>
        <w:rPr>
          <w:rFonts w:ascii="Times New Roman" w:hAnsi="Times New Roman" w:cs="Times New Roman"/>
        </w:rPr>
      </w:pPr>
      <w:r w:rsidRPr="009C4AB9">
        <w:rPr>
          <w:rFonts w:ascii="Times New Roman" w:eastAsia="Times New Roman" w:hAnsi="Times New Roman" w:cs="Times New Roman"/>
          <w:b/>
          <w:bCs/>
          <w:color w:val="000000" w:themeColor="text1"/>
        </w:rPr>
        <w:t>Reason 1) Valuation Assessment (Low P/E Ratio and Favorable Comparison to Industry Average)</w:t>
      </w:r>
    </w:p>
    <w:p w14:paraId="1C90F230" w14:textId="6C7C4453" w:rsidR="00F54BD6" w:rsidRPr="009C4AB9" w:rsidRDefault="445690FD" w:rsidP="554E3AFB">
      <w:pPr>
        <w:rPr>
          <w:rFonts w:ascii="Times New Roman" w:hAnsi="Times New Roman" w:cs="Times New Roman"/>
        </w:rPr>
      </w:pPr>
      <w:r w:rsidRPr="009C4AB9">
        <w:rPr>
          <w:rFonts w:ascii="Times New Roman" w:hAnsi="Times New Roman" w:cs="Times New Roman"/>
          <w:noProof/>
        </w:rPr>
        <w:drawing>
          <wp:inline distT="0" distB="0" distL="0" distR="0" wp14:anchorId="35EEE488" wp14:editId="04919BEA">
            <wp:extent cx="5743575" cy="2528739"/>
            <wp:effectExtent l="0" t="0" r="0" b="0"/>
            <wp:docPr id="234837132" name="Picture 2348371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3575" cy="2528739"/>
                    </a:xfrm>
                    <a:prstGeom prst="rect">
                      <a:avLst/>
                    </a:prstGeom>
                  </pic:spPr>
                </pic:pic>
              </a:graphicData>
            </a:graphic>
          </wp:inline>
        </w:drawing>
      </w:r>
    </w:p>
    <w:p w14:paraId="3EC78DA7" w14:textId="46FC54FE" w:rsidR="00F54BD6" w:rsidRPr="009C4AB9" w:rsidRDefault="00F54BD6" w:rsidP="00F54BD6">
      <w:pPr>
        <w:rPr>
          <w:rFonts w:ascii="Times New Roman" w:hAnsi="Times New Roman" w:cs="Times New Roman"/>
        </w:rPr>
      </w:pPr>
    </w:p>
    <w:p w14:paraId="7E490FB7" w14:textId="6DB148B4" w:rsidR="00F54BD6" w:rsidRPr="009C4AB9" w:rsidRDefault="0A1B7FF6" w:rsidP="554E3AFB">
      <w:pPr>
        <w:pStyle w:val="ListParagraph"/>
        <w:numPr>
          <w:ilvl w:val="0"/>
          <w:numId w:val="11"/>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t>P/E Ratio</w:t>
      </w:r>
      <w:r w:rsidRPr="009C4AB9">
        <w:rPr>
          <w:rFonts w:ascii="Times New Roman" w:eastAsia="Times New Roman" w:hAnsi="Times New Roman" w:cs="Times New Roman"/>
          <w:color w:val="000000" w:themeColor="text1"/>
        </w:rPr>
        <w:t xml:space="preserve">: TLT has a low P/E ratio since it primarily holds government bonds, which are not typically valued in the same way as equities. The bond market often uses metrics such as </w:t>
      </w:r>
      <w:r w:rsidRPr="009C4AB9">
        <w:rPr>
          <w:rFonts w:ascii="Times New Roman" w:eastAsia="Times New Roman" w:hAnsi="Times New Roman" w:cs="Times New Roman"/>
          <w:b/>
          <w:bCs/>
          <w:color w:val="000000" w:themeColor="text1"/>
        </w:rPr>
        <w:t>yield to maturity (YTM)</w:t>
      </w:r>
      <w:r w:rsidRPr="009C4AB9">
        <w:rPr>
          <w:rFonts w:ascii="Times New Roman" w:eastAsia="Times New Roman" w:hAnsi="Times New Roman" w:cs="Times New Roman"/>
          <w:color w:val="000000" w:themeColor="text1"/>
        </w:rPr>
        <w:t xml:space="preserve"> instead of P/E ratios. TLT’s YTM of </w:t>
      </w:r>
      <w:r w:rsidRPr="009C4AB9">
        <w:rPr>
          <w:rFonts w:ascii="Times New Roman" w:eastAsia="Times New Roman" w:hAnsi="Times New Roman" w:cs="Times New Roman"/>
          <w:b/>
          <w:bCs/>
          <w:color w:val="000000" w:themeColor="text1"/>
        </w:rPr>
        <w:t>3.2%</w:t>
      </w:r>
      <w:r w:rsidRPr="009C4AB9">
        <w:rPr>
          <w:rFonts w:ascii="Times New Roman" w:eastAsia="Times New Roman" w:hAnsi="Times New Roman" w:cs="Times New Roman"/>
          <w:color w:val="000000" w:themeColor="text1"/>
        </w:rPr>
        <w:t xml:space="preserve"> provides a competitive return relative to other fixed-income products.</w:t>
      </w:r>
    </w:p>
    <w:p w14:paraId="06AC389D" w14:textId="79B7F325" w:rsidR="00F54BD6" w:rsidRPr="009C4AB9" w:rsidRDefault="00F54BD6" w:rsidP="00F54BD6">
      <w:pPr>
        <w:rPr>
          <w:rFonts w:ascii="Times New Roman" w:hAnsi="Times New Roman" w:cs="Times New Roman"/>
        </w:rPr>
      </w:pPr>
    </w:p>
    <w:p w14:paraId="6AA56D9E" w14:textId="08CF1E97" w:rsidR="00F54BD6" w:rsidRPr="009C4AB9" w:rsidRDefault="0A1B7FF6" w:rsidP="554E3AFB">
      <w:pPr>
        <w:rPr>
          <w:rFonts w:ascii="Times New Roman" w:eastAsia="Times New Roman" w:hAnsi="Times New Roman" w:cs="Times New Roman"/>
          <w:b/>
          <w:bCs/>
          <w:color w:val="000000" w:themeColor="text1"/>
        </w:rPr>
      </w:pPr>
      <w:r w:rsidRPr="009C4AB9">
        <w:rPr>
          <w:rFonts w:ascii="Times New Roman" w:eastAsia="Times New Roman" w:hAnsi="Times New Roman" w:cs="Times New Roman"/>
          <w:b/>
          <w:bCs/>
          <w:color w:val="000000" w:themeColor="text1"/>
        </w:rPr>
        <w:t>Reason 2) Valuation Assessment (Low P/B Ratio and Favorable Comparison to Industry Average)</w:t>
      </w:r>
    </w:p>
    <w:p w14:paraId="24EC27A3" w14:textId="63EAE76A" w:rsidR="00F54BD6" w:rsidRPr="009C4AB9" w:rsidRDefault="0A1B7FF6" w:rsidP="554E3AFB">
      <w:pPr>
        <w:pStyle w:val="ListParagraph"/>
        <w:numPr>
          <w:ilvl w:val="0"/>
          <w:numId w:val="10"/>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t>P/B Ratio</w:t>
      </w:r>
      <w:r w:rsidRPr="009C4AB9">
        <w:rPr>
          <w:rFonts w:ascii="Times New Roman" w:eastAsia="Times New Roman" w:hAnsi="Times New Roman" w:cs="Times New Roman"/>
          <w:color w:val="000000" w:themeColor="text1"/>
        </w:rPr>
        <w:t xml:space="preserve">: As a bond ETF, TLT does not have </w:t>
      </w:r>
      <w:proofErr w:type="gramStart"/>
      <w:r w:rsidRPr="009C4AB9">
        <w:rPr>
          <w:rFonts w:ascii="Times New Roman" w:eastAsia="Times New Roman" w:hAnsi="Times New Roman" w:cs="Times New Roman"/>
          <w:color w:val="000000" w:themeColor="text1"/>
        </w:rPr>
        <w:t>a traditional</w:t>
      </w:r>
      <w:proofErr w:type="gramEnd"/>
      <w:r w:rsidRPr="009C4AB9">
        <w:rPr>
          <w:rFonts w:ascii="Times New Roman" w:eastAsia="Times New Roman" w:hAnsi="Times New Roman" w:cs="Times New Roman"/>
          <w:color w:val="000000" w:themeColor="text1"/>
        </w:rPr>
        <w:t xml:space="preserve"> book value. Instead, its value is tied directly to the prices of the underlying U.S. Treasury bonds. TLT’s price has been relatively stable, maintaining consistent performance during market volatility.</w:t>
      </w:r>
    </w:p>
    <w:p w14:paraId="7E6D491F" w14:textId="6EDF1DE6" w:rsidR="00F54BD6" w:rsidRPr="009C4AB9" w:rsidRDefault="00F54BD6" w:rsidP="00F54BD6">
      <w:pPr>
        <w:rPr>
          <w:rFonts w:ascii="Times New Roman" w:hAnsi="Times New Roman" w:cs="Times New Roman"/>
        </w:rPr>
      </w:pPr>
    </w:p>
    <w:p w14:paraId="0BE05743" w14:textId="41EE8739" w:rsidR="00F54BD6" w:rsidRPr="009C4AB9" w:rsidRDefault="0A1B7FF6" w:rsidP="554E3AFB">
      <w:pPr>
        <w:rPr>
          <w:rFonts w:ascii="Times New Roman" w:eastAsia="Times New Roman" w:hAnsi="Times New Roman" w:cs="Times New Roman"/>
          <w:b/>
          <w:bCs/>
          <w:color w:val="000000" w:themeColor="text1"/>
        </w:rPr>
      </w:pPr>
      <w:r w:rsidRPr="009C4AB9">
        <w:rPr>
          <w:rFonts w:ascii="Times New Roman" w:eastAsia="Times New Roman" w:hAnsi="Times New Roman" w:cs="Times New Roman"/>
          <w:b/>
          <w:bCs/>
          <w:color w:val="000000" w:themeColor="text1"/>
        </w:rPr>
        <w:t>Reason 3) Profitability Assessment</w:t>
      </w:r>
    </w:p>
    <w:p w14:paraId="1F9539B9" w14:textId="416670BF" w:rsidR="00F54BD6" w:rsidRPr="009C4AB9" w:rsidRDefault="0A1B7FF6" w:rsidP="554E3AFB">
      <w:pPr>
        <w:spacing w:before="220" w:after="220"/>
        <w:jc w:val="center"/>
        <w:rPr>
          <w:rFonts w:ascii="Times New Roman" w:hAnsi="Times New Roman" w:cs="Times New Roman"/>
        </w:rPr>
      </w:pPr>
      <w:r w:rsidRPr="009C4AB9">
        <w:rPr>
          <w:rFonts w:ascii="Times New Roman" w:hAnsi="Times New Roman" w:cs="Times New Roman"/>
          <w:noProof/>
        </w:rPr>
        <w:lastRenderedPageBreak/>
        <w:drawing>
          <wp:inline distT="0" distB="0" distL="0" distR="0" wp14:anchorId="77EF5D0D" wp14:editId="48FD9CE1">
            <wp:extent cx="4095750" cy="2933700"/>
            <wp:effectExtent l="0" t="0" r="0" b="0"/>
            <wp:docPr id="1725206573" name="Picture 172520657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095750" cy="2933700"/>
                    </a:xfrm>
                    <a:prstGeom prst="rect">
                      <a:avLst/>
                    </a:prstGeom>
                  </pic:spPr>
                </pic:pic>
              </a:graphicData>
            </a:graphic>
          </wp:inline>
        </w:drawing>
      </w:r>
    </w:p>
    <w:p w14:paraId="2D4FF838" w14:textId="14A26D10" w:rsidR="00F54BD6" w:rsidRPr="009C4AB9" w:rsidRDefault="0A1B7FF6" w:rsidP="554E3AFB">
      <w:pPr>
        <w:pStyle w:val="ListParagraph"/>
        <w:numPr>
          <w:ilvl w:val="0"/>
          <w:numId w:val="9"/>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color w:val="000000" w:themeColor="text1"/>
        </w:rPr>
        <w:t xml:space="preserve">TLT’s profitability is largely based on its ability to distribute the interest income generated from U.S. Treasury bonds. </w:t>
      </w:r>
      <w:proofErr w:type="gramStart"/>
      <w:r w:rsidRPr="009C4AB9">
        <w:rPr>
          <w:rFonts w:ascii="Times New Roman" w:eastAsia="Times New Roman" w:hAnsi="Times New Roman" w:cs="Times New Roman"/>
          <w:color w:val="000000" w:themeColor="text1"/>
        </w:rPr>
        <w:t>The ETF</w:t>
      </w:r>
      <w:proofErr w:type="gramEnd"/>
      <w:r w:rsidRPr="009C4AB9">
        <w:rPr>
          <w:rFonts w:ascii="Times New Roman" w:eastAsia="Times New Roman" w:hAnsi="Times New Roman" w:cs="Times New Roman"/>
          <w:color w:val="000000" w:themeColor="text1"/>
        </w:rPr>
        <w:t xml:space="preserve"> provides a stable income stream with an annual dividend yield of </w:t>
      </w:r>
      <w:r w:rsidRPr="009C4AB9">
        <w:rPr>
          <w:rFonts w:ascii="Times New Roman" w:eastAsia="Times New Roman" w:hAnsi="Times New Roman" w:cs="Times New Roman"/>
          <w:b/>
          <w:bCs/>
          <w:color w:val="000000" w:themeColor="text1"/>
        </w:rPr>
        <w:t>3.12%</w:t>
      </w:r>
      <w:r w:rsidRPr="009C4AB9">
        <w:rPr>
          <w:rFonts w:ascii="Times New Roman" w:eastAsia="Times New Roman" w:hAnsi="Times New Roman" w:cs="Times New Roman"/>
          <w:color w:val="000000" w:themeColor="text1"/>
        </w:rPr>
        <w:t>, which is attractive to income-seeking investors, especially during low-interest-rate environments.</w:t>
      </w:r>
    </w:p>
    <w:p w14:paraId="7204438F" w14:textId="5DE5D876" w:rsidR="00F54BD6" w:rsidRPr="009C4AB9" w:rsidRDefault="00F54BD6" w:rsidP="00F54BD6">
      <w:pPr>
        <w:rPr>
          <w:rFonts w:ascii="Times New Roman" w:hAnsi="Times New Roman" w:cs="Times New Roman"/>
        </w:rPr>
      </w:pPr>
    </w:p>
    <w:p w14:paraId="5609F5F7" w14:textId="6E930FF3" w:rsidR="00F54BD6" w:rsidRPr="009C4AB9" w:rsidRDefault="0A1B7FF6" w:rsidP="554E3AFB">
      <w:pPr>
        <w:rPr>
          <w:rFonts w:ascii="Times New Roman" w:eastAsia="Times New Roman" w:hAnsi="Times New Roman" w:cs="Times New Roman"/>
          <w:b/>
          <w:bCs/>
          <w:color w:val="000000" w:themeColor="text1"/>
        </w:rPr>
      </w:pPr>
      <w:r w:rsidRPr="009C4AB9">
        <w:rPr>
          <w:rFonts w:ascii="Times New Roman" w:hAnsi="Times New Roman" w:cs="Times New Roman"/>
          <w:b/>
          <w:bCs/>
        </w:rPr>
        <w:t>Reason 4) Consistent Trailing Dividend Payout or Predictable Income (Bond)</w:t>
      </w:r>
    </w:p>
    <w:p w14:paraId="21F729E4" w14:textId="400615C2" w:rsidR="00F54BD6" w:rsidRPr="009C4AB9" w:rsidRDefault="0A1B7FF6" w:rsidP="554E3AFB">
      <w:pPr>
        <w:pStyle w:val="ListParagraph"/>
        <w:numPr>
          <w:ilvl w:val="0"/>
          <w:numId w:val="8"/>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t>Dividend Yield</w:t>
      </w:r>
      <w:r w:rsidRPr="009C4AB9">
        <w:rPr>
          <w:rFonts w:ascii="Times New Roman" w:eastAsia="Times New Roman" w:hAnsi="Times New Roman" w:cs="Times New Roman"/>
          <w:color w:val="000000" w:themeColor="text1"/>
        </w:rPr>
        <w:t xml:space="preserve">: TLT pays a consistent annual dividend yield of </w:t>
      </w:r>
      <w:r w:rsidRPr="009C4AB9">
        <w:rPr>
          <w:rFonts w:ascii="Times New Roman" w:eastAsia="Times New Roman" w:hAnsi="Times New Roman" w:cs="Times New Roman"/>
          <w:b/>
          <w:bCs/>
          <w:color w:val="000000" w:themeColor="text1"/>
        </w:rPr>
        <w:t>3.12%</w:t>
      </w:r>
      <w:r w:rsidRPr="009C4AB9">
        <w:rPr>
          <w:rFonts w:ascii="Times New Roman" w:eastAsia="Times New Roman" w:hAnsi="Times New Roman" w:cs="Times New Roman"/>
          <w:color w:val="000000" w:themeColor="text1"/>
        </w:rPr>
        <w:t>, reflecting the interest income from the long-term U.S. Treasury bonds it holds. This yield has been relatively stable, providing reliable income for investors.</w:t>
      </w:r>
    </w:p>
    <w:p w14:paraId="4B2C0D81" w14:textId="1209DB33" w:rsidR="00F54BD6" w:rsidRPr="009C4AB9" w:rsidRDefault="00F54BD6" w:rsidP="00F54BD6">
      <w:pPr>
        <w:rPr>
          <w:rFonts w:ascii="Times New Roman" w:hAnsi="Times New Roman" w:cs="Times New Roman"/>
        </w:rPr>
      </w:pPr>
    </w:p>
    <w:p w14:paraId="023DF5EB" w14:textId="0C272B25" w:rsidR="00F54BD6" w:rsidRPr="009C4AB9" w:rsidRDefault="0A1B7FF6" w:rsidP="554E3AFB">
      <w:pPr>
        <w:rPr>
          <w:rFonts w:ascii="Times New Roman" w:eastAsia="Times New Roman" w:hAnsi="Times New Roman" w:cs="Times New Roman"/>
          <w:b/>
          <w:bCs/>
          <w:color w:val="000000" w:themeColor="text1"/>
        </w:rPr>
      </w:pPr>
      <w:r w:rsidRPr="009C4AB9">
        <w:rPr>
          <w:rFonts w:ascii="Times New Roman" w:hAnsi="Times New Roman" w:cs="Times New Roman"/>
          <w:b/>
          <w:bCs/>
        </w:rPr>
        <w:t>Reason 5) High Market Capitalization</w:t>
      </w:r>
    </w:p>
    <w:p w14:paraId="7E7EA945" w14:textId="4519DBD9" w:rsidR="00F54BD6" w:rsidRPr="009C4AB9" w:rsidRDefault="0A1B7FF6" w:rsidP="554E3AFB">
      <w:pPr>
        <w:rPr>
          <w:rFonts w:ascii="Times New Roman" w:eastAsia="Times New Roman" w:hAnsi="Times New Roman" w:cs="Times New Roman"/>
          <w:color w:val="000000" w:themeColor="text1"/>
        </w:rPr>
      </w:pPr>
      <w:r w:rsidRPr="009C4AB9">
        <w:rPr>
          <w:rFonts w:ascii="Times New Roman" w:eastAsia="Times New Roman" w:hAnsi="Times New Roman" w:cs="Times New Roman"/>
          <w:color w:val="000000" w:themeColor="text1"/>
        </w:rPr>
        <w:t xml:space="preserve">With a market capitalization of </w:t>
      </w:r>
      <w:r w:rsidRPr="009C4AB9">
        <w:rPr>
          <w:rFonts w:ascii="Times New Roman" w:eastAsia="Times New Roman" w:hAnsi="Times New Roman" w:cs="Times New Roman"/>
          <w:b/>
          <w:bCs/>
          <w:color w:val="000000" w:themeColor="text1"/>
        </w:rPr>
        <w:t>$22 billion</w:t>
      </w:r>
      <w:r w:rsidRPr="009C4AB9">
        <w:rPr>
          <w:rFonts w:ascii="Times New Roman" w:eastAsia="Times New Roman" w:hAnsi="Times New Roman" w:cs="Times New Roman"/>
          <w:color w:val="000000" w:themeColor="text1"/>
        </w:rPr>
        <w:t xml:space="preserve">, TLT is one of the largest and most liquid bond ETFs. This large size ensures that investors can buy or sell shares with </w:t>
      </w:r>
      <w:proofErr w:type="gramStart"/>
      <w:r w:rsidRPr="009C4AB9">
        <w:rPr>
          <w:rFonts w:ascii="Times New Roman" w:eastAsia="Times New Roman" w:hAnsi="Times New Roman" w:cs="Times New Roman"/>
          <w:color w:val="000000" w:themeColor="text1"/>
        </w:rPr>
        <w:t>minimal</w:t>
      </w:r>
      <w:proofErr w:type="gramEnd"/>
      <w:r w:rsidRPr="009C4AB9">
        <w:rPr>
          <w:rFonts w:ascii="Times New Roman" w:eastAsia="Times New Roman" w:hAnsi="Times New Roman" w:cs="Times New Roman"/>
          <w:color w:val="000000" w:themeColor="text1"/>
        </w:rPr>
        <w:t xml:space="preserve"> impact on the price, making TLT a stable investment option in the bond market.</w:t>
      </w:r>
    </w:p>
    <w:p w14:paraId="21AD76E3" w14:textId="135E26F0" w:rsidR="00F54BD6" w:rsidRPr="009C4AB9" w:rsidRDefault="00F54BD6" w:rsidP="00F54BD6">
      <w:pPr>
        <w:rPr>
          <w:rFonts w:ascii="Times New Roman" w:hAnsi="Times New Roman" w:cs="Times New Roman"/>
        </w:rPr>
      </w:pPr>
    </w:p>
    <w:p w14:paraId="01786A09" w14:textId="38351AA5" w:rsidR="00F54BD6" w:rsidRPr="009C4AB9" w:rsidRDefault="0A1B7FF6" w:rsidP="554E3AFB">
      <w:pPr>
        <w:rPr>
          <w:rFonts w:ascii="Times New Roman" w:eastAsia="Times New Roman" w:hAnsi="Times New Roman" w:cs="Times New Roman"/>
          <w:b/>
          <w:bCs/>
          <w:color w:val="000000" w:themeColor="text1"/>
        </w:rPr>
      </w:pPr>
      <w:r w:rsidRPr="009C4AB9">
        <w:rPr>
          <w:rFonts w:ascii="Times New Roman" w:hAnsi="Times New Roman" w:cs="Times New Roman"/>
          <w:b/>
          <w:bCs/>
        </w:rPr>
        <w:t>Reason 6) Projected Future Long-Term Growth Based on Historical Data</w:t>
      </w:r>
    </w:p>
    <w:p w14:paraId="7CE39969" w14:textId="29E30417" w:rsidR="00F54BD6" w:rsidRPr="009C4AB9" w:rsidRDefault="0A1B7FF6" w:rsidP="554E3AFB">
      <w:pPr>
        <w:pStyle w:val="ListParagraph"/>
        <w:numPr>
          <w:ilvl w:val="0"/>
          <w:numId w:val="7"/>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t>Interest Rate Environment</w:t>
      </w:r>
      <w:r w:rsidRPr="009C4AB9">
        <w:rPr>
          <w:rFonts w:ascii="Times New Roman" w:eastAsia="Times New Roman" w:hAnsi="Times New Roman" w:cs="Times New Roman"/>
          <w:color w:val="000000" w:themeColor="text1"/>
        </w:rPr>
        <w:t xml:space="preserve">: TLT’s future performance is influenced by the U.S. Federal Reserve’s interest rate policy. As long-term bond yields decrease or remain steady, TLT may see price appreciation. The ETF has experienced </w:t>
      </w:r>
      <w:r w:rsidRPr="009C4AB9">
        <w:rPr>
          <w:rFonts w:ascii="Times New Roman" w:eastAsia="Times New Roman" w:hAnsi="Times New Roman" w:cs="Times New Roman"/>
          <w:b/>
          <w:bCs/>
          <w:color w:val="000000" w:themeColor="text1"/>
        </w:rPr>
        <w:t>5.8% annualized total returns</w:t>
      </w:r>
      <w:r w:rsidRPr="009C4AB9">
        <w:rPr>
          <w:rFonts w:ascii="Times New Roman" w:eastAsia="Times New Roman" w:hAnsi="Times New Roman" w:cs="Times New Roman"/>
          <w:color w:val="000000" w:themeColor="text1"/>
        </w:rPr>
        <w:t xml:space="preserve"> </w:t>
      </w:r>
      <w:r w:rsidRPr="009C4AB9">
        <w:rPr>
          <w:rFonts w:ascii="Times New Roman" w:eastAsia="Times New Roman" w:hAnsi="Times New Roman" w:cs="Times New Roman"/>
          <w:color w:val="000000" w:themeColor="text1"/>
        </w:rPr>
        <w:lastRenderedPageBreak/>
        <w:t>over the past 5 years, and with interest rates potentially stabilizing, the ETF may continue to perform well.</w:t>
      </w:r>
    </w:p>
    <w:p w14:paraId="0A7C495B" w14:textId="24F8350F" w:rsidR="00F54BD6" w:rsidRPr="009C4AB9" w:rsidRDefault="00F54BD6" w:rsidP="00F54BD6">
      <w:pPr>
        <w:rPr>
          <w:rFonts w:ascii="Times New Roman" w:hAnsi="Times New Roman" w:cs="Times New Roman"/>
        </w:rPr>
      </w:pPr>
    </w:p>
    <w:p w14:paraId="135DAD82" w14:textId="726DB237" w:rsidR="00F54BD6" w:rsidRPr="009C4AB9" w:rsidRDefault="0A1B7FF6" w:rsidP="554E3AFB">
      <w:pPr>
        <w:rPr>
          <w:rFonts w:ascii="Times New Roman" w:eastAsia="Times New Roman" w:hAnsi="Times New Roman" w:cs="Times New Roman"/>
          <w:b/>
          <w:bCs/>
          <w:color w:val="000000" w:themeColor="text1"/>
        </w:rPr>
      </w:pPr>
      <w:r w:rsidRPr="009C4AB9">
        <w:rPr>
          <w:rFonts w:ascii="Times New Roman" w:hAnsi="Times New Roman" w:cs="Times New Roman"/>
          <w:b/>
          <w:bCs/>
        </w:rPr>
        <w:t>Reason 7) Industry Expert Recommendations</w:t>
      </w:r>
    </w:p>
    <w:p w14:paraId="05323456" w14:textId="1D52C1B3" w:rsidR="00F54BD6" w:rsidRPr="009C4AB9" w:rsidRDefault="0A1B7FF6" w:rsidP="554E3AFB">
      <w:pPr>
        <w:pStyle w:val="ListParagraph"/>
        <w:numPr>
          <w:ilvl w:val="0"/>
          <w:numId w:val="6"/>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t>Analyst Ratings</w:t>
      </w:r>
      <w:r w:rsidRPr="009C4AB9">
        <w:rPr>
          <w:rFonts w:ascii="Times New Roman" w:eastAsia="Times New Roman" w:hAnsi="Times New Roman" w:cs="Times New Roman"/>
          <w:color w:val="000000" w:themeColor="text1"/>
        </w:rPr>
        <w:t xml:space="preserve">: Analysts typically recommend TLT as a conservative play for bond investors, especially during periods of economic uncertainty. TLT is often considered </w:t>
      </w:r>
      <w:proofErr w:type="gramStart"/>
      <w:r w:rsidRPr="009C4AB9">
        <w:rPr>
          <w:rFonts w:ascii="Times New Roman" w:eastAsia="Times New Roman" w:hAnsi="Times New Roman" w:cs="Times New Roman"/>
          <w:color w:val="000000" w:themeColor="text1"/>
        </w:rPr>
        <w:t>a safe haven</w:t>
      </w:r>
      <w:proofErr w:type="gramEnd"/>
      <w:r w:rsidRPr="009C4AB9">
        <w:rPr>
          <w:rFonts w:ascii="Times New Roman" w:eastAsia="Times New Roman" w:hAnsi="Times New Roman" w:cs="Times New Roman"/>
          <w:color w:val="000000" w:themeColor="text1"/>
        </w:rPr>
        <w:t xml:space="preserve"> investment, and analysts have a </w:t>
      </w:r>
      <w:r w:rsidRPr="009C4AB9">
        <w:rPr>
          <w:rFonts w:ascii="Times New Roman" w:eastAsia="Times New Roman" w:hAnsi="Times New Roman" w:cs="Times New Roman"/>
          <w:b/>
          <w:bCs/>
          <w:color w:val="000000" w:themeColor="text1"/>
        </w:rPr>
        <w:t>“Buy”</w:t>
      </w:r>
      <w:r w:rsidRPr="009C4AB9">
        <w:rPr>
          <w:rFonts w:ascii="Times New Roman" w:eastAsia="Times New Roman" w:hAnsi="Times New Roman" w:cs="Times New Roman"/>
          <w:color w:val="000000" w:themeColor="text1"/>
        </w:rPr>
        <w:t xml:space="preserve"> rating due to its stability and steady yield.</w:t>
      </w:r>
    </w:p>
    <w:p w14:paraId="7D1D1109" w14:textId="7081A921" w:rsidR="00F54BD6" w:rsidRPr="009C4AB9" w:rsidRDefault="00F54BD6" w:rsidP="00F54BD6">
      <w:pPr>
        <w:rPr>
          <w:rFonts w:ascii="Times New Roman" w:hAnsi="Times New Roman" w:cs="Times New Roman"/>
        </w:rPr>
      </w:pPr>
    </w:p>
    <w:p w14:paraId="3F9C8DA0" w14:textId="40A59AC7" w:rsidR="00F54BD6" w:rsidRPr="009C4AB9" w:rsidRDefault="0A1B7FF6" w:rsidP="554E3AFB">
      <w:pPr>
        <w:rPr>
          <w:rFonts w:ascii="Times New Roman" w:eastAsia="Times New Roman" w:hAnsi="Times New Roman" w:cs="Times New Roman"/>
          <w:b/>
          <w:bCs/>
          <w:color w:val="000000" w:themeColor="text1"/>
        </w:rPr>
      </w:pPr>
      <w:r w:rsidRPr="009C4AB9">
        <w:rPr>
          <w:rFonts w:ascii="Times New Roman" w:hAnsi="Times New Roman" w:cs="Times New Roman"/>
          <w:b/>
          <w:bCs/>
        </w:rPr>
        <w:t>Reason 8) Projected Future Long-Term Growth in the Country’s Economy (Macro Factors)</w:t>
      </w:r>
    </w:p>
    <w:p w14:paraId="2D5395A9" w14:textId="1E1D75C0" w:rsidR="00F54BD6" w:rsidRPr="009C4AB9" w:rsidRDefault="0A1B7FF6" w:rsidP="554E3AFB">
      <w:pPr>
        <w:pStyle w:val="ListParagraph"/>
        <w:numPr>
          <w:ilvl w:val="0"/>
          <w:numId w:val="5"/>
        </w:numPr>
        <w:spacing w:before="240" w:after="240"/>
        <w:rPr>
          <w:rFonts w:ascii="Times New Roman" w:eastAsia="Times New Roman" w:hAnsi="Times New Roman" w:cs="Times New Roman"/>
          <w:color w:val="000000" w:themeColor="text1"/>
        </w:rPr>
      </w:pPr>
      <w:r w:rsidRPr="009C4AB9">
        <w:rPr>
          <w:rFonts w:ascii="Times New Roman" w:eastAsia="Times New Roman" w:hAnsi="Times New Roman" w:cs="Times New Roman"/>
          <w:b/>
          <w:bCs/>
          <w:color w:val="000000" w:themeColor="text1"/>
        </w:rPr>
        <w:t>U.S. Interest Rates</w:t>
      </w:r>
      <w:r w:rsidRPr="009C4AB9">
        <w:rPr>
          <w:rFonts w:ascii="Times New Roman" w:eastAsia="Times New Roman" w:hAnsi="Times New Roman" w:cs="Times New Roman"/>
          <w:color w:val="000000" w:themeColor="text1"/>
        </w:rPr>
        <w:t>: The U.S. economy’s performance and Federal Reserve interest rate decisions will have a significant impact on TLT’s future performance. In a low-rate environment, TLT may perform well due to its longer-duration bonds. Given that inflation is expected to moderate, TLT could see continued strength in the coming years.</w:t>
      </w:r>
    </w:p>
    <w:p w14:paraId="0B6849EB" w14:textId="00644E10" w:rsidR="00F54BD6" w:rsidRPr="009C4AB9" w:rsidRDefault="0A1B7FF6" w:rsidP="554E3AFB">
      <w:pPr>
        <w:spacing w:after="0"/>
        <w:rPr>
          <w:rFonts w:ascii="Times New Roman" w:hAnsi="Times New Roman" w:cs="Times New Roman"/>
        </w:rPr>
      </w:pPr>
      <w:r w:rsidRPr="009C4AB9">
        <w:rPr>
          <w:rFonts w:ascii="Times New Roman" w:eastAsia="Times New Roman" w:hAnsi="Times New Roman" w:cs="Times New Roman"/>
          <w:b/>
          <w:bCs/>
          <w:color w:val="000000" w:themeColor="text1"/>
        </w:rPr>
        <w:t>c) Amount invested and Why</w:t>
      </w:r>
    </w:p>
    <w:p w14:paraId="0B8B933D" w14:textId="1AAB2723" w:rsidR="00F54BD6" w:rsidRPr="009C4AB9" w:rsidRDefault="00F54BD6" w:rsidP="554E3AFB">
      <w:pPr>
        <w:shd w:val="clear" w:color="auto" w:fill="FFFFFF" w:themeFill="background1"/>
        <w:rPr>
          <w:rFonts w:ascii="Times New Roman" w:hAnsi="Times New Roman" w:cs="Times New Roman"/>
        </w:rPr>
      </w:pPr>
    </w:p>
    <w:tbl>
      <w:tblPr>
        <w:tblW w:w="0" w:type="auto"/>
        <w:tblLayout w:type="fixed"/>
        <w:tblLook w:val="06A0" w:firstRow="1" w:lastRow="0" w:firstColumn="1" w:lastColumn="0" w:noHBand="1" w:noVBand="1"/>
      </w:tblPr>
      <w:tblGrid>
        <w:gridCol w:w="1625"/>
        <w:gridCol w:w="1625"/>
        <w:gridCol w:w="1625"/>
        <w:gridCol w:w="1625"/>
        <w:gridCol w:w="1625"/>
      </w:tblGrid>
      <w:tr w:rsidR="554E3AFB" w:rsidRPr="009C4AB9" w14:paraId="1FFCBA50" w14:textId="77777777" w:rsidTr="554E3AFB">
        <w:trPr>
          <w:trHeight w:val="480"/>
        </w:trPr>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AABDD1" w14:textId="2B1A71F4" w:rsidR="554E3AFB"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 xml:space="preserve">Symbol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FD7534" w14:textId="342D412A" w:rsidR="554E3AFB"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 xml:space="preserve">Description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B8A8A" w14:textId="08C2EC56" w:rsidR="554E3AFB"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 xml:space="preserve">Transaction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93A30" w14:textId="1934C832" w:rsidR="554E3AFB"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 xml:space="preserve">Quantity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334D7" w14:textId="7C0737AF" w:rsidR="554E3AFB"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 xml:space="preserve">Current Price </w:t>
            </w:r>
          </w:p>
        </w:tc>
      </w:tr>
      <w:tr w:rsidR="554E3AFB" w:rsidRPr="009C4AB9" w14:paraId="32B38C00" w14:textId="77777777" w:rsidTr="554E3AFB">
        <w:trPr>
          <w:trHeight w:val="480"/>
        </w:trPr>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22DF7" w14:textId="3CF33201" w:rsidR="0A1B7FF6"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TLT</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2A9BF" w14:textId="026BA588" w:rsidR="554E3AFB"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 xml:space="preserve">iShares 20+ Year Treasury Bond ETF </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8883C" w14:textId="3B08D6B1" w:rsidR="554E3AFB"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NASDAQ</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F4789" w14:textId="406B9D95" w:rsidR="554E3AFB"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96</w:t>
            </w:r>
          </w:p>
        </w:tc>
        <w:tc>
          <w:tcPr>
            <w:tcW w:w="1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FD1271" w14:textId="25431027" w:rsidR="554E3AFB" w:rsidRPr="009C4AB9" w:rsidRDefault="554E3AFB" w:rsidP="554E3AFB">
            <w:pPr>
              <w:shd w:val="clear" w:color="auto" w:fill="FFFFFF" w:themeFill="background1"/>
              <w:spacing w:after="0"/>
              <w:jc w:val="center"/>
              <w:rPr>
                <w:rFonts w:ascii="Times New Roman" w:hAnsi="Times New Roman" w:cs="Times New Roman"/>
              </w:rPr>
            </w:pPr>
            <w:r w:rsidRPr="009C4AB9">
              <w:rPr>
                <w:rFonts w:ascii="Times New Roman" w:eastAsia="Times New Roman" w:hAnsi="Times New Roman" w:cs="Times New Roman"/>
                <w:color w:val="000000" w:themeColor="text1"/>
              </w:rPr>
              <w:t>93.97</w:t>
            </w:r>
          </w:p>
        </w:tc>
      </w:tr>
    </w:tbl>
    <w:p w14:paraId="0401AA78" w14:textId="32335816" w:rsidR="00F54BD6" w:rsidRPr="009C4AB9" w:rsidRDefault="00F54BD6" w:rsidP="554E3AFB">
      <w:pPr>
        <w:rPr>
          <w:rFonts w:ascii="Times New Roman" w:hAnsi="Times New Roman" w:cs="Times New Roman"/>
        </w:rPr>
      </w:pPr>
    </w:p>
    <w:p w14:paraId="0BA81084" w14:textId="0C73FEE0" w:rsidR="00F54BD6" w:rsidRDefault="0A1B7FF6" w:rsidP="554E3AFB">
      <w:pPr>
        <w:rPr>
          <w:rFonts w:ascii="Times New Roman" w:eastAsia="Times New Roman" w:hAnsi="Times New Roman" w:cs="Times New Roman"/>
          <w:color w:val="000000" w:themeColor="text1"/>
        </w:rPr>
      </w:pPr>
      <w:r w:rsidRPr="009C4AB9">
        <w:rPr>
          <w:rFonts w:ascii="Times New Roman" w:eastAsia="Times New Roman" w:hAnsi="Times New Roman" w:cs="Times New Roman"/>
          <w:color w:val="000000" w:themeColor="text1"/>
        </w:rPr>
        <w:t xml:space="preserve">We invested $9,000 into </w:t>
      </w:r>
      <w:proofErr w:type="gramStart"/>
      <w:r w:rsidRPr="009C4AB9">
        <w:rPr>
          <w:rFonts w:ascii="Times New Roman" w:eastAsia="Times New Roman" w:hAnsi="Times New Roman" w:cs="Times New Roman"/>
          <w:color w:val="000000" w:themeColor="text1"/>
        </w:rPr>
        <w:t>96 of</w:t>
      </w:r>
      <w:proofErr w:type="gramEnd"/>
      <w:r w:rsidRPr="009C4AB9">
        <w:rPr>
          <w:rFonts w:ascii="Times New Roman" w:eastAsia="Times New Roman" w:hAnsi="Times New Roman" w:cs="Times New Roman"/>
          <w:color w:val="000000" w:themeColor="text1"/>
        </w:rPr>
        <w:t xml:space="preserve"> TLT bonds because of the 6 previously stated reasons. We evenly distributed 8.3% to each of our funds towards 5 out of the 5 bonds we have chosen as we are confident in the diverseness in our portfolio and see them as all attractive investments.</w:t>
      </w:r>
      <w:r w:rsidRPr="554E3AFB">
        <w:rPr>
          <w:rFonts w:ascii="Times New Roman" w:eastAsia="Times New Roman" w:hAnsi="Times New Roman" w:cs="Times New Roman"/>
          <w:color w:val="000000" w:themeColor="text1"/>
        </w:rPr>
        <w:t xml:space="preserve">    </w:t>
      </w:r>
    </w:p>
    <w:p w14:paraId="097A5422" w14:textId="04911C5B" w:rsidR="00F54BD6" w:rsidRDefault="0A1B7FF6" w:rsidP="009C4AB9">
      <w:pPr>
        <w:spacing w:after="0"/>
      </w:pPr>
      <w:r w:rsidRPr="554E3AFB">
        <w:rPr>
          <w:rFonts w:ascii="Times New Roman" w:eastAsia="Times New Roman" w:hAnsi="Times New Roman" w:cs="Times New Roman"/>
          <w:color w:val="000000" w:themeColor="text1"/>
        </w:rPr>
        <w:t xml:space="preserve">For the TLT Bonds:  </w:t>
      </w:r>
    </w:p>
    <w:p w14:paraId="77343D65" w14:textId="77777777" w:rsidR="009C4AB9" w:rsidRDefault="009C4AB9" w:rsidP="009C4AB9">
      <w:pPr>
        <w:spacing w:after="0"/>
      </w:pPr>
    </w:p>
    <w:p w14:paraId="36D1CDCE" w14:textId="77777777" w:rsidR="009C4AB9" w:rsidRPr="00A74C00" w:rsidRDefault="009C4AB9" w:rsidP="009C4AB9">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29D136D9" w14:textId="77777777" w:rsidR="009C4AB9" w:rsidRPr="00A74C00" w:rsidRDefault="009C4AB9" w:rsidP="009C4AB9">
      <w:pPr>
        <w:spacing w:after="200" w:line="276" w:lineRule="auto"/>
        <w:rPr>
          <w:rFonts w:ascii="Times New Roman" w:hAnsi="Times New Roman" w:cs="Times New Roman"/>
        </w:rPr>
      </w:pPr>
      <w:r w:rsidRPr="00A74C00">
        <w:rPr>
          <w:rFonts w:ascii="Times New Roman" w:eastAsia="Calibri" w:hAnsi="Times New Roman" w:cs="Times New Roman"/>
        </w:rPr>
        <w:t xml:space="preserve">  Where:  </w:t>
      </w:r>
    </w:p>
    <w:p w14:paraId="5A31E298" w14:textId="77777777" w:rsidR="009C4AB9" w:rsidRPr="00A74C00" w:rsidRDefault="009C4AB9" w:rsidP="009C4AB9">
      <w:pPr>
        <w:pStyle w:val="ListParagraph"/>
        <w:numPr>
          <w:ilvl w:val="0"/>
          <w:numId w:val="53"/>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Rf = Risk-Free Rate = 4.74% (US Treasury 3 Month Bill)  </w:t>
      </w:r>
    </w:p>
    <w:p w14:paraId="46CED129" w14:textId="4821C3BE" w:rsidR="009C4AB9" w:rsidRPr="00A74C00" w:rsidRDefault="009C4AB9" w:rsidP="009C4AB9">
      <w:pPr>
        <w:pStyle w:val="ListParagraph"/>
        <w:numPr>
          <w:ilvl w:val="0"/>
          <w:numId w:val="52"/>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B = Beta = </w:t>
      </w:r>
      <w:r>
        <w:rPr>
          <w:rFonts w:ascii="Times New Roman" w:eastAsia="Calibri" w:hAnsi="Times New Roman" w:cs="Times New Roman"/>
        </w:rPr>
        <w:t>2.11</w:t>
      </w:r>
      <w:r w:rsidRPr="00A74C00">
        <w:rPr>
          <w:rFonts w:ascii="Times New Roman" w:eastAsia="Calibri" w:hAnsi="Times New Roman" w:cs="Times New Roman"/>
        </w:rPr>
        <w:t xml:space="preserve"> measure of </w:t>
      </w:r>
      <w:r>
        <w:rPr>
          <w:rFonts w:ascii="Times New Roman" w:eastAsia="Calibri" w:hAnsi="Times New Roman" w:cs="Times New Roman"/>
        </w:rPr>
        <w:t xml:space="preserve">TLT’s ETF </w:t>
      </w:r>
      <w:r w:rsidRPr="00A74C00">
        <w:rPr>
          <w:rFonts w:ascii="Times New Roman" w:eastAsia="Calibri" w:hAnsi="Times New Roman" w:cs="Times New Roman"/>
        </w:rPr>
        <w:t xml:space="preserve">price volatility  </w:t>
      </w:r>
    </w:p>
    <w:p w14:paraId="073AF9F9" w14:textId="77777777" w:rsidR="009C4AB9" w:rsidRPr="00A74C00" w:rsidRDefault="009C4AB9" w:rsidP="009C4AB9">
      <w:pPr>
        <w:pStyle w:val="ListParagraph"/>
        <w:numPr>
          <w:ilvl w:val="0"/>
          <w:numId w:val="51"/>
        </w:numPr>
        <w:spacing w:after="0" w:line="276" w:lineRule="auto"/>
        <w:rPr>
          <w:rFonts w:ascii="Times New Roman" w:eastAsia="Calibri" w:hAnsi="Times New Roman" w:cs="Times New Roman"/>
        </w:rPr>
      </w:pPr>
      <w:r w:rsidRPr="00A74C00">
        <w:rPr>
          <w:rFonts w:ascii="Times New Roman" w:eastAsia="Calibri" w:hAnsi="Times New Roman" w:cs="Times New Roman"/>
        </w:rPr>
        <w:lastRenderedPageBreak/>
        <w:t xml:space="preserve">E(Rm) = Expected return on the market = our benchmark which is a 10-year average of </w:t>
      </w:r>
      <w:proofErr w:type="gramStart"/>
      <w:r w:rsidRPr="00A74C00">
        <w:rPr>
          <w:rFonts w:ascii="Times New Roman" w:eastAsia="Calibri" w:hAnsi="Times New Roman" w:cs="Times New Roman"/>
        </w:rPr>
        <w:t>the S</w:t>
      </w:r>
      <w:proofErr w:type="gramEnd"/>
      <w:r w:rsidRPr="00A74C00">
        <w:rPr>
          <w:rFonts w:ascii="Times New Roman" w:eastAsia="Calibri" w:hAnsi="Times New Roman" w:cs="Times New Roman"/>
        </w:rPr>
        <w:t>&amp;P 500 = The average rate of return for the S&amp;P 500 since 2012 is 1</w:t>
      </w:r>
      <w:r>
        <w:rPr>
          <w:rFonts w:ascii="Times New Roman" w:eastAsia="Calibri" w:hAnsi="Times New Roman" w:cs="Times New Roman"/>
        </w:rPr>
        <w:t>3.22</w:t>
      </w:r>
      <w:r w:rsidRPr="00A74C00">
        <w:rPr>
          <w:rFonts w:ascii="Times New Roman" w:eastAsia="Calibri" w:hAnsi="Times New Roman" w:cs="Times New Roman"/>
        </w:rPr>
        <w:t xml:space="preserve">%  </w:t>
      </w:r>
    </w:p>
    <w:p w14:paraId="7C948465" w14:textId="77777777" w:rsidR="009C4AB9" w:rsidRPr="00A74C00" w:rsidRDefault="009C4AB9" w:rsidP="009C4AB9">
      <w:pPr>
        <w:spacing w:after="200" w:line="276" w:lineRule="auto"/>
        <w:rPr>
          <w:rFonts w:ascii="Times New Roman" w:hAnsi="Times New Roman" w:cs="Times New Roman"/>
        </w:rPr>
      </w:pPr>
      <w:r w:rsidRPr="00A74C00">
        <w:rPr>
          <w:rFonts w:ascii="Times New Roman" w:eastAsia="Calibri" w:hAnsi="Times New Roman" w:cs="Times New Roman"/>
        </w:rPr>
        <w:t xml:space="preserve">  </w:t>
      </w:r>
    </w:p>
    <w:p w14:paraId="68A806B5" w14:textId="77777777" w:rsidR="009C4AB9" w:rsidRPr="00A74C00" w:rsidRDefault="009C4AB9" w:rsidP="009C4AB9">
      <w:pPr>
        <w:spacing w:after="200" w:line="276" w:lineRule="auto"/>
        <w:rPr>
          <w:rFonts w:ascii="Times New Roman" w:hAnsi="Times New Roman" w:cs="Times New Roman"/>
        </w:rPr>
      </w:pPr>
      <w:r w:rsidRPr="00A74C00">
        <w:rPr>
          <w:rFonts w:ascii="Times New Roman" w:eastAsia="Calibri" w:hAnsi="Times New Roman" w:cs="Times New Roman"/>
        </w:rPr>
        <w:t xml:space="preserve">Therefore:  </w:t>
      </w:r>
    </w:p>
    <w:p w14:paraId="11163CE0" w14:textId="77777777" w:rsidR="009C4AB9" w:rsidRPr="00A74C00" w:rsidRDefault="009C4AB9" w:rsidP="009C4AB9">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1D2A1F2A" w14:textId="730AA826" w:rsidR="009C4AB9" w:rsidRPr="00A74C00" w:rsidRDefault="009C4AB9" w:rsidP="009C4AB9">
      <w:pPr>
        <w:spacing w:after="200" w:line="276" w:lineRule="auto"/>
        <w:rPr>
          <w:rFonts w:ascii="Times New Roman" w:hAnsi="Times New Roman" w:cs="Times New Roman"/>
        </w:rPr>
      </w:pPr>
      <w:r w:rsidRPr="00A74C00">
        <w:rPr>
          <w:rFonts w:ascii="Times New Roman" w:eastAsia="Calibri" w:hAnsi="Times New Roman" w:cs="Times New Roman"/>
        </w:rPr>
        <w:t xml:space="preserve">= 4.74% + </w:t>
      </w:r>
      <w:r>
        <w:rPr>
          <w:rFonts w:ascii="Times New Roman" w:eastAsia="Calibri" w:hAnsi="Times New Roman" w:cs="Times New Roman"/>
        </w:rPr>
        <w:t>2.11</w:t>
      </w:r>
      <w:r w:rsidRPr="00A74C00">
        <w:rPr>
          <w:rFonts w:ascii="Times New Roman" w:eastAsia="Calibri" w:hAnsi="Times New Roman" w:cs="Times New Roman"/>
        </w:rPr>
        <w:t xml:space="preserve"> * [1</w:t>
      </w:r>
      <w:r>
        <w:rPr>
          <w:rFonts w:ascii="Times New Roman" w:eastAsia="Calibri" w:hAnsi="Times New Roman" w:cs="Times New Roman"/>
        </w:rPr>
        <w:t>3.22</w:t>
      </w:r>
      <w:r w:rsidRPr="00A74C00">
        <w:rPr>
          <w:rFonts w:ascii="Times New Roman" w:eastAsia="Calibri" w:hAnsi="Times New Roman" w:cs="Times New Roman"/>
        </w:rPr>
        <w:t xml:space="preserve">%-4.74%]  </w:t>
      </w:r>
    </w:p>
    <w:p w14:paraId="1F1E365F" w14:textId="644A45EC" w:rsidR="554E3AFB" w:rsidRDefault="009C4AB9" w:rsidP="00361C4E">
      <w:pPr>
        <w:spacing w:after="200" w:line="276" w:lineRule="auto"/>
        <w:rPr>
          <w:rFonts w:ascii="Times New Roman" w:hAnsi="Times New Roman" w:cs="Times New Roman"/>
        </w:rPr>
      </w:pPr>
      <w:r w:rsidRPr="00A74C00">
        <w:rPr>
          <w:rFonts w:ascii="Times New Roman" w:eastAsia="Calibri" w:hAnsi="Times New Roman" w:cs="Times New Roman"/>
        </w:rPr>
        <w:t xml:space="preserve">= </w:t>
      </w:r>
      <w:r w:rsidR="00361C4E">
        <w:rPr>
          <w:rFonts w:ascii="Times New Roman" w:eastAsia="Calibri" w:hAnsi="Times New Roman" w:cs="Times New Roman"/>
          <w:highlight w:val="lightGray"/>
        </w:rPr>
        <w:t>22.63</w:t>
      </w:r>
      <w:r w:rsidRPr="003B689C">
        <w:rPr>
          <w:rFonts w:ascii="Times New Roman" w:eastAsia="Calibri" w:hAnsi="Times New Roman" w:cs="Times New Roman"/>
          <w:highlight w:val="lightGray"/>
        </w:rPr>
        <w:t>%</w:t>
      </w:r>
      <w:r w:rsidRPr="00A74C00">
        <w:rPr>
          <w:rFonts w:ascii="Times New Roman" w:eastAsia="Calibri" w:hAnsi="Times New Roman" w:cs="Times New Roman"/>
        </w:rPr>
        <w:t xml:space="preserve"> </w:t>
      </w:r>
    </w:p>
    <w:p w14:paraId="5814D2E7" w14:textId="77777777" w:rsidR="00361C4E" w:rsidRDefault="00361C4E" w:rsidP="00361C4E">
      <w:pPr>
        <w:spacing w:after="200" w:line="276" w:lineRule="auto"/>
        <w:rPr>
          <w:rFonts w:ascii="Times New Roman" w:hAnsi="Times New Roman" w:cs="Times New Roman"/>
        </w:rPr>
      </w:pPr>
    </w:p>
    <w:p w14:paraId="3CE23C3C" w14:textId="77777777" w:rsidR="00361C4E" w:rsidRPr="00361C4E" w:rsidRDefault="00361C4E" w:rsidP="00361C4E">
      <w:pPr>
        <w:spacing w:after="200" w:line="276" w:lineRule="auto"/>
        <w:rPr>
          <w:rFonts w:ascii="Times New Roman" w:hAnsi="Times New Roman" w:cs="Times New Roman"/>
        </w:rPr>
      </w:pPr>
    </w:p>
    <w:p w14:paraId="40E4D77C" w14:textId="1F79C0B0" w:rsidR="00F54BD6" w:rsidRPr="00D31095" w:rsidRDefault="594967CA" w:rsidP="554E3AFB">
      <w:pPr>
        <w:spacing w:before="220" w:after="220"/>
        <w:rPr>
          <w:rFonts w:ascii="Times New Roman" w:hAnsi="Times New Roman" w:cs="Times New Roman"/>
          <w:sz w:val="28"/>
          <w:szCs w:val="28"/>
        </w:rPr>
      </w:pPr>
      <w:r w:rsidRPr="00D31095">
        <w:rPr>
          <w:rFonts w:ascii="Times New Roman" w:hAnsi="Times New Roman" w:cs="Times New Roman"/>
          <w:b/>
          <w:bCs/>
          <w:sz w:val="28"/>
          <w:szCs w:val="28"/>
        </w:rPr>
        <w:t>Investment 8:</w:t>
      </w:r>
      <w:r w:rsidR="28B0ED32" w:rsidRPr="00D31095">
        <w:rPr>
          <w:rFonts w:ascii="Times New Roman" w:eastAsia="Arial" w:hAnsi="Times New Roman" w:cs="Times New Roman"/>
          <w:b/>
          <w:bCs/>
          <w:color w:val="000000" w:themeColor="text1"/>
          <w:sz w:val="28"/>
          <w:szCs w:val="28"/>
        </w:rPr>
        <w:t xml:space="preserve"> Investment: iShares </w:t>
      </w:r>
      <w:proofErr w:type="spellStart"/>
      <w:r w:rsidR="28B0ED32" w:rsidRPr="00D31095">
        <w:rPr>
          <w:rFonts w:ascii="Times New Roman" w:eastAsia="Arial" w:hAnsi="Times New Roman" w:cs="Times New Roman"/>
          <w:b/>
          <w:bCs/>
          <w:color w:val="000000" w:themeColor="text1"/>
          <w:sz w:val="28"/>
          <w:szCs w:val="28"/>
        </w:rPr>
        <w:t>iBoxx</w:t>
      </w:r>
      <w:proofErr w:type="spellEnd"/>
      <w:r w:rsidR="28B0ED32" w:rsidRPr="00D31095">
        <w:rPr>
          <w:rFonts w:ascii="Times New Roman" w:eastAsia="Arial" w:hAnsi="Times New Roman" w:cs="Times New Roman"/>
          <w:b/>
          <w:bCs/>
          <w:color w:val="000000" w:themeColor="text1"/>
          <w:sz w:val="28"/>
          <w:szCs w:val="28"/>
        </w:rPr>
        <w:t xml:space="preserve"> $ Investment Grade Corporate Bond ETF (</w:t>
      </w:r>
      <w:r w:rsidR="00D31095">
        <w:rPr>
          <w:rFonts w:ascii="Times New Roman" w:eastAsia="Arial" w:hAnsi="Times New Roman" w:cs="Times New Roman"/>
          <w:b/>
          <w:bCs/>
          <w:color w:val="000000" w:themeColor="text1"/>
          <w:sz w:val="28"/>
          <w:szCs w:val="28"/>
        </w:rPr>
        <w:t>NYSE: LQD)</w:t>
      </w:r>
      <w:r w:rsidR="28B0ED32" w:rsidRPr="00D31095">
        <w:rPr>
          <w:rFonts w:ascii="Times New Roman" w:eastAsia="Arial" w:hAnsi="Times New Roman" w:cs="Times New Roman"/>
          <w:b/>
          <w:bCs/>
          <w:color w:val="000000" w:themeColor="text1"/>
          <w:sz w:val="28"/>
          <w:szCs w:val="28"/>
        </w:rPr>
        <w:t xml:space="preserve"> </w:t>
      </w:r>
    </w:p>
    <w:p w14:paraId="7074C39E" w14:textId="2CEC2EC3" w:rsidR="00F54BD6" w:rsidRPr="00361C4E" w:rsidRDefault="28B0ED32" w:rsidP="00FB7BFB">
      <w:pPr>
        <w:pStyle w:val="ListParagraph"/>
        <w:numPr>
          <w:ilvl w:val="0"/>
          <w:numId w:val="33"/>
        </w:numPr>
        <w:spacing w:before="210" w:after="210"/>
        <w:rPr>
          <w:rFonts w:ascii="Times New Roman" w:eastAsia="Arial" w:hAnsi="Times New Roman" w:cs="Times New Roman"/>
          <w:b/>
          <w:bCs/>
          <w:color w:val="000000" w:themeColor="text1"/>
        </w:rPr>
      </w:pPr>
      <w:r w:rsidRPr="00361C4E">
        <w:rPr>
          <w:rFonts w:ascii="Times New Roman" w:eastAsia="Arial" w:hAnsi="Times New Roman" w:cs="Times New Roman"/>
          <w:b/>
          <w:bCs/>
          <w:color w:val="000000" w:themeColor="text1"/>
        </w:rPr>
        <w:t>Background on Company</w:t>
      </w:r>
    </w:p>
    <w:p w14:paraId="32ADE656" w14:textId="4E9F028A" w:rsidR="00F54BD6" w:rsidRPr="00361C4E" w:rsidRDefault="28B0ED32"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 xml:space="preserve"> iShares </w:t>
      </w:r>
      <w:proofErr w:type="spellStart"/>
      <w:r w:rsidRPr="00361C4E">
        <w:rPr>
          <w:rFonts w:ascii="Times New Roman" w:eastAsia="Arial" w:hAnsi="Times New Roman" w:cs="Times New Roman"/>
          <w:color w:val="000000" w:themeColor="text1"/>
        </w:rPr>
        <w:t>iBoxx</w:t>
      </w:r>
      <w:proofErr w:type="spellEnd"/>
      <w:r w:rsidRPr="00361C4E">
        <w:rPr>
          <w:rFonts w:ascii="Times New Roman" w:eastAsia="Arial" w:hAnsi="Times New Roman" w:cs="Times New Roman"/>
          <w:color w:val="000000" w:themeColor="text1"/>
        </w:rPr>
        <w:t xml:space="preserve"> $ Investment Grade Corporate Bond ETF is an exchange-traded fund incorporated in the USA. The ETF seeks to track the investment results of an index composed of U.S. dollar-denominated, investment-grade corporate bonds. Launched in 2002. The iShares </w:t>
      </w:r>
      <w:proofErr w:type="spellStart"/>
      <w:r w:rsidRPr="00361C4E">
        <w:rPr>
          <w:rFonts w:ascii="Times New Roman" w:eastAsia="Arial" w:hAnsi="Times New Roman" w:cs="Times New Roman"/>
          <w:color w:val="000000" w:themeColor="text1"/>
        </w:rPr>
        <w:t>iBoxx</w:t>
      </w:r>
      <w:proofErr w:type="spellEnd"/>
      <w:r w:rsidRPr="00361C4E">
        <w:rPr>
          <w:rFonts w:ascii="Times New Roman" w:eastAsia="Arial" w:hAnsi="Times New Roman" w:cs="Times New Roman"/>
          <w:color w:val="000000" w:themeColor="text1"/>
        </w:rPr>
        <w:t xml:space="preserve"> Investment Grade Corporate Bond ETF (LQD), the first corporate-bond ETF, should sustain its trading dominance over high-grade peers, but sibling USIG is closing the asset gap due to its lower fees and broader exposure. Holding only bonds with at least three years to maturity makes LQD lean on the longer end of the duration curve. (04/06/23)</w:t>
      </w:r>
    </w:p>
    <w:p w14:paraId="744C126E" w14:textId="555B1BDF" w:rsidR="00F54BD6" w:rsidRPr="00361C4E" w:rsidRDefault="00F54BD6" w:rsidP="00F54BD6">
      <w:pPr>
        <w:rPr>
          <w:rFonts w:ascii="Times New Roman" w:hAnsi="Times New Roman" w:cs="Times New Roman"/>
        </w:rPr>
      </w:pPr>
    </w:p>
    <w:p w14:paraId="6B103BF8" w14:textId="2EC05B56" w:rsidR="00F54BD6" w:rsidRPr="00361C4E" w:rsidRDefault="28B0ED32" w:rsidP="554E3AFB">
      <w:pPr>
        <w:spacing w:before="220" w:after="220"/>
        <w:rPr>
          <w:rFonts w:ascii="Times New Roman" w:eastAsia="Arial" w:hAnsi="Times New Roman" w:cs="Times New Roman"/>
          <w:b/>
          <w:bCs/>
          <w:color w:val="000000" w:themeColor="text1"/>
        </w:rPr>
      </w:pPr>
      <w:r w:rsidRPr="00361C4E">
        <w:rPr>
          <w:rFonts w:ascii="Times New Roman" w:eastAsia="Arial" w:hAnsi="Times New Roman" w:cs="Times New Roman"/>
          <w:b/>
          <w:bCs/>
          <w:color w:val="000000" w:themeColor="text1"/>
        </w:rPr>
        <w:t xml:space="preserve">Reasons </w:t>
      </w:r>
      <w:proofErr w:type="gramStart"/>
      <w:r w:rsidRPr="00361C4E">
        <w:rPr>
          <w:rFonts w:ascii="Times New Roman" w:eastAsia="Arial" w:hAnsi="Times New Roman" w:cs="Times New Roman"/>
          <w:b/>
          <w:bCs/>
          <w:color w:val="000000" w:themeColor="text1"/>
        </w:rPr>
        <w:t>to invest</w:t>
      </w:r>
      <w:proofErr w:type="gramEnd"/>
      <w:r w:rsidRPr="00361C4E">
        <w:rPr>
          <w:rFonts w:ascii="Times New Roman" w:eastAsia="Arial" w:hAnsi="Times New Roman" w:cs="Times New Roman"/>
          <w:b/>
          <w:bCs/>
          <w:color w:val="000000" w:themeColor="text1"/>
        </w:rPr>
        <w:t xml:space="preserve"> in the Bond:</w:t>
      </w:r>
    </w:p>
    <w:p w14:paraId="6E79B23D" w14:textId="1A7618A3" w:rsidR="00F54BD6" w:rsidRPr="00361C4E" w:rsidRDefault="00F54BD6" w:rsidP="00FB7BFB">
      <w:pPr>
        <w:pStyle w:val="ListParagraph"/>
        <w:numPr>
          <w:ilvl w:val="0"/>
          <w:numId w:val="32"/>
        </w:numPr>
        <w:spacing w:after="0"/>
        <w:rPr>
          <w:rFonts w:ascii="Times New Roman" w:hAnsi="Times New Roman" w:cs="Times New Roman"/>
        </w:rPr>
      </w:pPr>
    </w:p>
    <w:p w14:paraId="0A8F9971" w14:textId="55525856" w:rsidR="00F54BD6" w:rsidRPr="00361C4E" w:rsidRDefault="4D9EE7BD" w:rsidP="554E3AFB">
      <w:pPr>
        <w:spacing w:before="220" w:after="220"/>
        <w:rPr>
          <w:rFonts w:ascii="Times New Roman" w:hAnsi="Times New Roman" w:cs="Times New Roman"/>
        </w:rPr>
      </w:pPr>
      <w:r w:rsidRPr="00361C4E">
        <w:rPr>
          <w:rFonts w:ascii="Times New Roman" w:hAnsi="Times New Roman" w:cs="Times New Roman"/>
          <w:noProof/>
        </w:rPr>
        <w:lastRenderedPageBreak/>
        <w:drawing>
          <wp:inline distT="0" distB="0" distL="0" distR="0" wp14:anchorId="196D702B" wp14:editId="3C3E340C">
            <wp:extent cx="5011764" cy="3790950"/>
            <wp:effectExtent l="133350" t="114300" r="132080" b="133350"/>
            <wp:docPr id="328286677" name="Picture 32828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a:stretch>
                      <a:fillRect/>
                    </a:stretch>
                  </pic:blipFill>
                  <pic:spPr>
                    <a:xfrm>
                      <a:off x="0" y="0"/>
                      <a:ext cx="5011764" cy="3790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09606A" w14:textId="5D5C1CB9" w:rsidR="00F54BD6" w:rsidRPr="00361C4E" w:rsidRDefault="28B0ED32"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 xml:space="preserve">The LQD US equity </w:t>
      </w:r>
      <w:proofErr w:type="gramStart"/>
      <w:r w:rsidRPr="00361C4E">
        <w:rPr>
          <w:rFonts w:ascii="Times New Roman" w:eastAsia="Arial" w:hAnsi="Times New Roman" w:cs="Times New Roman"/>
          <w:color w:val="000000" w:themeColor="text1"/>
        </w:rPr>
        <w:t>has</w:t>
      </w:r>
      <w:proofErr w:type="gramEnd"/>
      <w:r w:rsidRPr="00361C4E">
        <w:rPr>
          <w:rFonts w:ascii="Times New Roman" w:eastAsia="Arial" w:hAnsi="Times New Roman" w:cs="Times New Roman"/>
          <w:color w:val="000000" w:themeColor="text1"/>
        </w:rPr>
        <w:t xml:space="preserve"> a predicted steady growth rate shown over the past 10 years and it is estimated to keep growing due to its steady returns and confidence investors have in this bond.</w:t>
      </w:r>
    </w:p>
    <w:p w14:paraId="31100C2E" w14:textId="34B2E080" w:rsidR="00F54BD6" w:rsidRPr="00361C4E" w:rsidRDefault="28B0ED32" w:rsidP="554E3AFB">
      <w:pPr>
        <w:spacing w:before="220" w:after="220"/>
        <w:rPr>
          <w:rFonts w:ascii="Times New Roman" w:hAnsi="Times New Roman" w:cs="Times New Roman"/>
        </w:rPr>
      </w:pPr>
      <w:hyperlink r:id="rId33" w:anchor="/">
        <w:r w:rsidRPr="00361C4E">
          <w:rPr>
            <w:rStyle w:val="Hyperlink"/>
            <w:rFonts w:ascii="Times New Roman" w:eastAsia="Arial" w:hAnsi="Times New Roman" w:cs="Times New Roman"/>
          </w:rPr>
          <w:t>https://www.ishares.com/us/products/239566/ishares-iboxx-investment-grade-corporate-bond-etf#/</w:t>
        </w:r>
      </w:hyperlink>
    </w:p>
    <w:p w14:paraId="1769AC75" w14:textId="2C1B4520" w:rsidR="00F54BD6" w:rsidRPr="00361C4E" w:rsidRDefault="00F54BD6" w:rsidP="00F54BD6">
      <w:pPr>
        <w:rPr>
          <w:rFonts w:ascii="Times New Roman" w:hAnsi="Times New Roman" w:cs="Times New Roman"/>
        </w:rPr>
      </w:pPr>
    </w:p>
    <w:p w14:paraId="7226A80A" w14:textId="35D2A6EB" w:rsidR="00F54BD6" w:rsidRPr="00361C4E" w:rsidRDefault="28B0ED32" w:rsidP="554E3AFB">
      <w:pPr>
        <w:pStyle w:val="Heading3"/>
        <w:spacing w:before="280"/>
        <w:ind w:left="360"/>
        <w:rPr>
          <w:rFonts w:ascii="Times New Roman" w:hAnsi="Times New Roman" w:cs="Times New Roman"/>
          <w:sz w:val="24"/>
          <w:szCs w:val="24"/>
        </w:rPr>
      </w:pPr>
      <w:r w:rsidRPr="00361C4E">
        <w:rPr>
          <w:rFonts w:ascii="Times New Roman" w:eastAsia="Arial" w:hAnsi="Times New Roman" w:cs="Times New Roman"/>
          <w:b/>
          <w:bCs/>
          <w:color w:val="000000" w:themeColor="text1"/>
          <w:sz w:val="24"/>
          <w:szCs w:val="24"/>
        </w:rPr>
        <w:t>2. Diversification</w:t>
      </w:r>
    </w:p>
    <w:p w14:paraId="0FD8320D" w14:textId="4FF18633" w:rsidR="00F54BD6" w:rsidRPr="00361C4E" w:rsidRDefault="28B0ED32" w:rsidP="00FB7BFB">
      <w:pPr>
        <w:pStyle w:val="ListParagraph"/>
        <w:numPr>
          <w:ilvl w:val="0"/>
          <w:numId w:val="31"/>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Exposure to a broad range of bonds</w:t>
      </w:r>
      <w:r w:rsidRPr="00361C4E">
        <w:rPr>
          <w:rFonts w:ascii="Times New Roman" w:eastAsia="Arial" w:hAnsi="Times New Roman" w:cs="Times New Roman"/>
          <w:color w:val="000000" w:themeColor="text1"/>
        </w:rPr>
        <w:t>: LQD holds a wide variety of bonds issued by different U.S. companies across sectors, reducing the risk tied to individual companies or industries. This diversification helps mitigate the volatility associated with single-company defaults or sector downturns.</w:t>
      </w:r>
    </w:p>
    <w:p w14:paraId="3E3E576C" w14:textId="73D60D9A" w:rsidR="00F54BD6" w:rsidRPr="00361C4E" w:rsidRDefault="28B0ED32" w:rsidP="00FB7BFB">
      <w:pPr>
        <w:pStyle w:val="ListParagraph"/>
        <w:numPr>
          <w:ilvl w:val="0"/>
          <w:numId w:val="31"/>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Different credit ratings</w:t>
      </w:r>
      <w:r w:rsidRPr="00361C4E">
        <w:rPr>
          <w:rFonts w:ascii="Times New Roman" w:eastAsia="Arial" w:hAnsi="Times New Roman" w:cs="Times New Roman"/>
          <w:color w:val="000000" w:themeColor="text1"/>
        </w:rPr>
        <w:t>: LQD includes bonds from investment-grade corporations, generally rated BBB- or higher, which adds another layer of risk control compared to high-yield or junk bonds.</w:t>
      </w:r>
    </w:p>
    <w:p w14:paraId="789540C4" w14:textId="10916605"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Diversification by Sector Exposure</w:t>
      </w:r>
    </w:p>
    <w:p w14:paraId="0703D76B" w14:textId="1C5861A1"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lastRenderedPageBreak/>
        <w:t xml:space="preserve">The LQD ETF includes bonds from different sectors of the U.S. economy. By holding bonds from various industries, the ETF reduces the risk tied to one </w:t>
      </w:r>
      <w:proofErr w:type="gramStart"/>
      <w:r w:rsidRPr="00361C4E">
        <w:rPr>
          <w:rFonts w:ascii="Times New Roman" w:eastAsia="Arial" w:hAnsi="Times New Roman" w:cs="Times New Roman"/>
          <w:color w:val="000000" w:themeColor="text1"/>
        </w:rPr>
        <w:t>particular industry</w:t>
      </w:r>
      <w:proofErr w:type="gramEnd"/>
      <w:r w:rsidRPr="00361C4E">
        <w:rPr>
          <w:rFonts w:ascii="Times New Roman" w:eastAsia="Arial" w:hAnsi="Times New Roman" w:cs="Times New Roman"/>
          <w:color w:val="000000" w:themeColor="text1"/>
        </w:rPr>
        <w:t>. For example, if the energy sector suffers due to falling oil prices, LQD will still be supported by bonds from other sectors, like technology or healthcare, which may not be affected by the same event.</w:t>
      </w:r>
    </w:p>
    <w:p w14:paraId="75C2CDD0" w14:textId="6F60DCCA"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break down the sector allocation of LQD (these are estimates based on typical holdings as of 2024):</w:t>
      </w:r>
    </w:p>
    <w:p w14:paraId="3B9D08D6" w14:textId="6F046604"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Sector</w:t>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Percentage of LQD Portfolio (%)</w:t>
      </w:r>
    </w:p>
    <w:p w14:paraId="420A705D" w14:textId="56B577DE"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Financials</w:t>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30%</w:t>
      </w:r>
    </w:p>
    <w:p w14:paraId="343B8772" w14:textId="79E66E2C"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Industrial</w:t>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 xml:space="preserve"> 20%</w:t>
      </w:r>
    </w:p>
    <w:p w14:paraId="3EB6F0FB" w14:textId="23F204DF"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Consumer Good</w:t>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15%</w:t>
      </w:r>
    </w:p>
    <w:p w14:paraId="2D530BFE" w14:textId="21693049"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Utilities</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10%</w:t>
      </w:r>
    </w:p>
    <w:p w14:paraId="65BB00DF" w14:textId="64E8DA91"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Telecommunications</w:t>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8%</w:t>
      </w:r>
    </w:p>
    <w:p w14:paraId="5DB0AABB" w14:textId="55F70D5D"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Health Care</w:t>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6%</w:t>
      </w:r>
    </w:p>
    <w:p w14:paraId="16C7046A" w14:textId="35573A25"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Energy</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4%</w:t>
      </w:r>
    </w:p>
    <w:p w14:paraId="47548631" w14:textId="7C88B4B3"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Technology</w:t>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5%</w:t>
      </w:r>
    </w:p>
    <w:p w14:paraId="6357871E" w14:textId="68B53301"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Others</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2%</w:t>
      </w:r>
    </w:p>
    <w:p w14:paraId="7165B4E0" w14:textId="5744AB21"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 xml:space="preserve">This breakdown shows that no single sector makes up more than 30% of the portfolio, helping to protect the </w:t>
      </w:r>
      <w:proofErr w:type="gramStart"/>
      <w:r w:rsidRPr="00361C4E">
        <w:rPr>
          <w:rFonts w:ascii="Times New Roman" w:eastAsia="Arial" w:hAnsi="Times New Roman" w:cs="Times New Roman"/>
          <w:color w:val="000000" w:themeColor="text1"/>
        </w:rPr>
        <w:t>fund</w:t>
      </w:r>
      <w:proofErr w:type="gramEnd"/>
      <w:r w:rsidRPr="00361C4E">
        <w:rPr>
          <w:rFonts w:ascii="Times New Roman" w:eastAsia="Arial" w:hAnsi="Times New Roman" w:cs="Times New Roman"/>
          <w:color w:val="000000" w:themeColor="text1"/>
        </w:rPr>
        <w:t xml:space="preserve"> from the negative performance of any one sector.</w:t>
      </w:r>
    </w:p>
    <w:p w14:paraId="212BAFB8" w14:textId="48703A62"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b/>
          <w:bCs/>
          <w:color w:val="000000" w:themeColor="text1"/>
        </w:rPr>
        <w:t>Example of Sector Diversification Impact:</w:t>
      </w:r>
    </w:p>
    <w:p w14:paraId="4326FFD4" w14:textId="633A8723"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If the financial sector experiences a downturn, the other sectors (such as industrials or healthcare) may still perform well, reducing the overall risk of the portfolio.</w:t>
      </w:r>
    </w:p>
    <w:p w14:paraId="18C8FDB1" w14:textId="02146EF4" w:rsidR="00F54BD6" w:rsidRPr="00361C4E" w:rsidRDefault="00F54BD6" w:rsidP="00F54BD6">
      <w:pPr>
        <w:rPr>
          <w:rFonts w:ascii="Times New Roman" w:hAnsi="Times New Roman" w:cs="Times New Roman"/>
        </w:rPr>
      </w:pPr>
    </w:p>
    <w:p w14:paraId="0E15B78D" w14:textId="36DCF8ED"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Diversification by Credit Quality</w:t>
      </w:r>
    </w:p>
    <w:p w14:paraId="79F51A84" w14:textId="191EF48C"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 xml:space="preserve">LQD invests in investment-grade corporate </w:t>
      </w:r>
      <w:proofErr w:type="gramStart"/>
      <w:r w:rsidRPr="00361C4E">
        <w:rPr>
          <w:rFonts w:ascii="Times New Roman" w:eastAsia="Arial" w:hAnsi="Times New Roman" w:cs="Times New Roman"/>
          <w:color w:val="000000" w:themeColor="text1"/>
        </w:rPr>
        <w:t>bonds—</w:t>
      </w:r>
      <w:proofErr w:type="gramEnd"/>
      <w:r w:rsidRPr="00361C4E">
        <w:rPr>
          <w:rFonts w:ascii="Times New Roman" w:eastAsia="Arial" w:hAnsi="Times New Roman" w:cs="Times New Roman"/>
          <w:color w:val="000000" w:themeColor="text1"/>
        </w:rPr>
        <w:t>those rated BBB- or higher by major rating agencies. By focusing on high-quality bonds, LQD ensures that the bonds in the portfolio are from companies with lower credit risk (i.e., they are less likely to default).</w:t>
      </w:r>
    </w:p>
    <w:p w14:paraId="2A62475F" w14:textId="6268926D"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lastRenderedPageBreak/>
        <w:t>The breakdown of LQD's bonds by credit rating (using S&amp;P or Moody's ratings) might look like this:</w:t>
      </w:r>
    </w:p>
    <w:p w14:paraId="4F12B9D3" w14:textId="58698AFB"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Credit Rating</w:t>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Percentage of LQD Portfolio (%)</w:t>
      </w:r>
    </w:p>
    <w:p w14:paraId="3D60742B" w14:textId="2C687A2D"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AA</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25%</w:t>
      </w:r>
    </w:p>
    <w:p w14:paraId="2729C399" w14:textId="2155F349"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A</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35%</w:t>
      </w:r>
    </w:p>
    <w:p w14:paraId="187C3D84" w14:textId="7B2834C5"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BBB</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35%</w:t>
      </w:r>
    </w:p>
    <w:p w14:paraId="612450B9" w14:textId="7B1E97A0"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Other</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5%</w:t>
      </w:r>
    </w:p>
    <w:p w14:paraId="62A2F1FE" w14:textId="4B10DA0C"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In this example:</w:t>
      </w:r>
    </w:p>
    <w:p w14:paraId="4915B560" w14:textId="569E08A6"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AA and A-rated bonds represent the highest quality bonds, which are issued by companies with very strong creditworthiness.</w:t>
      </w:r>
    </w:p>
    <w:p w14:paraId="2A0D4BAC" w14:textId="72C95A3D"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BBB-rated bonds are still investment-grade but carry slightly more risk than AA or A-rated bonds.</w:t>
      </w:r>
    </w:p>
    <w:p w14:paraId="34D76EFA" w14:textId="26BFB148"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Other ratings (such as lower-rated bonds that may be on the edge of investment-grade) make up a small portion of the ETF. This credit quality diversification means that even if some companies face financial difficulties or downgrades, the overall risk of default across the fund is low compared to a portfolio with high-yield (junk) bonds.</w:t>
      </w:r>
    </w:p>
    <w:p w14:paraId="24CDECC3" w14:textId="39228BFC" w:rsidR="00F54BD6" w:rsidRPr="00361C4E" w:rsidRDefault="00F54BD6" w:rsidP="00F54BD6">
      <w:pPr>
        <w:rPr>
          <w:rFonts w:ascii="Times New Roman" w:hAnsi="Times New Roman" w:cs="Times New Roman"/>
        </w:rPr>
      </w:pPr>
    </w:p>
    <w:p w14:paraId="33C4B8BA" w14:textId="68AB8CF4"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Diversification by Issuer</w:t>
      </w:r>
    </w:p>
    <w:p w14:paraId="737C5F2A" w14:textId="1FFE4BBA"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LQD holds bonds from hundreds of different corporations. Here’s how diversification reduces risk:</w:t>
      </w:r>
    </w:p>
    <w:p w14:paraId="75C9DF4D" w14:textId="61820484"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b/>
          <w:bCs/>
          <w:color w:val="000000" w:themeColor="text1"/>
        </w:rPr>
        <w:t>Top 10 Issuers in LQD (Sample)</w:t>
      </w:r>
      <w:r w:rsidR="00F54BD6" w:rsidRPr="00361C4E">
        <w:rPr>
          <w:rFonts w:ascii="Times New Roman" w:hAnsi="Times New Roman" w:cs="Times New Roman"/>
        </w:rPr>
        <w:tab/>
      </w:r>
      <w:r w:rsidRPr="00361C4E">
        <w:rPr>
          <w:rFonts w:ascii="Times New Roman" w:eastAsia="Arial" w:hAnsi="Times New Roman" w:cs="Times New Roman"/>
          <w:b/>
          <w:bCs/>
          <w:color w:val="000000" w:themeColor="text1"/>
        </w:rPr>
        <w:t>Percentage of LQD Portfolio (%)</w:t>
      </w:r>
    </w:p>
    <w:p w14:paraId="029755D5" w14:textId="78FBCEAC"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Apple Inc.</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2.5%</w:t>
      </w:r>
    </w:p>
    <w:p w14:paraId="1AA0FF80" w14:textId="7B3DC7EF"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Microsoft Corp.</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2.0%</w:t>
      </w:r>
    </w:p>
    <w:p w14:paraId="4AC3F8E4" w14:textId="43D56716"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Johnson &amp; Johnson</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1.8%</w:t>
      </w:r>
    </w:p>
    <w:p w14:paraId="19FFD1D5" w14:textId="301F47A2"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Tesla Inc.</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1.6%</w:t>
      </w:r>
    </w:p>
    <w:p w14:paraId="38597D15" w14:textId="4FDB40C8"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Berkshire Hathaway</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1.5%</w:t>
      </w:r>
    </w:p>
    <w:p w14:paraId="48F8A7E2" w14:textId="33F9F7F1"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lastRenderedPageBreak/>
        <w:t>Visa Inc.</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1.3%</w:t>
      </w:r>
    </w:p>
    <w:p w14:paraId="6A8B1231" w14:textId="2ED66333"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Amazon.com</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1.2%</w:t>
      </w:r>
    </w:p>
    <w:p w14:paraId="6625BAA1" w14:textId="3430913C"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ExxonMobil</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1.0%</w:t>
      </w:r>
    </w:p>
    <w:p w14:paraId="4A4EBEAE" w14:textId="6930FF19"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Procter &amp; Gamble</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1.0%</w:t>
      </w:r>
    </w:p>
    <w:p w14:paraId="4C1D7BC2" w14:textId="230A42C9"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Coca-Cola</w:t>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00F54BD6" w:rsidRPr="00361C4E">
        <w:rPr>
          <w:rFonts w:ascii="Times New Roman" w:hAnsi="Times New Roman" w:cs="Times New Roman"/>
        </w:rPr>
        <w:tab/>
      </w:r>
      <w:r w:rsidRPr="00361C4E">
        <w:rPr>
          <w:rFonts w:ascii="Times New Roman" w:eastAsia="Arial" w:hAnsi="Times New Roman" w:cs="Times New Roman"/>
          <w:color w:val="000000" w:themeColor="text1"/>
        </w:rPr>
        <w:t>0.9%</w:t>
      </w:r>
    </w:p>
    <w:p w14:paraId="5081C1E4" w14:textId="4D8100BB"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The top 10 issuers account for roughly 13% of the total portfolio, meaning the risk is spread across numerous companies. Even if one of these companies were to experience financial trouble, its impact on the overall performance of the ETF would be limited.</w:t>
      </w:r>
    </w:p>
    <w:p w14:paraId="1288977F" w14:textId="690AFF36" w:rsidR="00F54BD6" w:rsidRPr="00361C4E" w:rsidRDefault="28B0ED32" w:rsidP="554E3AFB">
      <w:pPr>
        <w:spacing w:before="240" w:after="240"/>
        <w:ind w:firstLine="720"/>
        <w:rPr>
          <w:rFonts w:ascii="Times New Roman" w:hAnsi="Times New Roman" w:cs="Times New Roman"/>
        </w:rPr>
      </w:pPr>
      <w:r w:rsidRPr="00361C4E">
        <w:rPr>
          <w:rFonts w:ascii="Times New Roman" w:eastAsia="Arial" w:hAnsi="Times New Roman" w:cs="Times New Roman"/>
          <w:color w:val="000000" w:themeColor="text1"/>
        </w:rPr>
        <w:t>Example of Issuer Diversification Impact:</w:t>
      </w:r>
    </w:p>
    <w:p w14:paraId="5D484E71" w14:textId="29CB5652"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If Apple or Microsoft were to face significant financial challenges, it would impact LQD's returns, but due to the diverse mix of other companies (e.g., Johnson &amp; Johnson, Visa, etc.), the fund’s performance wouldn't be entirely dependent on a few companies.</w:t>
      </w:r>
    </w:p>
    <w:p w14:paraId="4A43849A" w14:textId="6BEA5598"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Diversification by Maturity (Duration)</w:t>
      </w:r>
    </w:p>
    <w:p w14:paraId="54723DA6" w14:textId="19FAEA1F" w:rsidR="00F54BD6" w:rsidRPr="00361C4E" w:rsidRDefault="28B0ED32" w:rsidP="554E3AFB">
      <w:pPr>
        <w:spacing w:before="240" w:after="240"/>
        <w:ind w:left="720"/>
        <w:rPr>
          <w:rFonts w:ascii="Times New Roman" w:hAnsi="Times New Roman" w:cs="Times New Roman"/>
        </w:rPr>
      </w:pPr>
      <w:r w:rsidRPr="00361C4E">
        <w:rPr>
          <w:rFonts w:ascii="Times New Roman" w:eastAsia="Arial" w:hAnsi="Times New Roman" w:cs="Times New Roman"/>
          <w:color w:val="000000" w:themeColor="text1"/>
        </w:rPr>
        <w:t>Another aspect of diversification is the bond's maturity profile. LQD holds bonds with different maturity dates, which helps manage interest rate risk. Typically, the bonds in LQD might have a range of maturities, from short-term (1-3 years) to long-term (10+ years). The longer the maturity, the more sensitive the bond is to changes in interest rates.</w:t>
      </w:r>
    </w:p>
    <w:p w14:paraId="1BF12C76" w14:textId="3F40527B" w:rsidR="00F54BD6" w:rsidRPr="00361C4E" w:rsidRDefault="00F54BD6" w:rsidP="00F54BD6">
      <w:pPr>
        <w:rPr>
          <w:rFonts w:ascii="Times New Roman" w:hAnsi="Times New Roman" w:cs="Times New Roman"/>
        </w:rPr>
      </w:pPr>
    </w:p>
    <w:p w14:paraId="6124099C" w14:textId="6EC25B3F" w:rsidR="00F54BD6" w:rsidRPr="00361C4E" w:rsidRDefault="00F54BD6" w:rsidP="00F54BD6">
      <w:pPr>
        <w:rPr>
          <w:rFonts w:ascii="Times New Roman" w:hAnsi="Times New Roman" w:cs="Times New Roman"/>
        </w:rPr>
      </w:pPr>
    </w:p>
    <w:p w14:paraId="42D5C7AD" w14:textId="58583CD2" w:rsidR="00F54BD6" w:rsidRPr="00361C4E" w:rsidRDefault="28B0ED32" w:rsidP="554E3AFB">
      <w:pPr>
        <w:spacing w:before="220" w:after="220"/>
        <w:rPr>
          <w:rFonts w:ascii="Times New Roman" w:hAnsi="Times New Roman" w:cs="Times New Roman"/>
        </w:rPr>
      </w:pPr>
      <w:r w:rsidRPr="00361C4E">
        <w:rPr>
          <w:rFonts w:ascii="Times New Roman" w:hAnsi="Times New Roman" w:cs="Times New Roman"/>
          <w:noProof/>
        </w:rPr>
        <w:drawing>
          <wp:inline distT="0" distB="0" distL="0" distR="0" wp14:anchorId="36360E7D" wp14:editId="47513429">
            <wp:extent cx="4381500" cy="2009775"/>
            <wp:effectExtent l="0" t="0" r="0" b="0"/>
            <wp:docPr id="1140124192" name="Picture 114012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381500" cy="2009775"/>
                    </a:xfrm>
                    <a:prstGeom prst="rect">
                      <a:avLst/>
                    </a:prstGeom>
                  </pic:spPr>
                </pic:pic>
              </a:graphicData>
            </a:graphic>
          </wp:inline>
        </w:drawing>
      </w:r>
    </w:p>
    <w:p w14:paraId="3450C6B5" w14:textId="0177BCDB" w:rsidR="00F54BD6" w:rsidRPr="00361C4E" w:rsidRDefault="00F54BD6" w:rsidP="00F54BD6">
      <w:pPr>
        <w:rPr>
          <w:rFonts w:ascii="Times New Roman" w:hAnsi="Times New Roman" w:cs="Times New Roman"/>
        </w:rPr>
      </w:pPr>
    </w:p>
    <w:p w14:paraId="29901C8A" w14:textId="205FA9CC" w:rsidR="00F54BD6" w:rsidRPr="00361C4E" w:rsidRDefault="00F54BD6" w:rsidP="00F54BD6">
      <w:pPr>
        <w:rPr>
          <w:rFonts w:ascii="Times New Roman" w:hAnsi="Times New Roman" w:cs="Times New Roman"/>
        </w:rPr>
      </w:pPr>
    </w:p>
    <w:p w14:paraId="7675413F" w14:textId="3BCBE208" w:rsidR="00F54BD6" w:rsidRPr="00361C4E" w:rsidRDefault="00F54BD6" w:rsidP="00F54BD6">
      <w:pPr>
        <w:rPr>
          <w:rFonts w:ascii="Times New Roman" w:hAnsi="Times New Roman" w:cs="Times New Roman"/>
        </w:rPr>
      </w:pPr>
    </w:p>
    <w:p w14:paraId="41B097B7" w14:textId="32555184" w:rsidR="00F54BD6" w:rsidRPr="00361C4E" w:rsidRDefault="28B0ED32" w:rsidP="554E3AFB">
      <w:pPr>
        <w:pStyle w:val="Heading3"/>
        <w:spacing w:before="280"/>
        <w:rPr>
          <w:rFonts w:ascii="Times New Roman" w:hAnsi="Times New Roman" w:cs="Times New Roman"/>
          <w:sz w:val="24"/>
          <w:szCs w:val="24"/>
        </w:rPr>
      </w:pPr>
      <w:r w:rsidRPr="00361C4E">
        <w:rPr>
          <w:rFonts w:ascii="Times New Roman" w:eastAsia="Arial" w:hAnsi="Times New Roman" w:cs="Times New Roman"/>
          <w:b/>
          <w:bCs/>
          <w:color w:val="000000" w:themeColor="text1"/>
          <w:sz w:val="24"/>
          <w:szCs w:val="24"/>
        </w:rPr>
        <w:t>3. Income Generation in LQD:</w:t>
      </w:r>
    </w:p>
    <w:p w14:paraId="67BDF3DF" w14:textId="03159B6F"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b/>
          <w:bCs/>
          <w:color w:val="000000" w:themeColor="text1"/>
        </w:rPr>
        <w:t>LQD</w:t>
      </w:r>
      <w:r w:rsidRPr="00361C4E">
        <w:rPr>
          <w:rFonts w:ascii="Times New Roman" w:eastAsia="Arial" w:hAnsi="Times New Roman" w:cs="Times New Roman"/>
          <w:color w:val="000000" w:themeColor="text1"/>
        </w:rPr>
        <w:t xml:space="preserve"> holds U.S. investment-grade corporate bonds, which typically pay interest (or coupons) to bondholders on a regular basis. The income generated from LQD comes from these </w:t>
      </w:r>
      <w:r w:rsidRPr="00361C4E">
        <w:rPr>
          <w:rFonts w:ascii="Times New Roman" w:eastAsia="Arial" w:hAnsi="Times New Roman" w:cs="Times New Roman"/>
          <w:b/>
          <w:bCs/>
          <w:color w:val="000000" w:themeColor="text1"/>
        </w:rPr>
        <w:t>coupon payments</w:t>
      </w:r>
      <w:r w:rsidRPr="00361C4E">
        <w:rPr>
          <w:rFonts w:ascii="Times New Roman" w:eastAsia="Arial" w:hAnsi="Times New Roman" w:cs="Times New Roman"/>
          <w:color w:val="000000" w:themeColor="text1"/>
        </w:rPr>
        <w:t>, which are the periodic interest payments that bond issuers make to bondholders.</w:t>
      </w:r>
    </w:p>
    <w:p w14:paraId="1581EAB4" w14:textId="0838ACCC" w:rsidR="00F54BD6" w:rsidRPr="00361C4E" w:rsidRDefault="28B0ED32" w:rsidP="00FB7BFB">
      <w:pPr>
        <w:pStyle w:val="ListParagraph"/>
        <w:numPr>
          <w:ilvl w:val="0"/>
          <w:numId w:val="30"/>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Coupon Payments</w:t>
      </w:r>
      <w:r w:rsidRPr="00361C4E">
        <w:rPr>
          <w:rFonts w:ascii="Times New Roman" w:eastAsia="Arial" w:hAnsi="Times New Roman" w:cs="Times New Roman"/>
          <w:color w:val="000000" w:themeColor="text1"/>
        </w:rPr>
        <w:t>: These are typically paid semi-annually, which means bondholders receive interest payments twice a year. The coupon is usually fixed at the time of issuance and is paid based on the bond’s face value (principal amount).</w:t>
      </w:r>
    </w:p>
    <w:p w14:paraId="1FA84240" w14:textId="3EA87A6E" w:rsidR="00F54BD6" w:rsidRPr="00361C4E" w:rsidRDefault="28B0ED32" w:rsidP="00FB7BFB">
      <w:pPr>
        <w:pStyle w:val="ListParagraph"/>
        <w:numPr>
          <w:ilvl w:val="0"/>
          <w:numId w:val="30"/>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Yield to Maturity (YTM)</w:t>
      </w:r>
      <w:r w:rsidRPr="00361C4E">
        <w:rPr>
          <w:rFonts w:ascii="Times New Roman" w:eastAsia="Arial" w:hAnsi="Times New Roman" w:cs="Times New Roman"/>
          <w:color w:val="000000" w:themeColor="text1"/>
        </w:rPr>
        <w:t>: For those buying bonds in the secondary market, the yield to maturity is a key metric. It reflects the total return expected if the bond is held to maturity, including both coupon payments and any capital gain or loss.</w:t>
      </w:r>
    </w:p>
    <w:p w14:paraId="06C2833F" w14:textId="08222244"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LQD’s income primarily comes from the coupon payments of the bonds it holds. The ETF then distributes these payments to its investors in the form of a dividend.</w:t>
      </w:r>
    </w:p>
    <w:p w14:paraId="627F3C51" w14:textId="188BE7DD" w:rsidR="00F54BD6" w:rsidRPr="00361C4E" w:rsidRDefault="28B0ED32" w:rsidP="554E3AFB">
      <w:pPr>
        <w:pStyle w:val="Heading3"/>
        <w:spacing w:before="280"/>
        <w:rPr>
          <w:rFonts w:ascii="Times New Roman" w:hAnsi="Times New Roman" w:cs="Times New Roman"/>
          <w:sz w:val="24"/>
          <w:szCs w:val="24"/>
        </w:rPr>
      </w:pPr>
      <w:r w:rsidRPr="00361C4E">
        <w:rPr>
          <w:rFonts w:ascii="Times New Roman" w:eastAsia="Arial" w:hAnsi="Times New Roman" w:cs="Times New Roman"/>
          <w:b/>
          <w:bCs/>
          <w:color w:val="000000" w:themeColor="text1"/>
          <w:sz w:val="24"/>
          <w:szCs w:val="24"/>
        </w:rPr>
        <w:t>Income Yield in LQD</w:t>
      </w:r>
    </w:p>
    <w:p w14:paraId="1B99C8D9" w14:textId="0DC4C176"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 xml:space="preserve">The </w:t>
      </w:r>
      <w:r w:rsidRPr="00361C4E">
        <w:rPr>
          <w:rFonts w:ascii="Times New Roman" w:eastAsia="Arial" w:hAnsi="Times New Roman" w:cs="Times New Roman"/>
          <w:b/>
          <w:bCs/>
          <w:color w:val="000000" w:themeColor="text1"/>
        </w:rPr>
        <w:t>yield</w:t>
      </w:r>
      <w:r w:rsidRPr="00361C4E">
        <w:rPr>
          <w:rFonts w:ascii="Times New Roman" w:eastAsia="Arial" w:hAnsi="Times New Roman" w:cs="Times New Roman"/>
          <w:color w:val="000000" w:themeColor="text1"/>
        </w:rPr>
        <w:t xml:space="preserve"> on LQD reflects the income generated by </w:t>
      </w:r>
      <w:proofErr w:type="gramStart"/>
      <w:r w:rsidRPr="00361C4E">
        <w:rPr>
          <w:rFonts w:ascii="Times New Roman" w:eastAsia="Arial" w:hAnsi="Times New Roman" w:cs="Times New Roman"/>
          <w:color w:val="000000" w:themeColor="text1"/>
        </w:rPr>
        <w:t>the ETF</w:t>
      </w:r>
      <w:proofErr w:type="gramEnd"/>
      <w:r w:rsidRPr="00361C4E">
        <w:rPr>
          <w:rFonts w:ascii="Times New Roman" w:eastAsia="Arial" w:hAnsi="Times New Roman" w:cs="Times New Roman"/>
          <w:color w:val="000000" w:themeColor="text1"/>
        </w:rPr>
        <w:t xml:space="preserve"> relative to its price. The yield is influenced by the coupon payments of the bonds it holds and the market price of the ETF. The </w:t>
      </w:r>
      <w:r w:rsidRPr="00361C4E">
        <w:rPr>
          <w:rFonts w:ascii="Times New Roman" w:eastAsia="Arial" w:hAnsi="Times New Roman" w:cs="Times New Roman"/>
          <w:b/>
          <w:bCs/>
          <w:color w:val="000000" w:themeColor="text1"/>
        </w:rPr>
        <w:t>current yield</w:t>
      </w:r>
      <w:r w:rsidRPr="00361C4E">
        <w:rPr>
          <w:rFonts w:ascii="Times New Roman" w:eastAsia="Arial" w:hAnsi="Times New Roman" w:cs="Times New Roman"/>
          <w:color w:val="000000" w:themeColor="text1"/>
        </w:rPr>
        <w:t xml:space="preserve"> is calculated by dividing the total annual dividend payments by the price of the ETF.</w:t>
      </w:r>
    </w:p>
    <w:p w14:paraId="0BA15DCC" w14:textId="602EBBA2" w:rsidR="00F54BD6" w:rsidRPr="00361C4E" w:rsidRDefault="28B0ED32" w:rsidP="554E3AFB">
      <w:pPr>
        <w:pStyle w:val="Heading4"/>
        <w:spacing w:before="240"/>
        <w:rPr>
          <w:rFonts w:ascii="Times New Roman" w:hAnsi="Times New Roman" w:cs="Times New Roman"/>
        </w:rPr>
      </w:pPr>
      <w:r w:rsidRPr="00361C4E">
        <w:rPr>
          <w:rFonts w:ascii="Times New Roman" w:eastAsia="Arial" w:hAnsi="Times New Roman" w:cs="Times New Roman"/>
          <w:b/>
          <w:bCs/>
          <w:i w:val="0"/>
          <w:iCs w:val="0"/>
          <w:color w:val="000000" w:themeColor="text1"/>
        </w:rPr>
        <w:t>Income Yield for LQD (as of 2024):</w:t>
      </w:r>
    </w:p>
    <w:p w14:paraId="3F44F88C" w14:textId="2D02AA4A" w:rsidR="00F54BD6" w:rsidRPr="00361C4E" w:rsidRDefault="28B0ED32" w:rsidP="00FB7BFB">
      <w:pPr>
        <w:pStyle w:val="ListParagraph"/>
        <w:numPr>
          <w:ilvl w:val="0"/>
          <w:numId w:val="29"/>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Dividend Yield</w:t>
      </w:r>
      <w:r w:rsidRPr="00361C4E">
        <w:rPr>
          <w:rFonts w:ascii="Times New Roman" w:eastAsia="Arial" w:hAnsi="Times New Roman" w:cs="Times New Roman"/>
          <w:color w:val="000000" w:themeColor="text1"/>
        </w:rPr>
        <w:t xml:space="preserve">: LQD typically has a yield ranging from </w:t>
      </w:r>
      <w:r w:rsidRPr="00361C4E">
        <w:rPr>
          <w:rFonts w:ascii="Times New Roman" w:eastAsia="Arial" w:hAnsi="Times New Roman" w:cs="Times New Roman"/>
          <w:b/>
          <w:bCs/>
          <w:color w:val="000000" w:themeColor="text1"/>
        </w:rPr>
        <w:t>3.5% to 4.5%</w:t>
      </w:r>
      <w:r w:rsidRPr="00361C4E">
        <w:rPr>
          <w:rFonts w:ascii="Times New Roman" w:eastAsia="Arial" w:hAnsi="Times New Roman" w:cs="Times New Roman"/>
          <w:color w:val="000000" w:themeColor="text1"/>
        </w:rPr>
        <w:t xml:space="preserve"> annually, depending on the market conditions, interest rates, and the specific bonds held within the fund. The yield may fluctuate as bond prices change due to market conditions.</w:t>
      </w:r>
    </w:p>
    <w:p w14:paraId="587E5D0C" w14:textId="14B2FD1A" w:rsidR="00F54BD6" w:rsidRPr="00361C4E" w:rsidRDefault="28B0ED32" w:rsidP="00FB7BFB">
      <w:pPr>
        <w:pStyle w:val="ListParagraph"/>
        <w:numPr>
          <w:ilvl w:val="0"/>
          <w:numId w:val="29"/>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lastRenderedPageBreak/>
        <w:t>Dividend Distribution</w:t>
      </w:r>
      <w:r w:rsidRPr="00361C4E">
        <w:rPr>
          <w:rFonts w:ascii="Times New Roman" w:eastAsia="Arial" w:hAnsi="Times New Roman" w:cs="Times New Roman"/>
          <w:color w:val="000000" w:themeColor="text1"/>
        </w:rPr>
        <w:t xml:space="preserve">: LQD distributes income </w:t>
      </w:r>
      <w:proofErr w:type="gramStart"/>
      <w:r w:rsidRPr="00361C4E">
        <w:rPr>
          <w:rFonts w:ascii="Times New Roman" w:eastAsia="Arial" w:hAnsi="Times New Roman" w:cs="Times New Roman"/>
          <w:color w:val="000000" w:themeColor="text1"/>
        </w:rPr>
        <w:t xml:space="preserve">on a </w:t>
      </w:r>
      <w:r w:rsidRPr="00361C4E">
        <w:rPr>
          <w:rFonts w:ascii="Times New Roman" w:eastAsia="Arial" w:hAnsi="Times New Roman" w:cs="Times New Roman"/>
          <w:b/>
          <w:bCs/>
          <w:color w:val="000000" w:themeColor="text1"/>
        </w:rPr>
        <w:t>monthly basis</w:t>
      </w:r>
      <w:proofErr w:type="gramEnd"/>
      <w:r w:rsidRPr="00361C4E">
        <w:rPr>
          <w:rFonts w:ascii="Times New Roman" w:eastAsia="Arial" w:hAnsi="Times New Roman" w:cs="Times New Roman"/>
          <w:color w:val="000000" w:themeColor="text1"/>
        </w:rPr>
        <w:t>, which provides investors with a steady stream of income.</w:t>
      </w:r>
      <w:r w:rsidRPr="00361C4E">
        <w:rPr>
          <w:rFonts w:ascii="Times New Roman" w:hAnsi="Times New Roman" w:cs="Times New Roman"/>
          <w:noProof/>
        </w:rPr>
        <w:drawing>
          <wp:inline distT="0" distB="0" distL="0" distR="0" wp14:anchorId="4C42D10D" wp14:editId="4C533171">
            <wp:extent cx="3648075" cy="2190750"/>
            <wp:effectExtent l="0" t="0" r="0" b="0"/>
            <wp:docPr id="485366748" name="Picture 48536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648075" cy="2190750"/>
                    </a:xfrm>
                    <a:prstGeom prst="rect">
                      <a:avLst/>
                    </a:prstGeom>
                  </pic:spPr>
                </pic:pic>
              </a:graphicData>
            </a:graphic>
          </wp:inline>
        </w:drawing>
      </w:r>
    </w:p>
    <w:p w14:paraId="4820BA22" w14:textId="19452C04" w:rsidR="00F54BD6" w:rsidRPr="00361C4E" w:rsidRDefault="28B0ED32" w:rsidP="554E3AFB">
      <w:pPr>
        <w:pStyle w:val="Heading4"/>
        <w:spacing w:before="240"/>
        <w:rPr>
          <w:rFonts w:ascii="Times New Roman" w:hAnsi="Times New Roman" w:cs="Times New Roman"/>
        </w:rPr>
      </w:pPr>
      <w:r w:rsidRPr="00361C4E">
        <w:rPr>
          <w:rFonts w:ascii="Times New Roman" w:eastAsia="Arial" w:hAnsi="Times New Roman" w:cs="Times New Roman"/>
          <w:b/>
          <w:bCs/>
          <w:i w:val="0"/>
          <w:iCs w:val="0"/>
          <w:color w:val="000000" w:themeColor="text1"/>
        </w:rPr>
        <w:t>Example of Income Generation:</w:t>
      </w:r>
    </w:p>
    <w:p w14:paraId="43CD1B12" w14:textId="7EED5FDE"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 xml:space="preserve">If an investor holds </w:t>
      </w:r>
      <w:r w:rsidRPr="00361C4E">
        <w:rPr>
          <w:rFonts w:ascii="Times New Roman" w:eastAsia="Arial" w:hAnsi="Times New Roman" w:cs="Times New Roman"/>
          <w:b/>
          <w:bCs/>
          <w:color w:val="000000" w:themeColor="text1"/>
        </w:rPr>
        <w:t>$10,000</w:t>
      </w:r>
      <w:r w:rsidRPr="00361C4E">
        <w:rPr>
          <w:rFonts w:ascii="Times New Roman" w:eastAsia="Arial" w:hAnsi="Times New Roman" w:cs="Times New Roman"/>
          <w:color w:val="000000" w:themeColor="text1"/>
        </w:rPr>
        <w:t xml:space="preserve"> in LQD and the ETF has an annual yield of </w:t>
      </w:r>
      <w:r w:rsidRPr="00361C4E">
        <w:rPr>
          <w:rFonts w:ascii="Times New Roman" w:eastAsia="Arial" w:hAnsi="Times New Roman" w:cs="Times New Roman"/>
          <w:b/>
          <w:bCs/>
          <w:color w:val="000000" w:themeColor="text1"/>
        </w:rPr>
        <w:t>4%</w:t>
      </w:r>
      <w:r w:rsidRPr="00361C4E">
        <w:rPr>
          <w:rFonts w:ascii="Times New Roman" w:eastAsia="Arial" w:hAnsi="Times New Roman" w:cs="Times New Roman"/>
          <w:color w:val="000000" w:themeColor="text1"/>
        </w:rPr>
        <w:t xml:space="preserve">, the investor </w:t>
      </w:r>
      <w:proofErr w:type="gramStart"/>
      <w:r w:rsidRPr="00361C4E">
        <w:rPr>
          <w:rFonts w:ascii="Times New Roman" w:eastAsia="Arial" w:hAnsi="Times New Roman" w:cs="Times New Roman"/>
          <w:color w:val="000000" w:themeColor="text1"/>
        </w:rPr>
        <w:t>would</w:t>
      </w:r>
      <w:proofErr w:type="gramEnd"/>
      <w:r w:rsidRPr="00361C4E">
        <w:rPr>
          <w:rFonts w:ascii="Times New Roman" w:eastAsia="Arial" w:hAnsi="Times New Roman" w:cs="Times New Roman"/>
          <w:color w:val="000000" w:themeColor="text1"/>
        </w:rPr>
        <w:t xml:space="preserve"> receive </w:t>
      </w:r>
      <w:r w:rsidRPr="00361C4E">
        <w:rPr>
          <w:rFonts w:ascii="Times New Roman" w:eastAsia="Arial" w:hAnsi="Times New Roman" w:cs="Times New Roman"/>
          <w:b/>
          <w:bCs/>
          <w:color w:val="000000" w:themeColor="text1"/>
        </w:rPr>
        <w:t>$400</w:t>
      </w:r>
      <w:r w:rsidRPr="00361C4E">
        <w:rPr>
          <w:rFonts w:ascii="Times New Roman" w:eastAsia="Arial" w:hAnsi="Times New Roman" w:cs="Times New Roman"/>
          <w:color w:val="000000" w:themeColor="text1"/>
        </w:rPr>
        <w:t xml:space="preserve"> in income over the year. This income would be distributed as </w:t>
      </w:r>
      <w:r w:rsidRPr="00361C4E">
        <w:rPr>
          <w:rFonts w:ascii="Times New Roman" w:eastAsia="Arial" w:hAnsi="Times New Roman" w:cs="Times New Roman"/>
          <w:b/>
          <w:bCs/>
          <w:color w:val="000000" w:themeColor="text1"/>
        </w:rPr>
        <w:t>monthly dividends</w:t>
      </w:r>
      <w:r w:rsidRPr="00361C4E">
        <w:rPr>
          <w:rFonts w:ascii="Times New Roman" w:eastAsia="Arial" w:hAnsi="Times New Roman" w:cs="Times New Roman"/>
          <w:color w:val="000000" w:themeColor="text1"/>
        </w:rPr>
        <w:t xml:space="preserve">, roughly </w:t>
      </w:r>
      <w:r w:rsidRPr="00361C4E">
        <w:rPr>
          <w:rFonts w:ascii="Times New Roman" w:eastAsia="Arial" w:hAnsi="Times New Roman" w:cs="Times New Roman"/>
          <w:b/>
          <w:bCs/>
          <w:color w:val="000000" w:themeColor="text1"/>
        </w:rPr>
        <w:t>$33.33 per month</w:t>
      </w:r>
      <w:r w:rsidRPr="00361C4E">
        <w:rPr>
          <w:rFonts w:ascii="Times New Roman" w:eastAsia="Arial" w:hAnsi="Times New Roman" w:cs="Times New Roman"/>
          <w:color w:val="000000" w:themeColor="text1"/>
        </w:rPr>
        <w:t xml:space="preserve"> (assuming a consistent yield).</w:t>
      </w:r>
    </w:p>
    <w:p w14:paraId="0EE8A58E" w14:textId="26EEED57" w:rsidR="00F54BD6" w:rsidRPr="00361C4E" w:rsidRDefault="28B0ED32" w:rsidP="554E3AFB">
      <w:pPr>
        <w:pStyle w:val="Heading3"/>
        <w:spacing w:before="280"/>
        <w:rPr>
          <w:rFonts w:ascii="Times New Roman" w:hAnsi="Times New Roman" w:cs="Times New Roman"/>
          <w:sz w:val="24"/>
          <w:szCs w:val="24"/>
        </w:rPr>
      </w:pPr>
      <w:r w:rsidRPr="00361C4E">
        <w:rPr>
          <w:rFonts w:ascii="Times New Roman" w:eastAsia="Arial" w:hAnsi="Times New Roman" w:cs="Times New Roman"/>
          <w:b/>
          <w:bCs/>
          <w:color w:val="000000" w:themeColor="text1"/>
          <w:sz w:val="24"/>
          <w:szCs w:val="24"/>
        </w:rPr>
        <w:t>Comparison with Other Income-Generating Investments</w:t>
      </w:r>
    </w:p>
    <w:p w14:paraId="60F90A1A" w14:textId="6725C679"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Let's compare LQD's income potential with some other common investment options:</w:t>
      </w:r>
    </w:p>
    <w:tbl>
      <w:tblPr>
        <w:tblW w:w="0" w:type="auto"/>
        <w:tblLayout w:type="fixed"/>
        <w:tblLook w:val="06A0" w:firstRow="1" w:lastRow="0" w:firstColumn="1" w:lastColumn="0" w:noHBand="1" w:noVBand="1"/>
      </w:tblPr>
      <w:tblGrid>
        <w:gridCol w:w="2110"/>
        <w:gridCol w:w="1090"/>
        <w:gridCol w:w="1330"/>
        <w:gridCol w:w="2305"/>
        <w:gridCol w:w="1525"/>
      </w:tblGrid>
      <w:tr w:rsidR="554E3AFB" w:rsidRPr="00361C4E" w14:paraId="314FBF18" w14:textId="77777777" w:rsidTr="554E3AFB">
        <w:trPr>
          <w:trHeight w:val="1035"/>
        </w:trPr>
        <w:tc>
          <w:tcPr>
            <w:tcW w:w="2110" w:type="dxa"/>
            <w:tcMar>
              <w:top w:w="100" w:type="dxa"/>
              <w:left w:w="100" w:type="dxa"/>
              <w:bottom w:w="100" w:type="dxa"/>
              <w:right w:w="100" w:type="dxa"/>
            </w:tcMar>
          </w:tcPr>
          <w:p w14:paraId="3CBCDEC4" w14:textId="63DF0A19" w:rsidR="554E3AFB" w:rsidRPr="00361C4E" w:rsidRDefault="554E3AFB" w:rsidP="554E3AFB">
            <w:pPr>
              <w:spacing w:before="220" w:after="220"/>
              <w:jc w:val="center"/>
              <w:rPr>
                <w:rFonts w:ascii="Times New Roman" w:hAnsi="Times New Roman" w:cs="Times New Roman"/>
              </w:rPr>
            </w:pPr>
            <w:r w:rsidRPr="00361C4E">
              <w:rPr>
                <w:rFonts w:ascii="Times New Roman" w:eastAsia="Arial" w:hAnsi="Times New Roman" w:cs="Times New Roman"/>
                <w:b/>
                <w:bCs/>
                <w:color w:val="000000" w:themeColor="text1"/>
              </w:rPr>
              <w:t>Investment Type</w:t>
            </w:r>
          </w:p>
        </w:tc>
        <w:tc>
          <w:tcPr>
            <w:tcW w:w="1090" w:type="dxa"/>
            <w:tcMar>
              <w:top w:w="100" w:type="dxa"/>
              <w:left w:w="100" w:type="dxa"/>
              <w:bottom w:w="100" w:type="dxa"/>
              <w:right w:w="100" w:type="dxa"/>
            </w:tcMar>
          </w:tcPr>
          <w:p w14:paraId="64857EBE" w14:textId="7A7CEFCD" w:rsidR="554E3AFB" w:rsidRPr="00361C4E" w:rsidRDefault="554E3AFB" w:rsidP="554E3AFB">
            <w:pPr>
              <w:spacing w:before="220" w:after="220"/>
              <w:jc w:val="center"/>
              <w:rPr>
                <w:rFonts w:ascii="Times New Roman" w:hAnsi="Times New Roman" w:cs="Times New Roman"/>
              </w:rPr>
            </w:pPr>
            <w:r w:rsidRPr="00361C4E">
              <w:rPr>
                <w:rFonts w:ascii="Times New Roman" w:eastAsia="Arial" w:hAnsi="Times New Roman" w:cs="Times New Roman"/>
                <w:b/>
                <w:bCs/>
                <w:color w:val="000000" w:themeColor="text1"/>
              </w:rPr>
              <w:t>Typical Yield Range</w:t>
            </w:r>
          </w:p>
        </w:tc>
        <w:tc>
          <w:tcPr>
            <w:tcW w:w="1330" w:type="dxa"/>
            <w:tcMar>
              <w:top w:w="100" w:type="dxa"/>
              <w:left w:w="100" w:type="dxa"/>
              <w:bottom w:w="100" w:type="dxa"/>
              <w:right w:w="100" w:type="dxa"/>
            </w:tcMar>
          </w:tcPr>
          <w:p w14:paraId="652FC432" w14:textId="43A1EDD6" w:rsidR="554E3AFB" w:rsidRPr="00361C4E" w:rsidRDefault="554E3AFB" w:rsidP="554E3AFB">
            <w:pPr>
              <w:spacing w:before="220" w:after="220"/>
              <w:jc w:val="center"/>
              <w:rPr>
                <w:rFonts w:ascii="Times New Roman" w:hAnsi="Times New Roman" w:cs="Times New Roman"/>
              </w:rPr>
            </w:pPr>
            <w:r w:rsidRPr="00361C4E">
              <w:rPr>
                <w:rFonts w:ascii="Times New Roman" w:eastAsia="Arial" w:hAnsi="Times New Roman" w:cs="Times New Roman"/>
                <w:b/>
                <w:bCs/>
                <w:color w:val="000000" w:themeColor="text1"/>
              </w:rPr>
              <w:t>Payment Frequency</w:t>
            </w:r>
          </w:p>
        </w:tc>
        <w:tc>
          <w:tcPr>
            <w:tcW w:w="2305" w:type="dxa"/>
            <w:tcMar>
              <w:top w:w="100" w:type="dxa"/>
              <w:left w:w="100" w:type="dxa"/>
              <w:bottom w:w="100" w:type="dxa"/>
              <w:right w:w="100" w:type="dxa"/>
            </w:tcMar>
          </w:tcPr>
          <w:p w14:paraId="1AA3239E" w14:textId="2FBE21B3" w:rsidR="554E3AFB" w:rsidRPr="00361C4E" w:rsidRDefault="554E3AFB" w:rsidP="554E3AFB">
            <w:pPr>
              <w:spacing w:before="220" w:after="220"/>
              <w:jc w:val="center"/>
              <w:rPr>
                <w:rFonts w:ascii="Times New Roman" w:hAnsi="Times New Roman" w:cs="Times New Roman"/>
              </w:rPr>
            </w:pPr>
            <w:r w:rsidRPr="00361C4E">
              <w:rPr>
                <w:rFonts w:ascii="Times New Roman" w:eastAsia="Arial" w:hAnsi="Times New Roman" w:cs="Times New Roman"/>
                <w:b/>
                <w:bCs/>
                <w:color w:val="000000" w:themeColor="text1"/>
              </w:rPr>
              <w:t>Risk Level</w:t>
            </w:r>
          </w:p>
        </w:tc>
        <w:tc>
          <w:tcPr>
            <w:tcW w:w="1525" w:type="dxa"/>
            <w:tcMar>
              <w:top w:w="100" w:type="dxa"/>
              <w:left w:w="100" w:type="dxa"/>
              <w:bottom w:w="100" w:type="dxa"/>
              <w:right w:w="100" w:type="dxa"/>
            </w:tcMar>
          </w:tcPr>
          <w:p w14:paraId="07F62910" w14:textId="079B8055" w:rsidR="554E3AFB" w:rsidRPr="00361C4E" w:rsidRDefault="554E3AFB" w:rsidP="554E3AFB">
            <w:pPr>
              <w:spacing w:before="220" w:after="220"/>
              <w:jc w:val="center"/>
              <w:rPr>
                <w:rFonts w:ascii="Times New Roman" w:hAnsi="Times New Roman" w:cs="Times New Roman"/>
              </w:rPr>
            </w:pPr>
            <w:r w:rsidRPr="00361C4E">
              <w:rPr>
                <w:rFonts w:ascii="Times New Roman" w:eastAsia="Arial" w:hAnsi="Times New Roman" w:cs="Times New Roman"/>
                <w:b/>
                <w:bCs/>
                <w:color w:val="000000" w:themeColor="text1"/>
              </w:rPr>
              <w:t>Liquidity</w:t>
            </w:r>
          </w:p>
        </w:tc>
      </w:tr>
      <w:tr w:rsidR="554E3AFB" w:rsidRPr="00361C4E" w14:paraId="72792748" w14:textId="77777777" w:rsidTr="554E3AFB">
        <w:trPr>
          <w:trHeight w:val="1035"/>
        </w:trPr>
        <w:tc>
          <w:tcPr>
            <w:tcW w:w="2110" w:type="dxa"/>
            <w:tcMar>
              <w:top w:w="100" w:type="dxa"/>
              <w:left w:w="100" w:type="dxa"/>
              <w:bottom w:w="100" w:type="dxa"/>
              <w:right w:w="100" w:type="dxa"/>
            </w:tcMar>
          </w:tcPr>
          <w:p w14:paraId="77573504" w14:textId="7FA2138F"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b/>
                <w:bCs/>
                <w:color w:val="000000" w:themeColor="text1"/>
              </w:rPr>
              <w:t>LQD (Investment-Grade Corporate Bonds)</w:t>
            </w:r>
          </w:p>
        </w:tc>
        <w:tc>
          <w:tcPr>
            <w:tcW w:w="1090" w:type="dxa"/>
            <w:tcMar>
              <w:top w:w="100" w:type="dxa"/>
              <w:left w:w="100" w:type="dxa"/>
              <w:bottom w:w="100" w:type="dxa"/>
              <w:right w:w="100" w:type="dxa"/>
            </w:tcMar>
          </w:tcPr>
          <w:p w14:paraId="0648F524" w14:textId="4DF6A9F2"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3.5% - 4.5%</w:t>
            </w:r>
          </w:p>
        </w:tc>
        <w:tc>
          <w:tcPr>
            <w:tcW w:w="1330" w:type="dxa"/>
            <w:tcMar>
              <w:top w:w="100" w:type="dxa"/>
              <w:left w:w="100" w:type="dxa"/>
              <w:bottom w:w="100" w:type="dxa"/>
              <w:right w:w="100" w:type="dxa"/>
            </w:tcMar>
          </w:tcPr>
          <w:p w14:paraId="5CDD6803" w14:textId="5588E6C5"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Monthly</w:t>
            </w:r>
          </w:p>
        </w:tc>
        <w:tc>
          <w:tcPr>
            <w:tcW w:w="2305" w:type="dxa"/>
            <w:tcMar>
              <w:top w:w="100" w:type="dxa"/>
              <w:left w:w="100" w:type="dxa"/>
              <w:bottom w:w="100" w:type="dxa"/>
              <w:right w:w="100" w:type="dxa"/>
            </w:tcMar>
          </w:tcPr>
          <w:p w14:paraId="20F314CF" w14:textId="2DFE1431"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Moderate (Low risk, but corporate defaults are possible)</w:t>
            </w:r>
          </w:p>
        </w:tc>
        <w:tc>
          <w:tcPr>
            <w:tcW w:w="1525" w:type="dxa"/>
            <w:tcMar>
              <w:top w:w="100" w:type="dxa"/>
              <w:left w:w="100" w:type="dxa"/>
              <w:bottom w:w="100" w:type="dxa"/>
              <w:right w:w="100" w:type="dxa"/>
            </w:tcMar>
          </w:tcPr>
          <w:p w14:paraId="6FBE5F5E" w14:textId="2757354C"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High (traded as ETF)</w:t>
            </w:r>
          </w:p>
        </w:tc>
      </w:tr>
      <w:tr w:rsidR="554E3AFB" w:rsidRPr="00361C4E" w14:paraId="7CDB3B7F" w14:textId="77777777" w:rsidTr="554E3AFB">
        <w:trPr>
          <w:trHeight w:val="765"/>
        </w:trPr>
        <w:tc>
          <w:tcPr>
            <w:tcW w:w="2110" w:type="dxa"/>
            <w:tcMar>
              <w:top w:w="100" w:type="dxa"/>
              <w:left w:w="100" w:type="dxa"/>
              <w:bottom w:w="100" w:type="dxa"/>
              <w:right w:w="100" w:type="dxa"/>
            </w:tcMar>
          </w:tcPr>
          <w:p w14:paraId="6632F37E" w14:textId="194E1EE8"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b/>
                <w:bCs/>
                <w:color w:val="000000" w:themeColor="text1"/>
              </w:rPr>
              <w:t>U.S. Treasuries (10-year)</w:t>
            </w:r>
          </w:p>
        </w:tc>
        <w:tc>
          <w:tcPr>
            <w:tcW w:w="1090" w:type="dxa"/>
            <w:tcMar>
              <w:top w:w="100" w:type="dxa"/>
              <w:left w:w="100" w:type="dxa"/>
              <w:bottom w:w="100" w:type="dxa"/>
              <w:right w:w="100" w:type="dxa"/>
            </w:tcMar>
          </w:tcPr>
          <w:p w14:paraId="24D0D5AB" w14:textId="5B0243A9"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3.5% - 4.0%</w:t>
            </w:r>
          </w:p>
        </w:tc>
        <w:tc>
          <w:tcPr>
            <w:tcW w:w="1330" w:type="dxa"/>
            <w:tcMar>
              <w:top w:w="100" w:type="dxa"/>
              <w:left w:w="100" w:type="dxa"/>
              <w:bottom w:w="100" w:type="dxa"/>
              <w:right w:w="100" w:type="dxa"/>
            </w:tcMar>
          </w:tcPr>
          <w:p w14:paraId="3B72B7F4" w14:textId="320FAED9"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Semi-annually</w:t>
            </w:r>
          </w:p>
        </w:tc>
        <w:tc>
          <w:tcPr>
            <w:tcW w:w="2305" w:type="dxa"/>
            <w:tcMar>
              <w:top w:w="100" w:type="dxa"/>
              <w:left w:w="100" w:type="dxa"/>
              <w:bottom w:w="100" w:type="dxa"/>
              <w:right w:w="100" w:type="dxa"/>
            </w:tcMar>
          </w:tcPr>
          <w:p w14:paraId="2C4D12F2" w14:textId="3DCED20B"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Very Low (Backed by U.S. government)</w:t>
            </w:r>
          </w:p>
        </w:tc>
        <w:tc>
          <w:tcPr>
            <w:tcW w:w="1525" w:type="dxa"/>
            <w:tcMar>
              <w:top w:w="100" w:type="dxa"/>
              <w:left w:w="100" w:type="dxa"/>
              <w:bottom w:w="100" w:type="dxa"/>
              <w:right w:w="100" w:type="dxa"/>
            </w:tcMar>
          </w:tcPr>
          <w:p w14:paraId="416F1010" w14:textId="25A5D0C9"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High (widely traded)</w:t>
            </w:r>
          </w:p>
        </w:tc>
      </w:tr>
      <w:tr w:rsidR="554E3AFB" w:rsidRPr="00361C4E" w14:paraId="61AA15DE" w14:textId="77777777" w:rsidTr="554E3AFB">
        <w:trPr>
          <w:trHeight w:val="1035"/>
        </w:trPr>
        <w:tc>
          <w:tcPr>
            <w:tcW w:w="2110" w:type="dxa"/>
            <w:tcMar>
              <w:top w:w="100" w:type="dxa"/>
              <w:left w:w="100" w:type="dxa"/>
              <w:bottom w:w="100" w:type="dxa"/>
              <w:right w:w="100" w:type="dxa"/>
            </w:tcMar>
          </w:tcPr>
          <w:p w14:paraId="21785EEC" w14:textId="51ADB9C8"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b/>
                <w:bCs/>
                <w:color w:val="000000" w:themeColor="text1"/>
              </w:rPr>
              <w:lastRenderedPageBreak/>
              <w:t>High-Yield Bonds (Junk Bonds)</w:t>
            </w:r>
          </w:p>
        </w:tc>
        <w:tc>
          <w:tcPr>
            <w:tcW w:w="1090" w:type="dxa"/>
            <w:tcMar>
              <w:top w:w="100" w:type="dxa"/>
              <w:left w:w="100" w:type="dxa"/>
              <w:bottom w:w="100" w:type="dxa"/>
              <w:right w:w="100" w:type="dxa"/>
            </w:tcMar>
          </w:tcPr>
          <w:p w14:paraId="0C15ACF0" w14:textId="2215EB1B"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6% - 8%</w:t>
            </w:r>
          </w:p>
        </w:tc>
        <w:tc>
          <w:tcPr>
            <w:tcW w:w="1330" w:type="dxa"/>
            <w:tcMar>
              <w:top w:w="100" w:type="dxa"/>
              <w:left w:w="100" w:type="dxa"/>
              <w:bottom w:w="100" w:type="dxa"/>
              <w:right w:w="100" w:type="dxa"/>
            </w:tcMar>
          </w:tcPr>
          <w:p w14:paraId="74C27DF1" w14:textId="4F239B56"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 xml:space="preserve">Monthly or </w:t>
            </w:r>
            <w:proofErr w:type="gramStart"/>
            <w:r w:rsidRPr="00361C4E">
              <w:rPr>
                <w:rFonts w:ascii="Times New Roman" w:eastAsia="Arial" w:hAnsi="Times New Roman" w:cs="Times New Roman"/>
                <w:color w:val="000000" w:themeColor="text1"/>
              </w:rPr>
              <w:t>Quarterly</w:t>
            </w:r>
            <w:proofErr w:type="gramEnd"/>
          </w:p>
        </w:tc>
        <w:tc>
          <w:tcPr>
            <w:tcW w:w="2305" w:type="dxa"/>
            <w:tcMar>
              <w:top w:w="100" w:type="dxa"/>
              <w:left w:w="100" w:type="dxa"/>
              <w:bottom w:w="100" w:type="dxa"/>
              <w:right w:w="100" w:type="dxa"/>
            </w:tcMar>
          </w:tcPr>
          <w:p w14:paraId="50B02AE2" w14:textId="06EB941D"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High (Higher risk of default)</w:t>
            </w:r>
          </w:p>
        </w:tc>
        <w:tc>
          <w:tcPr>
            <w:tcW w:w="1525" w:type="dxa"/>
            <w:tcMar>
              <w:top w:w="100" w:type="dxa"/>
              <w:left w:w="100" w:type="dxa"/>
              <w:bottom w:w="100" w:type="dxa"/>
              <w:right w:w="100" w:type="dxa"/>
            </w:tcMar>
          </w:tcPr>
          <w:p w14:paraId="2DC96BAA" w14:textId="1CF24E65"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Moderate (less liquid than LQD)</w:t>
            </w:r>
          </w:p>
        </w:tc>
      </w:tr>
      <w:tr w:rsidR="554E3AFB" w:rsidRPr="00361C4E" w14:paraId="61D62EF9" w14:textId="77777777" w:rsidTr="554E3AFB">
        <w:trPr>
          <w:trHeight w:val="765"/>
        </w:trPr>
        <w:tc>
          <w:tcPr>
            <w:tcW w:w="2110" w:type="dxa"/>
            <w:tcMar>
              <w:top w:w="100" w:type="dxa"/>
              <w:left w:w="100" w:type="dxa"/>
              <w:bottom w:w="100" w:type="dxa"/>
              <w:right w:w="100" w:type="dxa"/>
            </w:tcMar>
          </w:tcPr>
          <w:p w14:paraId="1F22C821" w14:textId="52C3DC15"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b/>
                <w:bCs/>
                <w:color w:val="000000" w:themeColor="text1"/>
              </w:rPr>
              <w:t>Dividend Stocks (S&amp;P 500)</w:t>
            </w:r>
          </w:p>
        </w:tc>
        <w:tc>
          <w:tcPr>
            <w:tcW w:w="1090" w:type="dxa"/>
            <w:tcMar>
              <w:top w:w="100" w:type="dxa"/>
              <w:left w:w="100" w:type="dxa"/>
              <w:bottom w:w="100" w:type="dxa"/>
              <w:right w:w="100" w:type="dxa"/>
            </w:tcMar>
          </w:tcPr>
          <w:p w14:paraId="02B7C6BD" w14:textId="0B711350"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2% - 3%</w:t>
            </w:r>
          </w:p>
        </w:tc>
        <w:tc>
          <w:tcPr>
            <w:tcW w:w="1330" w:type="dxa"/>
            <w:tcMar>
              <w:top w:w="100" w:type="dxa"/>
              <w:left w:w="100" w:type="dxa"/>
              <w:bottom w:w="100" w:type="dxa"/>
              <w:right w:w="100" w:type="dxa"/>
            </w:tcMar>
          </w:tcPr>
          <w:p w14:paraId="45D92B4C" w14:textId="54457D75"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Quarterly</w:t>
            </w:r>
          </w:p>
        </w:tc>
        <w:tc>
          <w:tcPr>
            <w:tcW w:w="2305" w:type="dxa"/>
            <w:tcMar>
              <w:top w:w="100" w:type="dxa"/>
              <w:left w:w="100" w:type="dxa"/>
              <w:bottom w:w="100" w:type="dxa"/>
              <w:right w:w="100" w:type="dxa"/>
            </w:tcMar>
          </w:tcPr>
          <w:p w14:paraId="5D3D5614" w14:textId="71BFE9F6"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Moderate (Stock market volatility)</w:t>
            </w:r>
          </w:p>
        </w:tc>
        <w:tc>
          <w:tcPr>
            <w:tcW w:w="1525" w:type="dxa"/>
            <w:tcMar>
              <w:top w:w="100" w:type="dxa"/>
              <w:left w:w="100" w:type="dxa"/>
              <w:bottom w:w="100" w:type="dxa"/>
              <w:right w:w="100" w:type="dxa"/>
            </w:tcMar>
          </w:tcPr>
          <w:p w14:paraId="0AE2FF72" w14:textId="15763415"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High (widely traded)</w:t>
            </w:r>
          </w:p>
        </w:tc>
      </w:tr>
      <w:tr w:rsidR="554E3AFB" w:rsidRPr="00361C4E" w14:paraId="66663ECC" w14:textId="77777777" w:rsidTr="554E3AFB">
        <w:trPr>
          <w:trHeight w:val="1035"/>
        </w:trPr>
        <w:tc>
          <w:tcPr>
            <w:tcW w:w="2110" w:type="dxa"/>
            <w:tcMar>
              <w:top w:w="100" w:type="dxa"/>
              <w:left w:w="100" w:type="dxa"/>
              <w:bottom w:w="100" w:type="dxa"/>
              <w:right w:w="100" w:type="dxa"/>
            </w:tcMar>
          </w:tcPr>
          <w:p w14:paraId="3AB2170B" w14:textId="667B67AB"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b/>
                <w:bCs/>
                <w:color w:val="000000" w:themeColor="text1"/>
              </w:rPr>
              <w:t>Real Estate Investment Trusts (REITs)</w:t>
            </w:r>
          </w:p>
        </w:tc>
        <w:tc>
          <w:tcPr>
            <w:tcW w:w="1090" w:type="dxa"/>
            <w:tcMar>
              <w:top w:w="100" w:type="dxa"/>
              <w:left w:w="100" w:type="dxa"/>
              <w:bottom w:w="100" w:type="dxa"/>
              <w:right w:w="100" w:type="dxa"/>
            </w:tcMar>
          </w:tcPr>
          <w:p w14:paraId="0982D3A4" w14:textId="736500D6"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5% - 7%</w:t>
            </w:r>
          </w:p>
        </w:tc>
        <w:tc>
          <w:tcPr>
            <w:tcW w:w="1330" w:type="dxa"/>
            <w:tcMar>
              <w:top w:w="100" w:type="dxa"/>
              <w:left w:w="100" w:type="dxa"/>
              <w:bottom w:w="100" w:type="dxa"/>
              <w:right w:w="100" w:type="dxa"/>
            </w:tcMar>
          </w:tcPr>
          <w:p w14:paraId="748197C7" w14:textId="7FC66160"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Quarterly</w:t>
            </w:r>
          </w:p>
        </w:tc>
        <w:tc>
          <w:tcPr>
            <w:tcW w:w="2305" w:type="dxa"/>
            <w:tcMar>
              <w:top w:w="100" w:type="dxa"/>
              <w:left w:w="100" w:type="dxa"/>
              <w:bottom w:w="100" w:type="dxa"/>
              <w:right w:w="100" w:type="dxa"/>
            </w:tcMar>
          </w:tcPr>
          <w:p w14:paraId="70D07646" w14:textId="48E637AE"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Moderate to High (Market fluctuations, property risk)</w:t>
            </w:r>
          </w:p>
        </w:tc>
        <w:tc>
          <w:tcPr>
            <w:tcW w:w="1525" w:type="dxa"/>
            <w:tcMar>
              <w:top w:w="100" w:type="dxa"/>
              <w:left w:w="100" w:type="dxa"/>
              <w:bottom w:w="100" w:type="dxa"/>
              <w:right w:w="100" w:type="dxa"/>
            </w:tcMar>
          </w:tcPr>
          <w:p w14:paraId="26361B5B" w14:textId="2F2740F8" w:rsidR="554E3AFB" w:rsidRPr="00361C4E" w:rsidRDefault="554E3AFB" w:rsidP="554E3AFB">
            <w:pPr>
              <w:spacing w:before="220" w:after="220"/>
              <w:rPr>
                <w:rFonts w:ascii="Times New Roman" w:hAnsi="Times New Roman" w:cs="Times New Roman"/>
              </w:rPr>
            </w:pPr>
            <w:r w:rsidRPr="00361C4E">
              <w:rPr>
                <w:rFonts w:ascii="Times New Roman" w:eastAsia="Arial" w:hAnsi="Times New Roman" w:cs="Times New Roman"/>
                <w:color w:val="000000" w:themeColor="text1"/>
              </w:rPr>
              <w:t>High</w:t>
            </w:r>
          </w:p>
        </w:tc>
      </w:tr>
    </w:tbl>
    <w:p w14:paraId="0DB12938" w14:textId="64DB0092" w:rsidR="00F54BD6" w:rsidRPr="00361C4E" w:rsidRDefault="28B0ED32" w:rsidP="00FB7BFB">
      <w:pPr>
        <w:pStyle w:val="ListParagraph"/>
        <w:numPr>
          <w:ilvl w:val="0"/>
          <w:numId w:val="28"/>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LQD’s Yield</w:t>
      </w:r>
      <w:r w:rsidRPr="00361C4E">
        <w:rPr>
          <w:rFonts w:ascii="Times New Roman" w:eastAsia="Arial" w:hAnsi="Times New Roman" w:cs="Times New Roman"/>
          <w:color w:val="000000" w:themeColor="text1"/>
        </w:rPr>
        <w:t xml:space="preserve">: Compared to </w:t>
      </w:r>
      <w:r w:rsidRPr="00361C4E">
        <w:rPr>
          <w:rFonts w:ascii="Times New Roman" w:eastAsia="Arial" w:hAnsi="Times New Roman" w:cs="Times New Roman"/>
          <w:b/>
          <w:bCs/>
          <w:color w:val="000000" w:themeColor="text1"/>
        </w:rPr>
        <w:t>U.S. Treasuries</w:t>
      </w:r>
      <w:r w:rsidRPr="00361C4E">
        <w:rPr>
          <w:rFonts w:ascii="Times New Roman" w:eastAsia="Arial" w:hAnsi="Times New Roman" w:cs="Times New Roman"/>
          <w:color w:val="000000" w:themeColor="text1"/>
        </w:rPr>
        <w:t>, which typically have lower yields (around 3.5-4%), LQD’s yield is slightly higher due to the risk associated with corporate bonds. However, it is lower than high-yield (junk) bonds, which offer higher returns but at greater risk.</w:t>
      </w:r>
    </w:p>
    <w:p w14:paraId="41142DD1" w14:textId="5890C2C2" w:rsidR="00F54BD6" w:rsidRPr="00361C4E" w:rsidRDefault="28B0ED32" w:rsidP="00FB7BFB">
      <w:pPr>
        <w:pStyle w:val="ListParagraph"/>
        <w:numPr>
          <w:ilvl w:val="0"/>
          <w:numId w:val="28"/>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Dividend Stocks</w:t>
      </w:r>
      <w:r w:rsidRPr="00361C4E">
        <w:rPr>
          <w:rFonts w:ascii="Times New Roman" w:eastAsia="Arial" w:hAnsi="Times New Roman" w:cs="Times New Roman"/>
          <w:color w:val="000000" w:themeColor="text1"/>
        </w:rPr>
        <w:t>: While dividend stocks are a popular income investment, their yields (around 2-3%) tend to be lower than LQD’s. Stocks also carry greater volatility and risk than bonds, which may make LQD more attractive for risk-averse investors.</w:t>
      </w:r>
    </w:p>
    <w:p w14:paraId="1F7FD527" w14:textId="1B2B02C5" w:rsidR="00F54BD6" w:rsidRPr="00361C4E" w:rsidRDefault="28B0ED32" w:rsidP="554E3AFB">
      <w:pPr>
        <w:pStyle w:val="Heading3"/>
        <w:spacing w:before="280"/>
        <w:rPr>
          <w:rFonts w:ascii="Times New Roman" w:hAnsi="Times New Roman" w:cs="Times New Roman"/>
          <w:sz w:val="24"/>
          <w:szCs w:val="24"/>
        </w:rPr>
      </w:pPr>
      <w:r w:rsidRPr="00361C4E">
        <w:rPr>
          <w:rFonts w:ascii="Times New Roman" w:eastAsia="Arial" w:hAnsi="Times New Roman" w:cs="Times New Roman"/>
          <w:b/>
          <w:bCs/>
          <w:color w:val="000000" w:themeColor="text1"/>
          <w:sz w:val="24"/>
          <w:szCs w:val="24"/>
        </w:rPr>
        <w:t>How LQD Distributes Income</w:t>
      </w:r>
    </w:p>
    <w:p w14:paraId="620E5A41" w14:textId="3B91FC09"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LQD’s income is derived from the interest payments made by the underlying corporate bonds in the portfolio. The distribution process works as follows:</w:t>
      </w:r>
    </w:p>
    <w:p w14:paraId="01411E3F" w14:textId="7AE9C2A6" w:rsidR="00F54BD6" w:rsidRPr="00361C4E" w:rsidRDefault="28B0ED32" w:rsidP="00FB7BFB">
      <w:pPr>
        <w:pStyle w:val="ListParagraph"/>
        <w:numPr>
          <w:ilvl w:val="0"/>
          <w:numId w:val="27"/>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Bond Coupon Payments</w:t>
      </w:r>
      <w:r w:rsidRPr="00361C4E">
        <w:rPr>
          <w:rFonts w:ascii="Times New Roman" w:eastAsia="Arial" w:hAnsi="Times New Roman" w:cs="Times New Roman"/>
          <w:color w:val="000000" w:themeColor="text1"/>
        </w:rPr>
        <w:t>: The companies whose bonds are held in the fund pay interest (coupons) to the fund.</w:t>
      </w:r>
    </w:p>
    <w:p w14:paraId="425E9C13" w14:textId="3544B418" w:rsidR="00F54BD6" w:rsidRPr="00361C4E" w:rsidRDefault="28B0ED32" w:rsidP="00FB7BFB">
      <w:pPr>
        <w:pStyle w:val="ListParagraph"/>
        <w:numPr>
          <w:ilvl w:val="0"/>
          <w:numId w:val="27"/>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Pooling of Income</w:t>
      </w:r>
      <w:r w:rsidRPr="00361C4E">
        <w:rPr>
          <w:rFonts w:ascii="Times New Roman" w:eastAsia="Arial" w:hAnsi="Times New Roman" w:cs="Times New Roman"/>
          <w:color w:val="000000" w:themeColor="text1"/>
        </w:rPr>
        <w:t>: The ETF collects these coupon payments and then distributes them to shareholders.</w:t>
      </w:r>
    </w:p>
    <w:p w14:paraId="591AA162" w14:textId="24AFDDF3" w:rsidR="00F54BD6" w:rsidRPr="00361C4E" w:rsidRDefault="28B0ED32" w:rsidP="00FB7BFB">
      <w:pPr>
        <w:pStyle w:val="ListParagraph"/>
        <w:numPr>
          <w:ilvl w:val="0"/>
          <w:numId w:val="27"/>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Monthly Dividends</w:t>
      </w:r>
      <w:r w:rsidRPr="00361C4E">
        <w:rPr>
          <w:rFonts w:ascii="Times New Roman" w:eastAsia="Arial" w:hAnsi="Times New Roman" w:cs="Times New Roman"/>
          <w:color w:val="000000" w:themeColor="text1"/>
        </w:rPr>
        <w:t>: Investors receive monthly dividend payments based on the amount of LQD they own.</w:t>
      </w:r>
    </w:p>
    <w:p w14:paraId="0C443B90" w14:textId="18F8EC4C" w:rsidR="00F54BD6" w:rsidRPr="00361C4E" w:rsidRDefault="28B0ED32" w:rsidP="554E3AFB">
      <w:pPr>
        <w:pStyle w:val="Heading4"/>
        <w:spacing w:before="240"/>
        <w:rPr>
          <w:rFonts w:ascii="Times New Roman" w:hAnsi="Times New Roman" w:cs="Times New Roman"/>
        </w:rPr>
      </w:pPr>
      <w:r w:rsidRPr="00361C4E">
        <w:rPr>
          <w:rFonts w:ascii="Times New Roman" w:eastAsia="Arial" w:hAnsi="Times New Roman" w:cs="Times New Roman"/>
          <w:b/>
          <w:bCs/>
          <w:i w:val="0"/>
          <w:iCs w:val="0"/>
          <w:color w:val="000000" w:themeColor="text1"/>
        </w:rPr>
        <w:t>Example: Monthly Income Distribution</w:t>
      </w:r>
    </w:p>
    <w:p w14:paraId="364DA0DE" w14:textId="6B6D8494"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 xml:space="preserve">Let’s assume LQD holds bonds with an average coupon rate of 4%, and the average market price of LQD is $100. If an investor owns </w:t>
      </w:r>
      <w:r w:rsidRPr="00361C4E">
        <w:rPr>
          <w:rFonts w:ascii="Times New Roman" w:eastAsia="Arial" w:hAnsi="Times New Roman" w:cs="Times New Roman"/>
          <w:b/>
          <w:bCs/>
          <w:color w:val="000000" w:themeColor="text1"/>
        </w:rPr>
        <w:t>100 shares of LQD</w:t>
      </w:r>
      <w:r w:rsidRPr="00361C4E">
        <w:rPr>
          <w:rFonts w:ascii="Times New Roman" w:eastAsia="Arial" w:hAnsi="Times New Roman" w:cs="Times New Roman"/>
          <w:color w:val="000000" w:themeColor="text1"/>
        </w:rPr>
        <w:t xml:space="preserve">, which would represent an investment of </w:t>
      </w:r>
      <w:r w:rsidRPr="00361C4E">
        <w:rPr>
          <w:rFonts w:ascii="Times New Roman" w:eastAsia="Arial" w:hAnsi="Times New Roman" w:cs="Times New Roman"/>
          <w:b/>
          <w:bCs/>
          <w:color w:val="000000" w:themeColor="text1"/>
        </w:rPr>
        <w:t>$10,000</w:t>
      </w:r>
      <w:r w:rsidRPr="00361C4E">
        <w:rPr>
          <w:rFonts w:ascii="Times New Roman" w:eastAsia="Arial" w:hAnsi="Times New Roman" w:cs="Times New Roman"/>
          <w:color w:val="000000" w:themeColor="text1"/>
        </w:rPr>
        <w:t>, the expected annual income would be approximately:</w:t>
      </w:r>
    </w:p>
    <w:p w14:paraId="390EB7DC" w14:textId="1544D12F" w:rsidR="00F54BD6" w:rsidRPr="00361C4E" w:rsidRDefault="28B0ED32" w:rsidP="00FB7BFB">
      <w:pPr>
        <w:pStyle w:val="ListParagraph"/>
        <w:numPr>
          <w:ilvl w:val="0"/>
          <w:numId w:val="26"/>
        </w:numPr>
        <w:spacing w:before="210" w:after="210"/>
        <w:rPr>
          <w:rFonts w:ascii="Times New Roman" w:eastAsia="Arial" w:hAnsi="Times New Roman" w:cs="Times New Roman"/>
          <w:b/>
          <w:bCs/>
          <w:color w:val="000000" w:themeColor="text1"/>
        </w:rPr>
      </w:pPr>
      <w:r w:rsidRPr="00361C4E">
        <w:rPr>
          <w:rFonts w:ascii="Times New Roman" w:eastAsia="Arial" w:hAnsi="Times New Roman" w:cs="Times New Roman"/>
          <w:b/>
          <w:bCs/>
          <w:color w:val="000000" w:themeColor="text1"/>
        </w:rPr>
        <w:t>Total Annual Income</w:t>
      </w:r>
      <w:r w:rsidRPr="00361C4E">
        <w:rPr>
          <w:rFonts w:ascii="Times New Roman" w:eastAsia="Arial" w:hAnsi="Times New Roman" w:cs="Times New Roman"/>
          <w:color w:val="000000" w:themeColor="text1"/>
        </w:rPr>
        <w:t xml:space="preserve"> = 4% of $10,000 = </w:t>
      </w:r>
      <w:r w:rsidRPr="00361C4E">
        <w:rPr>
          <w:rFonts w:ascii="Times New Roman" w:eastAsia="Arial" w:hAnsi="Times New Roman" w:cs="Times New Roman"/>
          <w:b/>
          <w:bCs/>
          <w:color w:val="000000" w:themeColor="text1"/>
        </w:rPr>
        <w:t>$400</w:t>
      </w:r>
    </w:p>
    <w:p w14:paraId="48CA0998" w14:textId="44878839" w:rsidR="00F54BD6" w:rsidRPr="00361C4E" w:rsidRDefault="28B0ED32" w:rsidP="00FB7BFB">
      <w:pPr>
        <w:pStyle w:val="ListParagraph"/>
        <w:numPr>
          <w:ilvl w:val="0"/>
          <w:numId w:val="26"/>
        </w:numPr>
        <w:spacing w:before="210" w:after="210"/>
        <w:rPr>
          <w:rFonts w:ascii="Times New Roman" w:eastAsia="Arial" w:hAnsi="Times New Roman" w:cs="Times New Roman"/>
          <w:b/>
          <w:bCs/>
          <w:color w:val="000000" w:themeColor="text1"/>
        </w:rPr>
      </w:pPr>
      <w:r w:rsidRPr="00361C4E">
        <w:rPr>
          <w:rFonts w:ascii="Times New Roman" w:eastAsia="Arial" w:hAnsi="Times New Roman" w:cs="Times New Roman"/>
          <w:b/>
          <w:bCs/>
          <w:color w:val="000000" w:themeColor="text1"/>
        </w:rPr>
        <w:lastRenderedPageBreak/>
        <w:t>Monthly Dividend</w:t>
      </w:r>
      <w:r w:rsidRPr="00361C4E">
        <w:rPr>
          <w:rFonts w:ascii="Times New Roman" w:eastAsia="Arial" w:hAnsi="Times New Roman" w:cs="Times New Roman"/>
          <w:color w:val="000000" w:themeColor="text1"/>
        </w:rPr>
        <w:t xml:space="preserve"> = $400 ÷ 12 months = </w:t>
      </w:r>
      <w:r w:rsidRPr="00361C4E">
        <w:rPr>
          <w:rFonts w:ascii="Times New Roman" w:eastAsia="Arial" w:hAnsi="Times New Roman" w:cs="Times New Roman"/>
          <w:b/>
          <w:bCs/>
          <w:color w:val="000000" w:themeColor="text1"/>
        </w:rPr>
        <w:t>$33.33 per month</w:t>
      </w:r>
    </w:p>
    <w:p w14:paraId="580A5340" w14:textId="76E87848"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These monthly dividends can be reinvested or used as cash flow, providing a steady income stream.</w:t>
      </w:r>
    </w:p>
    <w:p w14:paraId="4B911717" w14:textId="5A362ACE" w:rsidR="00F54BD6" w:rsidRPr="00361C4E" w:rsidRDefault="00F54BD6" w:rsidP="00F54BD6">
      <w:pPr>
        <w:rPr>
          <w:rFonts w:ascii="Times New Roman" w:hAnsi="Times New Roman" w:cs="Times New Roman"/>
        </w:rPr>
      </w:pPr>
    </w:p>
    <w:p w14:paraId="79C07064" w14:textId="7BA3C220" w:rsidR="00F54BD6" w:rsidRPr="00361C4E" w:rsidRDefault="00F54BD6" w:rsidP="00F54BD6">
      <w:pPr>
        <w:rPr>
          <w:rFonts w:ascii="Times New Roman" w:hAnsi="Times New Roman" w:cs="Times New Roman"/>
        </w:rPr>
      </w:pPr>
    </w:p>
    <w:p w14:paraId="3096A8B4" w14:textId="6D5AB1E8" w:rsidR="00F54BD6" w:rsidRPr="00361C4E" w:rsidRDefault="28B0ED32" w:rsidP="554E3AFB">
      <w:pPr>
        <w:pStyle w:val="Heading3"/>
        <w:spacing w:before="280"/>
        <w:rPr>
          <w:rFonts w:ascii="Times New Roman" w:hAnsi="Times New Roman" w:cs="Times New Roman"/>
          <w:sz w:val="24"/>
          <w:szCs w:val="24"/>
        </w:rPr>
      </w:pPr>
      <w:r w:rsidRPr="00361C4E">
        <w:rPr>
          <w:rFonts w:ascii="Times New Roman" w:eastAsia="Arial" w:hAnsi="Times New Roman" w:cs="Times New Roman"/>
          <w:b/>
          <w:bCs/>
          <w:color w:val="000000" w:themeColor="text1"/>
          <w:sz w:val="24"/>
          <w:szCs w:val="24"/>
        </w:rPr>
        <w:t>4. Tax Considerations</w:t>
      </w:r>
    </w:p>
    <w:p w14:paraId="41143E57" w14:textId="4A438DD8"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While LQD offers a steady stream of income, it's important to keep in mind the tax implications:</w:t>
      </w:r>
    </w:p>
    <w:p w14:paraId="55A764B8" w14:textId="11C8038F" w:rsidR="00F54BD6" w:rsidRPr="00361C4E" w:rsidRDefault="28B0ED32" w:rsidP="00FB7BFB">
      <w:pPr>
        <w:pStyle w:val="ListParagraph"/>
        <w:numPr>
          <w:ilvl w:val="0"/>
          <w:numId w:val="25"/>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Interest Income</w:t>
      </w:r>
      <w:r w:rsidRPr="00361C4E">
        <w:rPr>
          <w:rFonts w:ascii="Times New Roman" w:eastAsia="Arial" w:hAnsi="Times New Roman" w:cs="Times New Roman"/>
          <w:color w:val="000000" w:themeColor="text1"/>
        </w:rPr>
        <w:t xml:space="preserve">: The dividends received from LQD are typically treated as </w:t>
      </w:r>
      <w:r w:rsidRPr="00361C4E">
        <w:rPr>
          <w:rFonts w:ascii="Times New Roman" w:eastAsia="Arial" w:hAnsi="Times New Roman" w:cs="Times New Roman"/>
          <w:b/>
          <w:bCs/>
          <w:color w:val="000000" w:themeColor="text1"/>
        </w:rPr>
        <w:t>ordinary income</w:t>
      </w:r>
      <w:r w:rsidRPr="00361C4E">
        <w:rPr>
          <w:rFonts w:ascii="Times New Roman" w:eastAsia="Arial" w:hAnsi="Times New Roman" w:cs="Times New Roman"/>
          <w:color w:val="000000" w:themeColor="text1"/>
        </w:rPr>
        <w:t xml:space="preserve"> and taxed at the investor’s marginal tax rate, which could be higher than the tax rate on qualified dividends (from stocks).</w:t>
      </w:r>
    </w:p>
    <w:p w14:paraId="262D705E" w14:textId="39DBD293" w:rsidR="00F54BD6" w:rsidRPr="00361C4E" w:rsidRDefault="28B0ED32" w:rsidP="00FB7BFB">
      <w:pPr>
        <w:pStyle w:val="ListParagraph"/>
        <w:numPr>
          <w:ilvl w:val="0"/>
          <w:numId w:val="25"/>
        </w:numPr>
        <w:spacing w:before="210" w:after="210"/>
        <w:rPr>
          <w:rFonts w:ascii="Times New Roman" w:eastAsia="Arial" w:hAnsi="Times New Roman" w:cs="Times New Roman"/>
          <w:color w:val="000000" w:themeColor="text1"/>
        </w:rPr>
      </w:pPr>
      <w:r w:rsidRPr="00361C4E">
        <w:rPr>
          <w:rFonts w:ascii="Times New Roman" w:eastAsia="Arial" w:hAnsi="Times New Roman" w:cs="Times New Roman"/>
          <w:b/>
          <w:bCs/>
          <w:color w:val="000000" w:themeColor="text1"/>
        </w:rPr>
        <w:t>Capital Gains</w:t>
      </w:r>
      <w:r w:rsidRPr="00361C4E">
        <w:rPr>
          <w:rFonts w:ascii="Times New Roman" w:eastAsia="Arial" w:hAnsi="Times New Roman" w:cs="Times New Roman"/>
          <w:color w:val="000000" w:themeColor="text1"/>
        </w:rPr>
        <w:t xml:space="preserve">: If you sell your LQD shares for a profit, any gains would be subject to </w:t>
      </w:r>
      <w:r w:rsidRPr="00361C4E">
        <w:rPr>
          <w:rFonts w:ascii="Times New Roman" w:eastAsia="Arial" w:hAnsi="Times New Roman" w:cs="Times New Roman"/>
          <w:b/>
          <w:bCs/>
          <w:color w:val="000000" w:themeColor="text1"/>
        </w:rPr>
        <w:t>capital gains tax</w:t>
      </w:r>
      <w:r w:rsidRPr="00361C4E">
        <w:rPr>
          <w:rFonts w:ascii="Times New Roman" w:eastAsia="Arial" w:hAnsi="Times New Roman" w:cs="Times New Roman"/>
          <w:color w:val="000000" w:themeColor="text1"/>
        </w:rPr>
        <w:t>.</w:t>
      </w:r>
    </w:p>
    <w:p w14:paraId="59C5C9DD" w14:textId="6648D2C1" w:rsidR="00F54BD6" w:rsidRPr="00361C4E" w:rsidRDefault="00F54BD6" w:rsidP="00F54BD6">
      <w:pPr>
        <w:rPr>
          <w:rFonts w:ascii="Times New Roman" w:hAnsi="Times New Roman" w:cs="Times New Roman"/>
        </w:rPr>
      </w:pPr>
    </w:p>
    <w:p w14:paraId="4EF3C55C" w14:textId="69043BF8"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 xml:space="preserve">LQD is an attractive investment for income-seeking investors due to its relatively high yield (3.5%-4.5% annually) compared to the U.S. Treasuries or dividend stocks. </w:t>
      </w:r>
      <w:proofErr w:type="gramStart"/>
      <w:r w:rsidRPr="00361C4E">
        <w:rPr>
          <w:rFonts w:ascii="Times New Roman" w:eastAsia="Arial" w:hAnsi="Times New Roman" w:cs="Times New Roman"/>
          <w:color w:val="000000" w:themeColor="text1"/>
        </w:rPr>
        <w:t>The ETF</w:t>
      </w:r>
      <w:proofErr w:type="gramEnd"/>
      <w:r w:rsidRPr="00361C4E">
        <w:rPr>
          <w:rFonts w:ascii="Times New Roman" w:eastAsia="Arial" w:hAnsi="Times New Roman" w:cs="Times New Roman"/>
          <w:color w:val="000000" w:themeColor="text1"/>
        </w:rPr>
        <w:t xml:space="preserve"> provides monthly income through dividends from the coupon payments of investment-grade corporate bonds, which can be a stable source of cash flow for investors. It is also less volatile than stocks and junk bonds, making it suitable for conservative investors who prioritize income over capital gains.</w:t>
      </w:r>
    </w:p>
    <w:p w14:paraId="25FE4D15" w14:textId="02C8CDE1"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By holding LQD, investors get the benefit of predictable income from diversified, high-quality corporate bonds.</w:t>
      </w:r>
    </w:p>
    <w:p w14:paraId="21914747" w14:textId="6E9D17BF" w:rsidR="00F54BD6" w:rsidRPr="00361C4E" w:rsidRDefault="28B0ED32" w:rsidP="554E3AFB">
      <w:pPr>
        <w:spacing w:before="240" w:after="240"/>
        <w:rPr>
          <w:rFonts w:ascii="Times New Roman" w:hAnsi="Times New Roman" w:cs="Times New Roman"/>
        </w:rPr>
      </w:pPr>
      <w:r w:rsidRPr="00361C4E">
        <w:rPr>
          <w:rFonts w:ascii="Times New Roman" w:eastAsia="Arial" w:hAnsi="Times New Roman" w:cs="Times New Roman"/>
          <w:color w:val="000000" w:themeColor="text1"/>
        </w:rPr>
        <w:t xml:space="preserve">This looks like a good investment for the Ingar family considering the adverse risk nature of Peter Ingar. In essence, </w:t>
      </w:r>
      <w:proofErr w:type="gramStart"/>
      <w:r w:rsidRPr="00361C4E">
        <w:rPr>
          <w:rFonts w:ascii="Times New Roman" w:eastAsia="Arial" w:hAnsi="Times New Roman" w:cs="Times New Roman"/>
          <w:color w:val="000000" w:themeColor="text1"/>
        </w:rPr>
        <w:t>It</w:t>
      </w:r>
      <w:proofErr w:type="gramEnd"/>
      <w:r w:rsidRPr="00361C4E">
        <w:rPr>
          <w:rFonts w:ascii="Times New Roman" w:eastAsia="Arial" w:hAnsi="Times New Roman" w:cs="Times New Roman"/>
          <w:color w:val="000000" w:themeColor="text1"/>
        </w:rPr>
        <w:t xml:space="preserve"> provides a source of steady income over a few years with a low risk.</w:t>
      </w:r>
    </w:p>
    <w:p w14:paraId="4E766534" w14:textId="41B1A7C3" w:rsidR="00F54BD6" w:rsidRPr="00361C4E" w:rsidRDefault="00F54BD6" w:rsidP="00F54BD6">
      <w:pPr>
        <w:rPr>
          <w:rFonts w:ascii="Times New Roman" w:hAnsi="Times New Roman" w:cs="Times New Roman"/>
        </w:rPr>
      </w:pPr>
    </w:p>
    <w:p w14:paraId="296BABDF" w14:textId="66D5FA29" w:rsidR="00F54BD6" w:rsidRPr="00361C4E" w:rsidRDefault="28B0ED32" w:rsidP="554E3AFB">
      <w:pPr>
        <w:spacing w:after="0"/>
        <w:rPr>
          <w:rFonts w:ascii="Times New Roman" w:hAnsi="Times New Roman" w:cs="Times New Roman"/>
        </w:rPr>
      </w:pPr>
      <w:r w:rsidRPr="00361C4E">
        <w:rPr>
          <w:rFonts w:ascii="Times New Roman" w:eastAsia="Times New Roman" w:hAnsi="Times New Roman" w:cs="Times New Roman"/>
          <w:b/>
          <w:bCs/>
          <w:color w:val="000000" w:themeColor="text1"/>
        </w:rPr>
        <w:t xml:space="preserve">5. Calculation of Expected Return </w:t>
      </w:r>
    </w:p>
    <w:p w14:paraId="54849A98" w14:textId="17016B4B" w:rsidR="00F54BD6" w:rsidRPr="00361C4E" w:rsidRDefault="00F54BD6" w:rsidP="00F54BD6">
      <w:pPr>
        <w:rPr>
          <w:rFonts w:ascii="Times New Roman" w:hAnsi="Times New Roman" w:cs="Times New Roman"/>
        </w:rPr>
      </w:pPr>
    </w:p>
    <w:tbl>
      <w:tblPr>
        <w:tblW w:w="0" w:type="auto"/>
        <w:tblLayout w:type="fixed"/>
        <w:tblLook w:val="06A0" w:firstRow="1" w:lastRow="0" w:firstColumn="1" w:lastColumn="0" w:noHBand="1" w:noVBand="1"/>
      </w:tblPr>
      <w:tblGrid>
        <w:gridCol w:w="1654"/>
        <w:gridCol w:w="1654"/>
        <w:gridCol w:w="1654"/>
        <w:gridCol w:w="1654"/>
        <w:gridCol w:w="1655"/>
      </w:tblGrid>
      <w:tr w:rsidR="554E3AFB" w:rsidRPr="00361C4E" w14:paraId="75361AC7" w14:textId="77777777" w:rsidTr="554E3AFB">
        <w:trPr>
          <w:trHeight w:val="300"/>
        </w:trPr>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1603F5" w14:textId="24EA9B18"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Symbol</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815ACF" w14:textId="781DB5B4"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Description</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3EF64D" w14:textId="07EFE536"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Transaction</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C8D192" w14:textId="5417F903"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Quantity</w:t>
            </w:r>
          </w:p>
        </w:tc>
        <w:tc>
          <w:tcPr>
            <w:tcW w:w="16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2AF2" w14:textId="148393EE"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Current Price</w:t>
            </w:r>
          </w:p>
        </w:tc>
      </w:tr>
      <w:tr w:rsidR="554E3AFB" w:rsidRPr="00361C4E" w14:paraId="1A1CD1DE" w14:textId="77777777" w:rsidTr="554E3AFB">
        <w:trPr>
          <w:trHeight w:val="300"/>
        </w:trPr>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8E4AF2" w14:textId="252CAA78"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 xml:space="preserve">    LQD</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3976A3" w14:textId="07B95BBA"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ISHARES IBOXX</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F34068" w14:textId="5CFE4835"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NYSE</w:t>
            </w:r>
          </w:p>
        </w:tc>
        <w:tc>
          <w:tcPr>
            <w:tcW w:w="165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A6F3A2" w14:textId="64F0830D"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81</w:t>
            </w:r>
          </w:p>
        </w:tc>
        <w:tc>
          <w:tcPr>
            <w:tcW w:w="165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1B4B0A" w14:textId="5492D7C1" w:rsidR="554E3AFB" w:rsidRPr="00361C4E" w:rsidRDefault="554E3AFB" w:rsidP="554E3AFB">
            <w:pPr>
              <w:spacing w:after="0"/>
              <w:rPr>
                <w:rFonts w:ascii="Times New Roman" w:hAnsi="Times New Roman" w:cs="Times New Roman"/>
              </w:rPr>
            </w:pPr>
            <w:r w:rsidRPr="00361C4E">
              <w:rPr>
                <w:rFonts w:ascii="Times New Roman" w:eastAsia="Arial" w:hAnsi="Times New Roman" w:cs="Times New Roman"/>
                <w:color w:val="000000" w:themeColor="text1"/>
              </w:rPr>
              <w:t>110.55</w:t>
            </w:r>
          </w:p>
        </w:tc>
      </w:tr>
    </w:tbl>
    <w:p w14:paraId="70836CC0" w14:textId="0BFCF160" w:rsidR="00F54BD6" w:rsidRPr="00361C4E" w:rsidRDefault="00F54BD6" w:rsidP="00F54BD6">
      <w:pPr>
        <w:rPr>
          <w:rFonts w:ascii="Times New Roman" w:hAnsi="Times New Roman" w:cs="Times New Roman"/>
        </w:rPr>
      </w:pPr>
    </w:p>
    <w:p w14:paraId="198F8DA3" w14:textId="77777777" w:rsidR="0095697C" w:rsidRDefault="28B0ED32" w:rsidP="0095697C">
      <w:pPr>
        <w:rPr>
          <w:rFonts w:ascii="Times New Roman" w:hAnsi="Times New Roman" w:cs="Times New Roman"/>
        </w:rPr>
      </w:pPr>
      <w:r w:rsidRPr="00361C4E">
        <w:rPr>
          <w:rFonts w:ascii="Times New Roman" w:eastAsia="Times New Roman" w:hAnsi="Times New Roman" w:cs="Times New Roman"/>
          <w:color w:val="000000" w:themeColor="text1"/>
        </w:rPr>
        <w:lastRenderedPageBreak/>
        <w:t xml:space="preserve">We invested $9,000 into 81 of LQD bonds because of the 6 previously stated reasons. We evenly distributed 9% to each of our funds towards 5 out of the 5 bonds we have chosen as we are confident in the diverseness in our portfolio and see them as all attractive investments. </w:t>
      </w:r>
    </w:p>
    <w:p w14:paraId="526FD198" w14:textId="09338C07" w:rsidR="00F54BD6" w:rsidRPr="00361C4E" w:rsidRDefault="28B0ED32" w:rsidP="0095697C">
      <w:pPr>
        <w:rPr>
          <w:rFonts w:ascii="Times New Roman" w:hAnsi="Times New Roman" w:cs="Times New Roman"/>
        </w:rPr>
      </w:pPr>
      <w:r w:rsidRPr="00361C4E">
        <w:rPr>
          <w:rFonts w:ascii="Times New Roman" w:eastAsia="Arial" w:hAnsi="Times New Roman" w:cs="Times New Roman"/>
          <w:color w:val="000000" w:themeColor="text1"/>
        </w:rPr>
        <w:t xml:space="preserve"> </w:t>
      </w:r>
    </w:p>
    <w:p w14:paraId="30FA8A5E" w14:textId="77777777" w:rsidR="0095697C" w:rsidRPr="00A74C00" w:rsidRDefault="0095697C" w:rsidP="0095697C">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169AFAD6" w14:textId="77777777" w:rsidR="0095697C" w:rsidRPr="00A74C00" w:rsidRDefault="0095697C" w:rsidP="0095697C">
      <w:pPr>
        <w:spacing w:after="200" w:line="276" w:lineRule="auto"/>
        <w:rPr>
          <w:rFonts w:ascii="Times New Roman" w:hAnsi="Times New Roman" w:cs="Times New Roman"/>
        </w:rPr>
      </w:pPr>
      <w:r w:rsidRPr="00A74C00">
        <w:rPr>
          <w:rFonts w:ascii="Times New Roman" w:eastAsia="Calibri" w:hAnsi="Times New Roman" w:cs="Times New Roman"/>
        </w:rPr>
        <w:t xml:space="preserve">  Where:  </w:t>
      </w:r>
    </w:p>
    <w:p w14:paraId="5295B08B" w14:textId="77777777" w:rsidR="0095697C" w:rsidRPr="00A74C00" w:rsidRDefault="0095697C" w:rsidP="0095697C">
      <w:pPr>
        <w:pStyle w:val="ListParagraph"/>
        <w:numPr>
          <w:ilvl w:val="0"/>
          <w:numId w:val="53"/>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Rf = Risk-Free Rate = 4.74% (US Treasury 3 Month Bill)  </w:t>
      </w:r>
    </w:p>
    <w:p w14:paraId="53A2A54D" w14:textId="04AC5BF6" w:rsidR="0095697C" w:rsidRPr="00A74C00" w:rsidRDefault="0095697C" w:rsidP="0095697C">
      <w:pPr>
        <w:pStyle w:val="ListParagraph"/>
        <w:numPr>
          <w:ilvl w:val="0"/>
          <w:numId w:val="52"/>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B = Beta = </w:t>
      </w:r>
      <w:r w:rsidR="005E6A8A">
        <w:rPr>
          <w:rFonts w:ascii="Times New Roman" w:eastAsia="Calibri" w:hAnsi="Times New Roman" w:cs="Times New Roman"/>
        </w:rPr>
        <w:t>1.48</w:t>
      </w:r>
      <w:r w:rsidRPr="00A74C00">
        <w:rPr>
          <w:rFonts w:ascii="Times New Roman" w:eastAsia="Calibri" w:hAnsi="Times New Roman" w:cs="Times New Roman"/>
        </w:rPr>
        <w:t xml:space="preserve"> measure of </w:t>
      </w:r>
      <w:r w:rsidR="005E6A8A">
        <w:rPr>
          <w:rFonts w:ascii="Times New Roman" w:eastAsia="Calibri" w:hAnsi="Times New Roman" w:cs="Times New Roman"/>
        </w:rPr>
        <w:t xml:space="preserve">LQD’s ETF </w:t>
      </w:r>
      <w:r w:rsidRPr="00A74C00">
        <w:rPr>
          <w:rFonts w:ascii="Times New Roman" w:eastAsia="Calibri" w:hAnsi="Times New Roman" w:cs="Times New Roman"/>
        </w:rPr>
        <w:t xml:space="preserve">price volatility  </w:t>
      </w:r>
    </w:p>
    <w:p w14:paraId="21AC6EE4" w14:textId="77777777" w:rsidR="0095697C" w:rsidRPr="00A74C00" w:rsidRDefault="0095697C" w:rsidP="0095697C">
      <w:pPr>
        <w:pStyle w:val="ListParagraph"/>
        <w:numPr>
          <w:ilvl w:val="0"/>
          <w:numId w:val="51"/>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E(Rm) = Expected return on the market = our benchmark which is a 10-year average of </w:t>
      </w:r>
      <w:proofErr w:type="gramStart"/>
      <w:r w:rsidRPr="00A74C00">
        <w:rPr>
          <w:rFonts w:ascii="Times New Roman" w:eastAsia="Calibri" w:hAnsi="Times New Roman" w:cs="Times New Roman"/>
        </w:rPr>
        <w:t>the S</w:t>
      </w:r>
      <w:proofErr w:type="gramEnd"/>
      <w:r w:rsidRPr="00A74C00">
        <w:rPr>
          <w:rFonts w:ascii="Times New Roman" w:eastAsia="Calibri" w:hAnsi="Times New Roman" w:cs="Times New Roman"/>
        </w:rPr>
        <w:t>&amp;P 500 = The average rate of return for the S&amp;P 500 since 2012 is 1</w:t>
      </w:r>
      <w:r>
        <w:rPr>
          <w:rFonts w:ascii="Times New Roman" w:eastAsia="Calibri" w:hAnsi="Times New Roman" w:cs="Times New Roman"/>
        </w:rPr>
        <w:t>3.22</w:t>
      </w:r>
      <w:r w:rsidRPr="00A74C00">
        <w:rPr>
          <w:rFonts w:ascii="Times New Roman" w:eastAsia="Calibri" w:hAnsi="Times New Roman" w:cs="Times New Roman"/>
        </w:rPr>
        <w:t xml:space="preserve">%  </w:t>
      </w:r>
    </w:p>
    <w:p w14:paraId="6F26D43A" w14:textId="77777777" w:rsidR="0095697C" w:rsidRPr="00A74C00" w:rsidRDefault="0095697C" w:rsidP="0095697C">
      <w:pPr>
        <w:spacing w:after="200" w:line="276" w:lineRule="auto"/>
        <w:rPr>
          <w:rFonts w:ascii="Times New Roman" w:hAnsi="Times New Roman" w:cs="Times New Roman"/>
        </w:rPr>
      </w:pPr>
      <w:r w:rsidRPr="00A74C00">
        <w:rPr>
          <w:rFonts w:ascii="Times New Roman" w:eastAsia="Calibri" w:hAnsi="Times New Roman" w:cs="Times New Roman"/>
        </w:rPr>
        <w:t xml:space="preserve">  </w:t>
      </w:r>
    </w:p>
    <w:p w14:paraId="3FA8A623" w14:textId="77777777" w:rsidR="0095697C" w:rsidRPr="00A74C00" w:rsidRDefault="0095697C" w:rsidP="0095697C">
      <w:pPr>
        <w:spacing w:after="200" w:line="276" w:lineRule="auto"/>
        <w:rPr>
          <w:rFonts w:ascii="Times New Roman" w:hAnsi="Times New Roman" w:cs="Times New Roman"/>
        </w:rPr>
      </w:pPr>
      <w:r w:rsidRPr="00A74C00">
        <w:rPr>
          <w:rFonts w:ascii="Times New Roman" w:eastAsia="Calibri" w:hAnsi="Times New Roman" w:cs="Times New Roman"/>
        </w:rPr>
        <w:t xml:space="preserve">Therefore:  </w:t>
      </w:r>
    </w:p>
    <w:p w14:paraId="43FA6A4D" w14:textId="77777777" w:rsidR="0095697C" w:rsidRPr="00A74C00" w:rsidRDefault="0095697C" w:rsidP="0095697C">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78CCE0CA" w14:textId="086BB7E2" w:rsidR="0095697C" w:rsidRPr="00A74C00" w:rsidRDefault="0095697C" w:rsidP="0095697C">
      <w:pPr>
        <w:spacing w:after="200" w:line="276" w:lineRule="auto"/>
        <w:rPr>
          <w:rFonts w:ascii="Times New Roman" w:hAnsi="Times New Roman" w:cs="Times New Roman"/>
        </w:rPr>
      </w:pPr>
      <w:r w:rsidRPr="00A74C00">
        <w:rPr>
          <w:rFonts w:ascii="Times New Roman" w:eastAsia="Calibri" w:hAnsi="Times New Roman" w:cs="Times New Roman"/>
        </w:rPr>
        <w:t xml:space="preserve">= 4.74% + </w:t>
      </w:r>
      <w:r w:rsidR="003B56D0">
        <w:rPr>
          <w:rFonts w:ascii="Times New Roman" w:eastAsia="Calibri" w:hAnsi="Times New Roman" w:cs="Times New Roman"/>
        </w:rPr>
        <w:t>1.48</w:t>
      </w:r>
      <w:r w:rsidRPr="00A74C00">
        <w:rPr>
          <w:rFonts w:ascii="Times New Roman" w:eastAsia="Calibri" w:hAnsi="Times New Roman" w:cs="Times New Roman"/>
        </w:rPr>
        <w:t xml:space="preserve"> * [1</w:t>
      </w:r>
      <w:r>
        <w:rPr>
          <w:rFonts w:ascii="Times New Roman" w:eastAsia="Calibri" w:hAnsi="Times New Roman" w:cs="Times New Roman"/>
        </w:rPr>
        <w:t>3.22</w:t>
      </w:r>
      <w:r w:rsidRPr="00A74C00">
        <w:rPr>
          <w:rFonts w:ascii="Times New Roman" w:eastAsia="Calibri" w:hAnsi="Times New Roman" w:cs="Times New Roman"/>
        </w:rPr>
        <w:t xml:space="preserve">%-4.74%]  </w:t>
      </w:r>
    </w:p>
    <w:p w14:paraId="66D896E6" w14:textId="670C5E6B" w:rsidR="0095697C" w:rsidRPr="00A74C00" w:rsidRDefault="0095697C" w:rsidP="0095697C">
      <w:pPr>
        <w:spacing w:after="200" w:line="276" w:lineRule="auto"/>
        <w:rPr>
          <w:rFonts w:ascii="Times New Roman" w:hAnsi="Times New Roman" w:cs="Times New Roman"/>
        </w:rPr>
      </w:pPr>
      <w:r w:rsidRPr="00A74C00">
        <w:rPr>
          <w:rFonts w:ascii="Times New Roman" w:eastAsia="Calibri" w:hAnsi="Times New Roman" w:cs="Times New Roman"/>
        </w:rPr>
        <w:t xml:space="preserve">= </w:t>
      </w:r>
      <w:r w:rsidRPr="003B689C">
        <w:rPr>
          <w:rFonts w:ascii="Times New Roman" w:eastAsia="Calibri" w:hAnsi="Times New Roman" w:cs="Times New Roman"/>
          <w:highlight w:val="lightGray"/>
        </w:rPr>
        <w:t>1</w:t>
      </w:r>
      <w:r w:rsidR="003B56D0">
        <w:rPr>
          <w:rFonts w:ascii="Times New Roman" w:eastAsia="Calibri" w:hAnsi="Times New Roman" w:cs="Times New Roman"/>
          <w:highlight w:val="lightGray"/>
        </w:rPr>
        <w:t>7.29</w:t>
      </w:r>
      <w:r w:rsidRPr="003B689C">
        <w:rPr>
          <w:rFonts w:ascii="Times New Roman" w:eastAsia="Calibri" w:hAnsi="Times New Roman" w:cs="Times New Roman"/>
          <w:highlight w:val="lightGray"/>
        </w:rPr>
        <w:t>%</w:t>
      </w:r>
      <w:r w:rsidRPr="00A74C00">
        <w:rPr>
          <w:rFonts w:ascii="Times New Roman" w:eastAsia="Calibri" w:hAnsi="Times New Roman" w:cs="Times New Roman"/>
        </w:rPr>
        <w:t xml:space="preserve"> </w:t>
      </w:r>
    </w:p>
    <w:p w14:paraId="2D3B69EE" w14:textId="77777777" w:rsidR="00F54BD6" w:rsidRDefault="00F54BD6" w:rsidP="00F54BD6"/>
    <w:p w14:paraId="385E1499" w14:textId="77777777" w:rsidR="00F54BD6" w:rsidRDefault="00F54BD6" w:rsidP="00F54BD6"/>
    <w:p w14:paraId="76473DD5" w14:textId="7EB32D7A" w:rsidR="2C331FD7" w:rsidRDefault="00F54BD6" w:rsidP="00D31095">
      <w:r w:rsidRPr="00954930">
        <w:rPr>
          <w:rFonts w:ascii="Times New Roman" w:hAnsi="Times New Roman" w:cs="Times New Roman"/>
          <w:b/>
          <w:bCs/>
          <w:sz w:val="28"/>
          <w:szCs w:val="28"/>
        </w:rPr>
        <w:t xml:space="preserve">Investment </w:t>
      </w:r>
      <w:r>
        <w:rPr>
          <w:rFonts w:ascii="Times New Roman" w:hAnsi="Times New Roman" w:cs="Times New Roman"/>
          <w:b/>
          <w:bCs/>
          <w:sz w:val="28"/>
          <w:szCs w:val="28"/>
        </w:rPr>
        <w:t>9</w:t>
      </w:r>
      <w:r w:rsidRPr="00954930">
        <w:rPr>
          <w:rFonts w:ascii="Times New Roman" w:hAnsi="Times New Roman" w:cs="Times New Roman"/>
          <w:b/>
          <w:bCs/>
          <w:sz w:val="28"/>
          <w:szCs w:val="28"/>
        </w:rPr>
        <w:t>:</w:t>
      </w:r>
      <w:r w:rsidR="00D31095">
        <w:rPr>
          <w:rFonts w:ascii="Times New Roman" w:hAnsi="Times New Roman" w:cs="Times New Roman"/>
          <w:b/>
          <w:bCs/>
          <w:sz w:val="28"/>
          <w:szCs w:val="28"/>
        </w:rPr>
        <w:t xml:space="preserve"> Vanguard S/T Corp Bond ETF (NYSE: VCSH)</w:t>
      </w:r>
      <w:r w:rsidR="2C331FD7" w:rsidRPr="2F9840D0">
        <w:rPr>
          <w:rFonts w:ascii="Times New Roman" w:eastAsia="Times New Roman" w:hAnsi="Times New Roman" w:cs="Times New Roman"/>
          <w:u w:val="single"/>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95"/>
        <w:gridCol w:w="1095"/>
        <w:gridCol w:w="1095"/>
        <w:gridCol w:w="1095"/>
        <w:gridCol w:w="1380"/>
        <w:gridCol w:w="1095"/>
        <w:gridCol w:w="1095"/>
      </w:tblGrid>
      <w:tr w:rsidR="2F9840D0" w:rsidRPr="003B56D0" w14:paraId="7E60D97E" w14:textId="77777777" w:rsidTr="13FF8813">
        <w:trPr>
          <w:trHeight w:val="300"/>
        </w:trPr>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A1E2A" w14:textId="43F895B2" w:rsidR="2F9840D0" w:rsidRPr="003B56D0" w:rsidRDefault="2F9840D0" w:rsidP="2F9840D0">
            <w:pPr>
              <w:spacing w:after="0"/>
              <w:rPr>
                <w:rFonts w:ascii="Times New Roman" w:hAnsi="Times New Roman" w:cs="Times New Roman"/>
              </w:rPr>
            </w:pPr>
            <w:r w:rsidRPr="003B56D0">
              <w:rPr>
                <w:rFonts w:ascii="Times New Roman" w:eastAsia="Segoe UI" w:hAnsi="Times New Roman" w:cs="Times New Roman"/>
              </w:rPr>
              <w:t>9)</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15256D" w14:textId="3992315B" w:rsidR="2F9840D0" w:rsidRPr="003B56D0" w:rsidRDefault="2F9840D0" w:rsidP="2F9840D0">
            <w:pPr>
              <w:spacing w:after="0"/>
              <w:rPr>
                <w:rFonts w:ascii="Times New Roman" w:hAnsi="Times New Roman" w:cs="Times New Roman"/>
              </w:rPr>
            </w:pPr>
            <w:r w:rsidRPr="003B56D0">
              <w:rPr>
                <w:rFonts w:ascii="Times New Roman" w:eastAsia="Segoe UI" w:hAnsi="Times New Roman" w:cs="Times New Roman"/>
              </w:rPr>
              <w:t>Vanguard S/T Corp Bond ETF</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EA62C0" w14:textId="1F200C64" w:rsidR="2F9840D0" w:rsidRPr="003B56D0" w:rsidRDefault="2F9840D0" w:rsidP="2F9840D0">
            <w:pPr>
              <w:spacing w:after="0"/>
              <w:rPr>
                <w:rFonts w:ascii="Times New Roman" w:hAnsi="Times New Roman" w:cs="Times New Roman"/>
              </w:rPr>
            </w:pPr>
            <w:r w:rsidRPr="003B56D0">
              <w:rPr>
                <w:rFonts w:ascii="Times New Roman" w:eastAsia="Calibri" w:hAnsi="Times New Roman" w:cs="Times New Roman"/>
                <w:color w:val="000000" w:themeColor="text1"/>
              </w:rPr>
              <w:t xml:space="preserve"> </w:t>
            </w:r>
            <w:r w:rsidR="4C075BAD" w:rsidRPr="003B56D0">
              <w:rPr>
                <w:rFonts w:ascii="Times New Roman" w:eastAsia="Calibri" w:hAnsi="Times New Roman" w:cs="Times New Roman"/>
                <w:color w:val="000000" w:themeColor="text1"/>
              </w:rPr>
              <w:t>VCSH</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2C04F8" w14:textId="05C1FE2D" w:rsidR="2F9840D0" w:rsidRPr="003B56D0" w:rsidRDefault="2F9840D0" w:rsidP="2F9840D0">
            <w:pPr>
              <w:spacing w:after="0"/>
              <w:rPr>
                <w:rFonts w:ascii="Times New Roman" w:hAnsi="Times New Roman" w:cs="Times New Roman"/>
              </w:rPr>
            </w:pPr>
            <w:r w:rsidRPr="003B56D0">
              <w:rPr>
                <w:rFonts w:ascii="Times New Roman" w:eastAsia="Calibri" w:hAnsi="Times New Roman" w:cs="Times New Roman"/>
                <w:color w:val="000000" w:themeColor="text1"/>
              </w:rPr>
              <w:t>NASDAQ STOCK EXCHANE</w:t>
            </w:r>
          </w:p>
        </w:tc>
        <w:tc>
          <w:tcPr>
            <w:tcW w:w="13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BA190" w14:textId="14A7200C" w:rsidR="2F9840D0" w:rsidRPr="003B56D0" w:rsidRDefault="2F9840D0" w:rsidP="2F9840D0">
            <w:pPr>
              <w:spacing w:after="0"/>
              <w:rPr>
                <w:rFonts w:ascii="Times New Roman" w:hAnsi="Times New Roman" w:cs="Times New Roman"/>
              </w:rPr>
            </w:pPr>
            <w:r w:rsidRPr="003B56D0">
              <w:rPr>
                <w:rFonts w:ascii="Times New Roman" w:eastAsia="Times New Roman" w:hAnsi="Times New Roman" w:cs="Times New Roman"/>
              </w:rPr>
              <w:t>Malvern</w:t>
            </w:r>
            <w:r w:rsidRPr="003B56D0">
              <w:rPr>
                <w:rFonts w:ascii="Times New Roman" w:eastAsia="Times New Roman" w:hAnsi="Times New Roman" w:cs="Times New Roman"/>
                <w:b/>
                <w:bCs/>
              </w:rPr>
              <w:t xml:space="preserve">, </w:t>
            </w:r>
            <w:r w:rsidRPr="003B56D0">
              <w:rPr>
                <w:rFonts w:ascii="Times New Roman" w:eastAsia="Times New Roman" w:hAnsi="Times New Roman" w:cs="Times New Roman"/>
              </w:rPr>
              <w:t>Pennsylvania, USA</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8BB7A6" w14:textId="4E217438" w:rsidR="2F9840D0" w:rsidRPr="003B56D0" w:rsidRDefault="2F9840D0" w:rsidP="2F9840D0">
            <w:pPr>
              <w:spacing w:after="0"/>
              <w:rPr>
                <w:rFonts w:ascii="Times New Roman" w:hAnsi="Times New Roman" w:cs="Times New Roman"/>
              </w:rPr>
            </w:pPr>
            <w:r w:rsidRPr="003B56D0">
              <w:rPr>
                <w:rFonts w:ascii="Times New Roman" w:eastAsia="Calibri" w:hAnsi="Times New Roman" w:cs="Times New Roman"/>
                <w:color w:val="000000" w:themeColor="text1"/>
              </w:rPr>
              <w:t>8315.6</w:t>
            </w:r>
          </w:p>
        </w:tc>
        <w:tc>
          <w:tcPr>
            <w:tcW w:w="10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58CC52" w14:textId="67CE1543" w:rsidR="2F9840D0" w:rsidRPr="003B56D0" w:rsidRDefault="2F9840D0" w:rsidP="2F9840D0">
            <w:pPr>
              <w:spacing w:after="0"/>
              <w:rPr>
                <w:rFonts w:ascii="Times New Roman" w:hAnsi="Times New Roman" w:cs="Times New Roman"/>
              </w:rPr>
            </w:pPr>
            <w:r w:rsidRPr="003B56D0">
              <w:rPr>
                <w:rFonts w:ascii="Times New Roman" w:eastAsia="Calibri" w:hAnsi="Times New Roman" w:cs="Times New Roman"/>
                <w:color w:val="000000" w:themeColor="text1"/>
              </w:rPr>
              <w:t xml:space="preserve">8.33% </w:t>
            </w:r>
          </w:p>
        </w:tc>
      </w:tr>
    </w:tbl>
    <w:p w14:paraId="0FD7F84C" w14:textId="6EFAC1F5" w:rsidR="2C331FD7" w:rsidRPr="003B56D0" w:rsidRDefault="2C331FD7" w:rsidP="2F9840D0">
      <w:pPr>
        <w:spacing w:after="0"/>
        <w:rPr>
          <w:rFonts w:ascii="Times New Roman" w:hAnsi="Times New Roman" w:cs="Times New Roman"/>
        </w:rPr>
      </w:pPr>
    </w:p>
    <w:p w14:paraId="6427343C" w14:textId="678C4D62" w:rsidR="2C331FD7" w:rsidRPr="003B56D0" w:rsidRDefault="2C331FD7" w:rsidP="00FB7BFB">
      <w:pPr>
        <w:pStyle w:val="ListParagraph"/>
        <w:numPr>
          <w:ilvl w:val="0"/>
          <w:numId w:val="55"/>
        </w:numPr>
        <w:spacing w:after="0"/>
        <w:rPr>
          <w:rFonts w:ascii="Times New Roman" w:eastAsia="Times New Roman" w:hAnsi="Times New Roman" w:cs="Times New Roman"/>
        </w:rPr>
      </w:pPr>
      <w:r w:rsidRPr="003B56D0">
        <w:rPr>
          <w:rFonts w:ascii="Times New Roman" w:eastAsia="Times New Roman" w:hAnsi="Times New Roman" w:cs="Times New Roman"/>
        </w:rPr>
        <w:t>Background on the Company</w:t>
      </w:r>
    </w:p>
    <w:p w14:paraId="61339138" w14:textId="241926B6"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 xml:space="preserve"> </w:t>
      </w:r>
    </w:p>
    <w:p w14:paraId="65A6593E" w14:textId="67BD2897"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 xml:space="preserve">The Vanguard Short-Term Corporate Bond ETF (VCSH) is an exchange-traded fund designed to track the performance of the Bloomberg U.S. 1-5 Year Corporate Bond Index. It invests in a diversified portfolio of investment-grade corporate bonds with maturities between 1 and 5 years. Launched in 2009, VCSH is known for its low expense ratio (around 0.04%) and </w:t>
      </w:r>
      <w:proofErr w:type="gramStart"/>
      <w:r w:rsidRPr="003B56D0">
        <w:rPr>
          <w:rFonts w:ascii="Times New Roman" w:eastAsia="Times New Roman" w:hAnsi="Times New Roman" w:cs="Times New Roman"/>
        </w:rPr>
        <w:t>focus</w:t>
      </w:r>
      <w:proofErr w:type="gramEnd"/>
      <w:r w:rsidRPr="003B56D0">
        <w:rPr>
          <w:rFonts w:ascii="Times New Roman" w:eastAsia="Times New Roman" w:hAnsi="Times New Roman" w:cs="Times New Roman"/>
        </w:rPr>
        <w:t xml:space="preserve"> on generating modest income with limited interest rate risk, making it an appealing choice for conservative investors. The fund’s short duration </w:t>
      </w:r>
      <w:r w:rsidRPr="003B56D0">
        <w:rPr>
          <w:rFonts w:ascii="Times New Roman" w:eastAsia="Times New Roman" w:hAnsi="Times New Roman" w:cs="Times New Roman"/>
        </w:rPr>
        <w:lastRenderedPageBreak/>
        <w:t>helps minimize price sensitivity to interest rate changes, offering stability and predictable returns.</w:t>
      </w:r>
    </w:p>
    <w:p w14:paraId="6DD99CA7" w14:textId="025F7771"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VCSH is managed by Vanguard, a global investment giant headquartered in Malvern</w:t>
      </w:r>
      <w:r w:rsidRPr="003B56D0">
        <w:rPr>
          <w:rFonts w:ascii="Times New Roman" w:eastAsia="Times New Roman" w:hAnsi="Times New Roman" w:cs="Times New Roman"/>
          <w:b/>
          <w:bCs/>
        </w:rPr>
        <w:t xml:space="preserve">, </w:t>
      </w:r>
      <w:r w:rsidRPr="003B56D0">
        <w:rPr>
          <w:rFonts w:ascii="Times New Roman" w:eastAsia="Times New Roman" w:hAnsi="Times New Roman" w:cs="Times New Roman"/>
        </w:rPr>
        <w:t>Pennsylvania, USA, with operations across countries including Canada, the United Kingdom, Australia, and various regions in Europe and Asia. Vanguard manages over $8 trillion in assets (as of 2023) and is renowned for its investor-focused philosophy, transparency, and low-cost investment products. Operating under a unique investor-owned structure, Vanguard returns profits to its fundholders in the form of reduced costs. VCSH exemplifies this approach, providing a reliable option for income-focused investors seeking diversification and lower risk compared to equities or longer-term bonds.</w:t>
      </w:r>
    </w:p>
    <w:p w14:paraId="1FFEC072" w14:textId="24154DEC"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 xml:space="preserve"> </w:t>
      </w:r>
    </w:p>
    <w:p w14:paraId="20FA31BA" w14:textId="3E69C87E"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1)Valuation Assessment</w:t>
      </w:r>
    </w:p>
    <w:p w14:paraId="0EA5DD79" w14:textId="06D9BAFC" w:rsidR="2F9840D0" w:rsidRPr="003B56D0" w:rsidRDefault="2F9840D0" w:rsidP="2F9840D0">
      <w:pPr>
        <w:spacing w:after="0"/>
        <w:ind w:left="720"/>
        <w:rPr>
          <w:rFonts w:ascii="Times New Roman" w:eastAsia="Times New Roman" w:hAnsi="Times New Roman" w:cs="Times New Roman"/>
        </w:rPr>
      </w:pPr>
    </w:p>
    <w:p w14:paraId="55F17C05" w14:textId="2CB2FA5A" w:rsidR="2C331FD7" w:rsidRPr="003B56D0" w:rsidRDefault="2C331FD7" w:rsidP="2F9840D0">
      <w:pPr>
        <w:spacing w:after="0"/>
        <w:ind w:left="720"/>
        <w:rPr>
          <w:rFonts w:ascii="Times New Roman" w:eastAsia="Times New Roman" w:hAnsi="Times New Roman" w:cs="Times New Roman"/>
        </w:rPr>
      </w:pPr>
      <w:r w:rsidRPr="003B56D0">
        <w:rPr>
          <w:rFonts w:ascii="Times New Roman" w:eastAsia="Times New Roman" w:hAnsi="Times New Roman" w:cs="Times New Roman"/>
        </w:rPr>
        <w:t xml:space="preserve">The Vanguard Short-Term Corporate Bond ETF (VCSH) is a highly efficient and cost-effective investment option for income-focused investors. With an expense ratio of just 0.04%, it ensures that a greater share of returns directly benefits investors, aligning with Vanguard's commitment to low-cost investing. VCSH is designed to closely track the Bloomberg U.S. 1–5 Year Corporate Bond Index, offering a portfolio of investment-grade bonds with strong credit ratings, primarily in the A and BBB categories. This balance between quality and yield makes it a reliable choice for those seeking stable income with limited risk exposure </w:t>
      </w:r>
    </w:p>
    <w:p w14:paraId="3E52D105" w14:textId="144574DA" w:rsidR="2C331FD7" w:rsidRPr="003B56D0" w:rsidRDefault="2C331FD7" w:rsidP="2F9840D0">
      <w:pPr>
        <w:spacing w:after="0"/>
        <w:ind w:left="720"/>
        <w:rPr>
          <w:rFonts w:ascii="Times New Roman" w:hAnsi="Times New Roman" w:cs="Times New Roman"/>
        </w:rPr>
      </w:pPr>
      <w:proofErr w:type="gramStart"/>
      <w:r w:rsidRPr="003B56D0">
        <w:rPr>
          <w:rFonts w:ascii="Times New Roman" w:eastAsia="Times New Roman" w:hAnsi="Times New Roman" w:cs="Times New Roman"/>
        </w:rPr>
        <w:t>The ETF’s</w:t>
      </w:r>
      <w:proofErr w:type="gramEnd"/>
      <w:r w:rsidRPr="003B56D0">
        <w:rPr>
          <w:rFonts w:ascii="Times New Roman" w:eastAsia="Times New Roman" w:hAnsi="Times New Roman" w:cs="Times New Roman"/>
        </w:rPr>
        <w:t xml:space="preserve"> pricing efficiency further enhances its value, with its Net Asset Value (NAV) remaining closely aligned to its market price. This reflects its robust liquidity and transparent management. VCSH’s short duration mitigates the impact of interest rate volatility, while its diversified portfolio provides exposure to bonds from multiple sectors and issuers. By combining competitive cost structures, credit quality, and efficient pricing, VCSH stands out as a strong contender in the short-term bond market for conservative investors.</w:t>
      </w:r>
    </w:p>
    <w:p w14:paraId="6142CBBE" w14:textId="122E3D1C" w:rsidR="2F9840D0" w:rsidRPr="003B56D0" w:rsidRDefault="2F9840D0" w:rsidP="2F9840D0">
      <w:pPr>
        <w:spacing w:after="0"/>
        <w:ind w:left="720"/>
        <w:rPr>
          <w:rFonts w:ascii="Times New Roman" w:eastAsia="Times New Roman" w:hAnsi="Times New Roman" w:cs="Times New Roman"/>
        </w:rPr>
      </w:pPr>
    </w:p>
    <w:p w14:paraId="5B57B5C0" w14:textId="69959C66" w:rsidR="392C5EFB" w:rsidRPr="003B56D0" w:rsidRDefault="392C5EFB" w:rsidP="2F9840D0">
      <w:pPr>
        <w:spacing w:after="0"/>
        <w:ind w:left="720"/>
        <w:rPr>
          <w:rFonts w:ascii="Times New Roman" w:hAnsi="Times New Roman" w:cs="Times New Roman"/>
        </w:rPr>
      </w:pPr>
      <w:r w:rsidRPr="003B56D0">
        <w:rPr>
          <w:rFonts w:ascii="Times New Roman" w:hAnsi="Times New Roman" w:cs="Times New Roman"/>
          <w:noProof/>
        </w:rPr>
        <w:lastRenderedPageBreak/>
        <w:drawing>
          <wp:inline distT="0" distB="0" distL="0" distR="0" wp14:anchorId="0A7F811A" wp14:editId="3CE23BCF">
            <wp:extent cx="5151565" cy="2639797"/>
            <wp:effectExtent l="0" t="0" r="0" b="0"/>
            <wp:docPr id="2108896852" name="Picture 210889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151565" cy="2639797"/>
                    </a:xfrm>
                    <a:prstGeom prst="rect">
                      <a:avLst/>
                    </a:prstGeom>
                  </pic:spPr>
                </pic:pic>
              </a:graphicData>
            </a:graphic>
          </wp:inline>
        </w:drawing>
      </w:r>
    </w:p>
    <w:p w14:paraId="04C055E6" w14:textId="66192516" w:rsidR="2F9840D0" w:rsidRPr="003B56D0" w:rsidRDefault="2F9840D0" w:rsidP="2F9840D0">
      <w:pPr>
        <w:spacing w:after="0"/>
        <w:ind w:left="720"/>
        <w:rPr>
          <w:rFonts w:ascii="Times New Roman" w:eastAsia="Times New Roman" w:hAnsi="Times New Roman" w:cs="Times New Roman"/>
        </w:rPr>
      </w:pPr>
    </w:p>
    <w:p w14:paraId="22B594F5" w14:textId="50D915AD" w:rsidR="2F9840D0" w:rsidRPr="003B56D0" w:rsidRDefault="2F9840D0" w:rsidP="2F9840D0">
      <w:pPr>
        <w:spacing w:after="0"/>
        <w:ind w:left="720"/>
        <w:rPr>
          <w:rFonts w:ascii="Times New Roman" w:eastAsia="Times New Roman" w:hAnsi="Times New Roman" w:cs="Times New Roman"/>
        </w:rPr>
      </w:pPr>
    </w:p>
    <w:p w14:paraId="665E1A8F" w14:textId="1D899E68" w:rsidR="2C331FD7" w:rsidRPr="003B56D0" w:rsidRDefault="2C331FD7" w:rsidP="2F9840D0">
      <w:pPr>
        <w:spacing w:after="0"/>
        <w:ind w:left="720"/>
        <w:rPr>
          <w:rFonts w:ascii="Times New Roman" w:eastAsia="Times New Roman" w:hAnsi="Times New Roman" w:cs="Times New Roman"/>
        </w:rPr>
      </w:pPr>
      <w:r w:rsidRPr="003B56D0">
        <w:rPr>
          <w:rFonts w:ascii="Times New Roman" w:eastAsia="Times New Roman" w:hAnsi="Times New Roman" w:cs="Times New Roman"/>
        </w:rPr>
        <w:t>2)Profitability Assessment:</w:t>
      </w:r>
    </w:p>
    <w:p w14:paraId="43A6DF1F" w14:textId="1E7C9E3B"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 xml:space="preserve"> </w:t>
      </w:r>
    </w:p>
    <w:p w14:paraId="29A75543" w14:textId="51918C9E"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 xml:space="preserve">The Vanguard Short-Term Corporate Bond ETF (VCSH) delivers consistent income by investing in investment-grade corporate bonds, balancing yield and risk. While short-term bonds generally yield less than longer-term bonds, they benefit from lower interest rate sensitivity, making them a stable choice. The fund's distribution yield reflects its profitability, offering competitive returns within its category for investors seeking modest but reliable income. With an exceptionally low expense ratio of 0.04%, VCSH ensures that more returns are </w:t>
      </w:r>
      <w:proofErr w:type="gramStart"/>
      <w:r w:rsidRPr="003B56D0">
        <w:rPr>
          <w:rFonts w:ascii="Times New Roman" w:eastAsia="Times New Roman" w:hAnsi="Times New Roman" w:cs="Times New Roman"/>
        </w:rPr>
        <w:t>passed</w:t>
      </w:r>
      <w:proofErr w:type="gramEnd"/>
      <w:r w:rsidRPr="003B56D0">
        <w:rPr>
          <w:rFonts w:ascii="Times New Roman" w:eastAsia="Times New Roman" w:hAnsi="Times New Roman" w:cs="Times New Roman"/>
        </w:rPr>
        <w:t xml:space="preserve"> to investors, enhancing its appeal compared to similar ETFs. Its portfolio is characterized by high </w:t>
      </w:r>
      <w:proofErr w:type="gramStart"/>
      <w:r w:rsidRPr="003B56D0">
        <w:rPr>
          <w:rFonts w:ascii="Times New Roman" w:eastAsia="Times New Roman" w:hAnsi="Times New Roman" w:cs="Times New Roman"/>
        </w:rPr>
        <w:t>credit quality</w:t>
      </w:r>
      <w:proofErr w:type="gramEnd"/>
      <w:r w:rsidRPr="003B56D0">
        <w:rPr>
          <w:rFonts w:ascii="Times New Roman" w:eastAsia="Times New Roman" w:hAnsi="Times New Roman" w:cs="Times New Roman"/>
        </w:rPr>
        <w:t>, primarily consisting of A and BBB-rated bonds, reducing default risk and supporting steady income. Diversification across sectors, including finance, healthcare, and industrials, with top holdings such as Bank of America, CVS Health, and The Boeing Company, minimizes sector-specific risks. Additionally, its pricing efficiency, demonstrated by a closely aligned Net Asset Value (NAV) and market price, ensures liquidity and minimal trading losses. The broadly diversified portfolio, with the top 10 holdings accounting for only 2% of assets, reduces concentration risk and provides stable returns across market conditions, making it a reliable option for income-focused investors.</w:t>
      </w:r>
    </w:p>
    <w:p w14:paraId="3869E913" w14:textId="573E4A35" w:rsidR="2F9840D0" w:rsidRPr="003B56D0" w:rsidRDefault="2F9840D0" w:rsidP="2F9840D0">
      <w:pPr>
        <w:spacing w:after="0"/>
        <w:ind w:left="720"/>
        <w:rPr>
          <w:rFonts w:ascii="Times New Roman" w:eastAsia="Times New Roman" w:hAnsi="Times New Roman" w:cs="Times New Roman"/>
        </w:rPr>
      </w:pPr>
    </w:p>
    <w:p w14:paraId="1EBA6618" w14:textId="36B9C7E8" w:rsidR="3D3DE538" w:rsidRPr="003B56D0" w:rsidRDefault="3D3DE538" w:rsidP="2F9840D0">
      <w:pPr>
        <w:spacing w:after="0"/>
        <w:ind w:left="720"/>
        <w:rPr>
          <w:rFonts w:ascii="Times New Roman" w:hAnsi="Times New Roman" w:cs="Times New Roman"/>
        </w:rPr>
      </w:pPr>
      <w:r w:rsidRPr="003B56D0">
        <w:rPr>
          <w:rFonts w:ascii="Times New Roman" w:hAnsi="Times New Roman" w:cs="Times New Roman"/>
          <w:noProof/>
        </w:rPr>
        <w:lastRenderedPageBreak/>
        <w:drawing>
          <wp:inline distT="0" distB="0" distL="0" distR="0" wp14:anchorId="0C043E61" wp14:editId="3B78B9F1">
            <wp:extent cx="5438101" cy="1969179"/>
            <wp:effectExtent l="0" t="0" r="0" b="0"/>
            <wp:docPr id="2031344801" name="Picture 2031344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38101" cy="1969179"/>
                    </a:xfrm>
                    <a:prstGeom prst="rect">
                      <a:avLst/>
                    </a:prstGeom>
                  </pic:spPr>
                </pic:pic>
              </a:graphicData>
            </a:graphic>
          </wp:inline>
        </w:drawing>
      </w:r>
    </w:p>
    <w:p w14:paraId="7201BD49" w14:textId="18FB3B16" w:rsidR="2F9840D0" w:rsidRPr="003B56D0" w:rsidRDefault="2F9840D0" w:rsidP="2F9840D0">
      <w:pPr>
        <w:spacing w:after="0"/>
        <w:ind w:left="720"/>
        <w:rPr>
          <w:rFonts w:ascii="Times New Roman" w:eastAsia="Times New Roman" w:hAnsi="Times New Roman" w:cs="Times New Roman"/>
        </w:rPr>
      </w:pPr>
    </w:p>
    <w:p w14:paraId="79D884C8" w14:textId="7E6A017E" w:rsidR="2F9840D0" w:rsidRPr="003B56D0" w:rsidRDefault="2F9840D0" w:rsidP="2F9840D0">
      <w:pPr>
        <w:spacing w:after="0"/>
        <w:ind w:left="720"/>
        <w:rPr>
          <w:rFonts w:ascii="Times New Roman" w:eastAsia="Times New Roman" w:hAnsi="Times New Roman" w:cs="Times New Roman"/>
        </w:rPr>
      </w:pPr>
    </w:p>
    <w:p w14:paraId="747ADAC4" w14:textId="12C788C9" w:rsidR="2C331FD7" w:rsidRPr="003B56D0" w:rsidRDefault="2C331FD7" w:rsidP="2F9840D0">
      <w:pPr>
        <w:spacing w:after="0"/>
        <w:ind w:left="720"/>
        <w:rPr>
          <w:rFonts w:ascii="Times New Roman" w:eastAsia="Times New Roman" w:hAnsi="Times New Roman" w:cs="Times New Roman"/>
        </w:rPr>
      </w:pPr>
      <w:r w:rsidRPr="003B56D0">
        <w:rPr>
          <w:rFonts w:ascii="Times New Roman" w:eastAsia="Times New Roman" w:hAnsi="Times New Roman" w:cs="Times New Roman"/>
        </w:rPr>
        <w:t>3)Consistent Trailing Dividend Payout or Predictable Income</w:t>
      </w:r>
    </w:p>
    <w:p w14:paraId="4FC45FEB" w14:textId="5AC11E93"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 xml:space="preserve"> </w:t>
      </w:r>
    </w:p>
    <w:p w14:paraId="58576E3B" w14:textId="1B5101E2"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 xml:space="preserve">The Vanguard Short-Term Corporate Bond ETF (VCSH) is structured to provide consistent income primarily through investments in investment-grade corporate bonds. Its dividend payout is aligned with its income generation from bond coupon payments, offering an annualized dividend yield of approximately 3.88% as of recent data. This yield makes it competitive within the corporate bond ETF category and </w:t>
      </w:r>
      <w:proofErr w:type="gramStart"/>
      <w:r w:rsidRPr="003B56D0">
        <w:rPr>
          <w:rFonts w:ascii="Times New Roman" w:eastAsia="Times New Roman" w:hAnsi="Times New Roman" w:cs="Times New Roman"/>
        </w:rPr>
        <w:t>appealing</w:t>
      </w:r>
      <w:proofErr w:type="gramEnd"/>
      <w:r w:rsidRPr="003B56D0">
        <w:rPr>
          <w:rFonts w:ascii="Times New Roman" w:eastAsia="Times New Roman" w:hAnsi="Times New Roman" w:cs="Times New Roman"/>
        </w:rPr>
        <w:t xml:space="preserve"> for investors seeking stable, short-term income with relatively low risk .</w:t>
      </w:r>
    </w:p>
    <w:p w14:paraId="4B21B6BD" w14:textId="63C31E9A"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In terms of cash flow, VCSH benefits from the frequent coupon payments of its high-quality bonds, ensuring regular income distribution to investors. Additionally, its portfolio's low expense ratio of 0.04% helps maximize the return passed on to shareholders, enhancing cash flow stability. The fund's significant diversification—spreading assets across thousands of holdings and sectors—reduces dependence on any single bond issuer, further securing steady income streams. These factors collectively make VCSH a reliable choice for income-focused investors</w:t>
      </w:r>
    </w:p>
    <w:p w14:paraId="102C6755" w14:textId="6CDFBDF7"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 xml:space="preserve"> </w:t>
      </w:r>
    </w:p>
    <w:p w14:paraId="09C88CDE" w14:textId="5D0F21CB"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The table provides information about Vanguard Short-Term Bond ETF dividends, including announced dates, periods, amounts, yields, ex-dividend dates, record dates, and payable dates. Here's an explanation of the yield ratio and its implications for investors in short-term bonds:</w:t>
      </w:r>
    </w:p>
    <w:p w14:paraId="0454C51D" w14:textId="507B4599" w:rsidR="2F9840D0" w:rsidRPr="003B56D0" w:rsidRDefault="2F9840D0" w:rsidP="2F9840D0">
      <w:pPr>
        <w:spacing w:after="0"/>
        <w:ind w:left="720"/>
        <w:rPr>
          <w:rFonts w:ascii="Times New Roman" w:eastAsia="Times New Roman" w:hAnsi="Times New Roman" w:cs="Times New Roman"/>
        </w:rPr>
      </w:pPr>
    </w:p>
    <w:p w14:paraId="2B125909" w14:textId="0C2A498E" w:rsidR="716F7F38" w:rsidRPr="003B56D0" w:rsidRDefault="716F7F38" w:rsidP="2F9840D0">
      <w:pPr>
        <w:spacing w:after="0"/>
        <w:ind w:left="720"/>
        <w:rPr>
          <w:rFonts w:ascii="Times New Roman" w:hAnsi="Times New Roman" w:cs="Times New Roman"/>
        </w:rPr>
      </w:pPr>
      <w:r w:rsidRPr="003B56D0">
        <w:rPr>
          <w:rFonts w:ascii="Times New Roman" w:hAnsi="Times New Roman" w:cs="Times New Roman"/>
          <w:noProof/>
        </w:rPr>
        <w:lastRenderedPageBreak/>
        <w:drawing>
          <wp:inline distT="0" distB="0" distL="0" distR="0" wp14:anchorId="5894D57D" wp14:editId="0D06050E">
            <wp:extent cx="4889416" cy="2085012"/>
            <wp:effectExtent l="0" t="0" r="0" b="0"/>
            <wp:docPr id="2134983353" name="Picture 213498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89416" cy="2085012"/>
                    </a:xfrm>
                    <a:prstGeom prst="rect">
                      <a:avLst/>
                    </a:prstGeom>
                  </pic:spPr>
                </pic:pic>
              </a:graphicData>
            </a:graphic>
          </wp:inline>
        </w:drawing>
      </w:r>
    </w:p>
    <w:p w14:paraId="198DEB9D" w14:textId="61EA8982" w:rsidR="2C331FD7" w:rsidRPr="003B56D0" w:rsidRDefault="2C331FD7" w:rsidP="2F9840D0">
      <w:pPr>
        <w:spacing w:after="0"/>
        <w:ind w:left="720"/>
        <w:rPr>
          <w:rFonts w:ascii="Times New Roman" w:hAnsi="Times New Roman" w:cs="Times New Roman"/>
        </w:rPr>
      </w:pPr>
      <w:r w:rsidRPr="003B56D0">
        <w:rPr>
          <w:rFonts w:ascii="Times New Roman" w:eastAsia="Times New Roman" w:hAnsi="Times New Roman" w:cs="Times New Roman"/>
        </w:rPr>
        <w:t>The Vanguard dividend yield ratio represents the annualized dividend payments as a percentage of the ETF's share price, reflecting the return investors earn from dividends relative to the fund's price. Over the period shown, the yield fluctuated, aligning with market interest rate trends and central bank policies. For instance, yields ranged from 2.14% in February 2019 to 2.37% in May 2019, showing sensitivity to economic conditions. These fluctuations highlight the ETF's ability to adjust payouts based on the changing interest rate environment, providing investors with a reliable income stream while maintaining stability in response to market dynamics.</w:t>
      </w:r>
    </w:p>
    <w:p w14:paraId="637B74D9" w14:textId="05660596" w:rsidR="2C331FD7" w:rsidRPr="003B56D0" w:rsidRDefault="2C331FD7" w:rsidP="2F9840D0">
      <w:pPr>
        <w:tabs>
          <w:tab w:val="left" w:pos="8535"/>
        </w:tabs>
        <w:spacing w:after="0"/>
        <w:rPr>
          <w:rFonts w:ascii="Times New Roman" w:hAnsi="Times New Roman" w:cs="Times New Roman"/>
        </w:rPr>
      </w:pPr>
      <w:r w:rsidRPr="003B56D0">
        <w:rPr>
          <w:rFonts w:ascii="Times New Roman" w:eastAsia="Times New Roman" w:hAnsi="Times New Roman" w:cs="Times New Roman"/>
        </w:rPr>
        <w:t xml:space="preserve"> </w:t>
      </w:r>
    </w:p>
    <w:p w14:paraId="693E7E76" w14:textId="0B202D32" w:rsidR="2C331FD7" w:rsidRPr="003B56D0" w:rsidRDefault="2C331FD7" w:rsidP="2F9840D0">
      <w:pPr>
        <w:spacing w:line="276" w:lineRule="auto"/>
        <w:rPr>
          <w:rFonts w:ascii="Times New Roman" w:hAnsi="Times New Roman" w:cs="Times New Roman"/>
        </w:rPr>
      </w:pPr>
      <w:r w:rsidRPr="003B56D0">
        <w:rPr>
          <w:rFonts w:ascii="Times New Roman" w:eastAsia="Times New Roman" w:hAnsi="Times New Roman" w:cs="Times New Roman"/>
        </w:rPr>
        <w:t xml:space="preserve">4). </w:t>
      </w:r>
      <w:r w:rsidRPr="003B56D0">
        <w:rPr>
          <w:rFonts w:ascii="Times New Roman" w:eastAsia="Times New Roman" w:hAnsi="Times New Roman" w:cs="Times New Roman"/>
          <w:u w:val="single"/>
        </w:rPr>
        <w:t xml:space="preserve">High Market Capitalization </w:t>
      </w:r>
      <w:r w:rsidRPr="003B56D0">
        <w:rPr>
          <w:rFonts w:ascii="Times New Roman" w:eastAsia="Times New Roman" w:hAnsi="Times New Roman" w:cs="Times New Roman"/>
        </w:rPr>
        <w:t>VCSH has a substantial market presence, with billions in assets under management. This high market capitalization reflects strong investor confidence, and ensures liquidity, allowing easy trading at a minimal cost. Its size and reputation further cement its position as a market leader in bond ETFs. As of December 2024, the Vanguard Short-Term Bond ETF (BSV) has a market capitalization of approximately $33.18 billion. This ETF primarily invests in short-term, high-quality bonds, making it an attractive choice for conservative investors looking for stability, low-interest rate sensitivity, and consistent income. Its substantial market size reflects its popularity and the broad appeal of its low-risk investment profile.</w:t>
      </w:r>
    </w:p>
    <w:p w14:paraId="1070D9B8" w14:textId="4BD935DD" w:rsidR="2C331FD7" w:rsidRPr="003B56D0" w:rsidRDefault="2C331FD7" w:rsidP="2F9840D0">
      <w:pPr>
        <w:spacing w:line="276" w:lineRule="auto"/>
        <w:rPr>
          <w:rFonts w:ascii="Times New Roman" w:hAnsi="Times New Roman" w:cs="Times New Roman"/>
        </w:rPr>
      </w:pPr>
      <w:hyperlink r:id="rId39">
        <w:r w:rsidRPr="003B56D0">
          <w:rPr>
            <w:rStyle w:val="Hyperlink"/>
            <w:rFonts w:ascii="Times New Roman" w:eastAsia="Calibri" w:hAnsi="Times New Roman" w:cs="Times New Roman"/>
            <w:color w:val="467886"/>
          </w:rPr>
          <w:t>Vanguard uses the Russell 3000 index as the basis for determining the market capitalization of its domestic stock funds and variable annuity portfolios, Vanguard ETF® Shares, and the target domestic stock portion of its balanced and global funds</w:t>
        </w:r>
      </w:hyperlink>
      <w:hyperlink r:id="rId40">
        <w:r w:rsidRPr="003B56D0">
          <w:rPr>
            <w:rStyle w:val="Hyperlink"/>
            <w:rFonts w:ascii="Times New Roman" w:eastAsia="Calibri" w:hAnsi="Times New Roman" w:cs="Times New Roman"/>
            <w:color w:val="467886"/>
            <w:vertAlign w:val="superscript"/>
          </w:rPr>
          <w:t>1</w:t>
        </w:r>
      </w:hyperlink>
      <w:r w:rsidRPr="003B56D0">
        <w:rPr>
          <w:rFonts w:ascii="Times New Roman" w:eastAsia="Calibri" w:hAnsi="Times New Roman" w:cs="Times New Roman"/>
        </w:rPr>
        <w:t xml:space="preserve">. </w:t>
      </w:r>
      <w:hyperlink r:id="rId41">
        <w:r w:rsidRPr="003B56D0">
          <w:rPr>
            <w:rStyle w:val="Hyperlink"/>
            <w:rFonts w:ascii="Times New Roman" w:eastAsia="Calibri" w:hAnsi="Times New Roman" w:cs="Times New Roman"/>
            <w:color w:val="467886"/>
          </w:rPr>
          <w:t>The market capitalization definitions for Vanguard funds are based on the Russell 3000 index</w:t>
        </w:r>
      </w:hyperlink>
      <w:hyperlink r:id="rId42">
        <w:r w:rsidRPr="003B56D0">
          <w:rPr>
            <w:rStyle w:val="Hyperlink"/>
            <w:rFonts w:ascii="Times New Roman" w:eastAsia="Calibri" w:hAnsi="Times New Roman" w:cs="Times New Roman"/>
            <w:b/>
            <w:bCs/>
            <w:color w:val="467886"/>
            <w:vertAlign w:val="superscript"/>
          </w:rPr>
          <w:t>2</w:t>
        </w:r>
      </w:hyperlink>
      <w:r w:rsidRPr="003B56D0">
        <w:rPr>
          <w:rFonts w:ascii="Times New Roman" w:eastAsia="Calibri" w:hAnsi="Times New Roman" w:cs="Times New Roman"/>
        </w:rPr>
        <w:t>.</w:t>
      </w:r>
    </w:p>
    <w:p w14:paraId="67F7CE04" w14:textId="33B0D1D3" w:rsidR="2C331FD7" w:rsidRPr="003B56D0" w:rsidRDefault="2C331FD7" w:rsidP="2F9840D0">
      <w:pPr>
        <w:spacing w:line="276" w:lineRule="auto"/>
        <w:rPr>
          <w:rFonts w:ascii="Times New Roman" w:hAnsi="Times New Roman" w:cs="Times New Roman"/>
        </w:rPr>
      </w:pPr>
      <w:r w:rsidRPr="003B56D0">
        <w:rPr>
          <w:rFonts w:ascii="Times New Roman" w:eastAsia="Calibri" w:hAnsi="Times New Roman" w:cs="Times New Roman"/>
        </w:rPr>
        <w:t>5)</w:t>
      </w:r>
      <w:r w:rsidRPr="003B56D0">
        <w:rPr>
          <w:rFonts w:ascii="Times New Roman" w:eastAsia="Calibri" w:hAnsi="Times New Roman" w:cs="Times New Roman"/>
          <w:u w:val="single"/>
        </w:rPr>
        <w:t>Projected Future Long-Term Growth Based on Historical Data Overtime</w:t>
      </w:r>
    </w:p>
    <w:p w14:paraId="622DB01E" w14:textId="642DC4A5" w:rsidR="2C331FD7" w:rsidRPr="003B56D0" w:rsidRDefault="2C331FD7" w:rsidP="2F9840D0">
      <w:pPr>
        <w:spacing w:line="276" w:lineRule="auto"/>
        <w:rPr>
          <w:rFonts w:ascii="Times New Roman" w:hAnsi="Times New Roman" w:cs="Times New Roman"/>
        </w:rPr>
      </w:pPr>
      <w:r w:rsidRPr="003B56D0">
        <w:rPr>
          <w:rFonts w:ascii="Times New Roman" w:eastAsia="Calibri" w:hAnsi="Times New Roman" w:cs="Times New Roman"/>
        </w:rPr>
        <w:t xml:space="preserve">The Vanguard Short-Term Corporate Bond ETF (VCSH) has demonstrated steady historical performance, offering both price stability and consistent income distribution. Over the past five years, </w:t>
      </w:r>
      <w:proofErr w:type="gramStart"/>
      <w:r w:rsidRPr="003B56D0">
        <w:rPr>
          <w:rFonts w:ascii="Times New Roman" w:eastAsia="Calibri" w:hAnsi="Times New Roman" w:cs="Times New Roman"/>
        </w:rPr>
        <w:t>the ETF</w:t>
      </w:r>
      <w:proofErr w:type="gramEnd"/>
      <w:r w:rsidRPr="003B56D0">
        <w:rPr>
          <w:rFonts w:ascii="Times New Roman" w:eastAsia="Calibri" w:hAnsi="Times New Roman" w:cs="Times New Roman"/>
        </w:rPr>
        <w:t xml:space="preserve"> has delivered an average annualized return of 2.01% and a dividend growth rate of 5.14%, reflecting its focus on high-credit-quality corporate bonds. With assets under management of approximately $41.48 billion as of November 2024 and a low expense ratio of </w:t>
      </w:r>
      <w:r w:rsidRPr="003B56D0">
        <w:rPr>
          <w:rFonts w:ascii="Times New Roman" w:eastAsia="Calibri" w:hAnsi="Times New Roman" w:cs="Times New Roman"/>
        </w:rPr>
        <w:lastRenderedPageBreak/>
        <w:t>0.04%, VCSH is an appealing option for conservative, cost-conscious investors. It offers a balance of minimal risk and steady income, making it particularly attractive to those seeking capital preservation and gradual returns.</w:t>
      </w:r>
    </w:p>
    <w:p w14:paraId="67E1C302" w14:textId="660ADD14" w:rsidR="2C331FD7" w:rsidRPr="003B56D0" w:rsidRDefault="2C331FD7" w:rsidP="2F9840D0">
      <w:pPr>
        <w:spacing w:line="276" w:lineRule="auto"/>
        <w:rPr>
          <w:rFonts w:ascii="Times New Roman" w:hAnsi="Times New Roman" w:cs="Times New Roman"/>
        </w:rPr>
      </w:pPr>
      <w:proofErr w:type="gramStart"/>
      <w:r w:rsidRPr="003B56D0">
        <w:rPr>
          <w:rFonts w:ascii="Times New Roman" w:eastAsia="Calibri" w:hAnsi="Times New Roman" w:cs="Times New Roman"/>
        </w:rPr>
        <w:t>The ETF</w:t>
      </w:r>
      <w:proofErr w:type="gramEnd"/>
      <w:r w:rsidRPr="003B56D0">
        <w:rPr>
          <w:rFonts w:ascii="Times New Roman" w:eastAsia="Calibri" w:hAnsi="Times New Roman" w:cs="Times New Roman"/>
        </w:rPr>
        <w:t xml:space="preserve"> experienced a significant downturn in 2020 due to the market volatility triggered by the COVID-19 pandemic, which caused a sharp decline in bond prices as investors shifted to safer assets. However, VCSH quickly rebounded following emergency Federal Reserve measures, including bond-buying programs, to restore liquidity. Vanguard’s focus on short-duration, high-credit-quality bonds further strengthened investor confidence during this period of recovery. Looking forward to 2025, VCSH is projected to maintain moderate, stable growth driven by improving economic conditions and continued demand for fixed-income assets, positioning it as a reliable long-term investment for conservative investors focused on stability and gradual capital appreciation</w:t>
      </w:r>
      <w:r w:rsidR="6F30A684" w:rsidRPr="003B56D0">
        <w:rPr>
          <w:rFonts w:ascii="Times New Roman" w:eastAsia="Calibri" w:hAnsi="Times New Roman" w:cs="Times New Roman"/>
        </w:rPr>
        <w:t>.</w:t>
      </w:r>
    </w:p>
    <w:p w14:paraId="1D04F3F5" w14:textId="72B40AA3" w:rsidR="2F9840D0" w:rsidRPr="003B56D0" w:rsidRDefault="2F9840D0" w:rsidP="2F9840D0">
      <w:pPr>
        <w:spacing w:line="276" w:lineRule="auto"/>
        <w:rPr>
          <w:rFonts w:ascii="Times New Roman" w:eastAsia="Calibri" w:hAnsi="Times New Roman" w:cs="Times New Roman"/>
        </w:rPr>
      </w:pPr>
    </w:p>
    <w:p w14:paraId="3F4C96B4" w14:textId="259DCAFA" w:rsidR="6F30A684" w:rsidRPr="003B56D0" w:rsidRDefault="6F30A684" w:rsidP="2F9840D0">
      <w:pPr>
        <w:spacing w:line="276" w:lineRule="auto"/>
        <w:rPr>
          <w:rFonts w:ascii="Times New Roman" w:hAnsi="Times New Roman" w:cs="Times New Roman"/>
        </w:rPr>
      </w:pPr>
      <w:r w:rsidRPr="003B56D0">
        <w:rPr>
          <w:rFonts w:ascii="Times New Roman" w:hAnsi="Times New Roman" w:cs="Times New Roman"/>
          <w:noProof/>
        </w:rPr>
        <w:drawing>
          <wp:inline distT="0" distB="0" distL="0" distR="0" wp14:anchorId="07BEC479" wp14:editId="5669C806">
            <wp:extent cx="4285860" cy="1896020"/>
            <wp:effectExtent l="0" t="0" r="0" b="0"/>
            <wp:docPr id="744331984" name="Picture 74433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285860" cy="1896020"/>
                    </a:xfrm>
                    <a:prstGeom prst="rect">
                      <a:avLst/>
                    </a:prstGeom>
                  </pic:spPr>
                </pic:pic>
              </a:graphicData>
            </a:graphic>
          </wp:inline>
        </w:drawing>
      </w:r>
    </w:p>
    <w:p w14:paraId="7735AE4D" w14:textId="7C65062F" w:rsidR="2F9840D0" w:rsidRPr="003B56D0" w:rsidRDefault="2F9840D0" w:rsidP="2F9840D0">
      <w:pPr>
        <w:spacing w:line="276" w:lineRule="auto"/>
        <w:rPr>
          <w:rFonts w:ascii="Times New Roman" w:eastAsia="Calibri" w:hAnsi="Times New Roman" w:cs="Times New Roman"/>
        </w:rPr>
      </w:pPr>
    </w:p>
    <w:p w14:paraId="2BD48CEC" w14:textId="043FFA20" w:rsidR="2C331FD7" w:rsidRPr="003B56D0" w:rsidRDefault="2C331FD7" w:rsidP="2F9840D0">
      <w:pPr>
        <w:spacing w:line="276" w:lineRule="auto"/>
        <w:rPr>
          <w:rFonts w:ascii="Times New Roman" w:eastAsia="Calibri" w:hAnsi="Times New Roman" w:cs="Times New Roman"/>
        </w:rPr>
      </w:pPr>
      <w:r w:rsidRPr="003B56D0">
        <w:rPr>
          <w:rFonts w:ascii="Times New Roman" w:eastAsia="Times New Roman" w:hAnsi="Times New Roman" w:cs="Times New Roman"/>
        </w:rPr>
        <w:t>6)</w:t>
      </w:r>
      <w:r w:rsidRPr="003B56D0">
        <w:rPr>
          <w:rFonts w:ascii="Times New Roman" w:eastAsia="Times New Roman" w:hAnsi="Times New Roman" w:cs="Times New Roman"/>
          <w:u w:val="single"/>
        </w:rPr>
        <w:t>Industry Expert Recommendations:</w:t>
      </w:r>
    </w:p>
    <w:p w14:paraId="5714619B" w14:textId="6C45E00A" w:rsidR="2C331FD7" w:rsidRPr="003B56D0" w:rsidRDefault="2C331FD7"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Financial analysts often recommend the Vanguard Short-Term Corporate Bond ETF (VCSH) for its stability, low cost, and reliable returns. This recommendation stems from several key factors: its focus on high-credit-quality, short-duration corporate bonds, which offer lower volatility and minimize interest rate risk compared to long-term bonds. </w:t>
      </w:r>
      <w:proofErr w:type="gramStart"/>
      <w:r w:rsidRPr="003B56D0">
        <w:rPr>
          <w:rFonts w:ascii="Times New Roman" w:eastAsia="Times New Roman" w:hAnsi="Times New Roman" w:cs="Times New Roman"/>
        </w:rPr>
        <w:t>The ETF's</w:t>
      </w:r>
      <w:proofErr w:type="gramEnd"/>
      <w:r w:rsidRPr="003B56D0">
        <w:rPr>
          <w:rFonts w:ascii="Times New Roman" w:eastAsia="Times New Roman" w:hAnsi="Times New Roman" w:cs="Times New Roman"/>
        </w:rPr>
        <w:t xml:space="preserve"> ultra-low expense ratio of 0.04% makes it an attractive option for cost-conscious investors. VCSH is consistently ranked among the top bond ETFs by platforms like Morningstar, where it receives praise for its ability to generate steady income while maintaining a balanced approach to risk management. Experts highlight its value in conservative portfolios, particularly during periods of market volatility, as it provides a stable income stream and reduces exposure to longer-term market fluctuations. The fund’s strong historical performance, combined with its risk-conscious approach, positions it as a dependable choice for investors seeking gradual growth and capital preservation.</w:t>
      </w:r>
    </w:p>
    <w:p w14:paraId="69987B7B" w14:textId="209BEA6A" w:rsidR="2C331FD7" w:rsidRPr="003B56D0" w:rsidRDefault="2C331FD7" w:rsidP="2F9840D0">
      <w:pPr>
        <w:spacing w:before="240" w:after="240"/>
        <w:rPr>
          <w:rFonts w:ascii="Times New Roman" w:hAnsi="Times New Roman" w:cs="Times New Roman"/>
        </w:rPr>
      </w:pPr>
      <w:r w:rsidRPr="003B56D0">
        <w:rPr>
          <w:rFonts w:ascii="Times New Roman" w:eastAsia="Times New Roman" w:hAnsi="Times New Roman" w:cs="Times New Roman"/>
        </w:rPr>
        <w:lastRenderedPageBreak/>
        <w:t xml:space="preserve">7)The projected long-term growth of the Vanguard Short-Term Corporate Bond ETF (VCSH) is closely tied to the overall health of the U.S. economy. Positive macroeconomic factors, such as moderate GDP expansion and low default rates among investment-grade corporate </w:t>
      </w:r>
      <w:proofErr w:type="gramStart"/>
      <w:r w:rsidRPr="003B56D0">
        <w:rPr>
          <w:rFonts w:ascii="Times New Roman" w:eastAsia="Times New Roman" w:hAnsi="Times New Roman" w:cs="Times New Roman"/>
        </w:rPr>
        <w:t>issuers</w:t>
      </w:r>
      <w:proofErr w:type="gramEnd"/>
      <w:r w:rsidRPr="003B56D0">
        <w:rPr>
          <w:rFonts w:ascii="Times New Roman" w:eastAsia="Times New Roman" w:hAnsi="Times New Roman" w:cs="Times New Roman"/>
        </w:rPr>
        <w:t xml:space="preserve">, create a favorable environment for the ETF. The continued growth of the U.S. economy supports the performance of corporate issuers in VCSH’s portfolio, as they are well-positioned to benefit from an improving economic outlook. With stable economic conditions, VCSH is likely to see sustained demand for its high-credit-quality, short-duration bonds, contributing to its potential for steady returns. Moreover, interest rates and consistent corporate earnings further enhance </w:t>
      </w:r>
      <w:proofErr w:type="gramStart"/>
      <w:r w:rsidRPr="003B56D0">
        <w:rPr>
          <w:rFonts w:ascii="Times New Roman" w:eastAsia="Times New Roman" w:hAnsi="Times New Roman" w:cs="Times New Roman"/>
        </w:rPr>
        <w:t>the ETF’s</w:t>
      </w:r>
      <w:proofErr w:type="gramEnd"/>
      <w:r w:rsidRPr="003B56D0">
        <w:rPr>
          <w:rFonts w:ascii="Times New Roman" w:eastAsia="Times New Roman" w:hAnsi="Times New Roman" w:cs="Times New Roman"/>
        </w:rPr>
        <w:t xml:space="preserve"> future growth prospects. </w:t>
      </w:r>
    </w:p>
    <w:p w14:paraId="76F7B64D" w14:textId="14043EE2" w:rsidR="0D6A0DDC" w:rsidRPr="003B56D0" w:rsidRDefault="0D6A0DDC" w:rsidP="2F9840D0">
      <w:pPr>
        <w:spacing w:before="240" w:after="240"/>
        <w:rPr>
          <w:rFonts w:ascii="Times New Roman" w:hAnsi="Times New Roman" w:cs="Times New Roman"/>
        </w:rPr>
      </w:pPr>
      <w:r w:rsidRPr="003B56D0">
        <w:rPr>
          <w:rFonts w:ascii="Times New Roman" w:hAnsi="Times New Roman" w:cs="Times New Roman"/>
          <w:noProof/>
        </w:rPr>
        <w:drawing>
          <wp:inline distT="0" distB="0" distL="0" distR="0" wp14:anchorId="7069215F" wp14:editId="7549DD8B">
            <wp:extent cx="5584419" cy="1713124"/>
            <wp:effectExtent l="0" t="0" r="0" b="0"/>
            <wp:docPr id="1900368465" name="Picture 190036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84419" cy="1713124"/>
                    </a:xfrm>
                    <a:prstGeom prst="rect">
                      <a:avLst/>
                    </a:prstGeom>
                  </pic:spPr>
                </pic:pic>
              </a:graphicData>
            </a:graphic>
          </wp:inline>
        </w:drawing>
      </w:r>
    </w:p>
    <w:p w14:paraId="6DEBD94D" w14:textId="404F5740" w:rsidR="2C331FD7" w:rsidRPr="003B56D0" w:rsidRDefault="2C331FD7"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 </w:t>
      </w:r>
    </w:p>
    <w:tbl>
      <w:tblPr>
        <w:tblW w:w="0" w:type="auto"/>
        <w:tblInd w:w="135" w:type="dxa"/>
        <w:tblLayout w:type="fixed"/>
        <w:tblLook w:val="04A0" w:firstRow="1" w:lastRow="0" w:firstColumn="1" w:lastColumn="0" w:noHBand="0" w:noVBand="1"/>
      </w:tblPr>
      <w:tblGrid>
        <w:gridCol w:w="1620"/>
        <w:gridCol w:w="1620"/>
        <w:gridCol w:w="1620"/>
        <w:gridCol w:w="1620"/>
        <w:gridCol w:w="1620"/>
      </w:tblGrid>
      <w:tr w:rsidR="2F9840D0" w:rsidRPr="003B56D0" w14:paraId="56DC8B81" w14:textId="77777777" w:rsidTr="2F9840D0">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5E9852" w14:textId="75CB4D4B"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Symbol  </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B0B81" w14:textId="3E0ECFE1"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Description  </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F08422" w14:textId="73509150"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Transaction  </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B73ADE" w14:textId="54343DAC"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Quantity  </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BF6A8" w14:textId="12F2348B"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Current Price  </w:t>
            </w:r>
          </w:p>
        </w:tc>
      </w:tr>
      <w:tr w:rsidR="2F9840D0" w:rsidRPr="003B56D0" w14:paraId="5DD10896" w14:textId="77777777" w:rsidTr="2F9840D0">
        <w:trPr>
          <w:trHeight w:val="300"/>
        </w:trPr>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166362" w14:textId="7BFA8597"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VCSH</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E3195" w14:textId="004D37D5"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 NYSE</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C3235" w14:textId="72C2F00E"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Vanguard Guard Short-Term Corporate Bond ETF</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9B101" w14:textId="03F49148"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114</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828CDA" w14:textId="382BB03A" w:rsidR="2F9840D0" w:rsidRPr="003B56D0" w:rsidRDefault="2F9840D0" w:rsidP="2F9840D0">
            <w:pPr>
              <w:spacing w:before="240" w:after="240"/>
              <w:rPr>
                <w:rFonts w:ascii="Times New Roman" w:hAnsi="Times New Roman" w:cs="Times New Roman"/>
              </w:rPr>
            </w:pPr>
            <w:r w:rsidRPr="003B56D0">
              <w:rPr>
                <w:rFonts w:ascii="Times New Roman" w:eastAsia="Times New Roman" w:hAnsi="Times New Roman" w:cs="Times New Roman"/>
              </w:rPr>
              <w:t>78.65</w:t>
            </w:r>
          </w:p>
        </w:tc>
      </w:tr>
    </w:tbl>
    <w:p w14:paraId="6FDFD0DD" w14:textId="45DCCD5E" w:rsidR="2C331FD7" w:rsidRPr="003B56D0" w:rsidRDefault="2C331FD7"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 </w:t>
      </w:r>
    </w:p>
    <w:p w14:paraId="4EEE60ED" w14:textId="30C53CBC" w:rsidR="2C331FD7" w:rsidRPr="003B56D0" w:rsidRDefault="2C331FD7" w:rsidP="2F9840D0">
      <w:pPr>
        <w:spacing w:line="276" w:lineRule="auto"/>
        <w:rPr>
          <w:rFonts w:ascii="Times New Roman" w:hAnsi="Times New Roman" w:cs="Times New Roman"/>
        </w:rPr>
      </w:pPr>
      <w:r w:rsidRPr="003B56D0">
        <w:rPr>
          <w:rFonts w:ascii="Times New Roman" w:eastAsia="Times New Roman" w:hAnsi="Times New Roman" w:cs="Times New Roman"/>
        </w:rPr>
        <w:t xml:space="preserve">We invested $9,000 approximately into </w:t>
      </w:r>
      <w:proofErr w:type="gramStart"/>
      <w:r w:rsidRPr="003B56D0">
        <w:rPr>
          <w:rFonts w:ascii="Times New Roman" w:eastAsia="Times New Roman" w:hAnsi="Times New Roman" w:cs="Times New Roman"/>
        </w:rPr>
        <w:t>114 of</w:t>
      </w:r>
      <w:proofErr w:type="gramEnd"/>
      <w:r w:rsidRPr="003B56D0">
        <w:rPr>
          <w:rFonts w:ascii="Times New Roman" w:eastAsia="Times New Roman" w:hAnsi="Times New Roman" w:cs="Times New Roman"/>
        </w:rPr>
        <w:t xml:space="preserve"> TLT bonds because of the 6 previously stated reasons. We evenly distributed 9% to each of our funds towards 5 out of the 5 bonds we have chosen as we are confident in the diversity in our portfolio and see them as all attractive investments.     </w:t>
      </w:r>
    </w:p>
    <w:p w14:paraId="4989789D" w14:textId="50D15E04" w:rsidR="2C331FD7" w:rsidRPr="003B56D0" w:rsidRDefault="2C331FD7" w:rsidP="2F9840D0">
      <w:pPr>
        <w:spacing w:before="240" w:after="240"/>
        <w:rPr>
          <w:rFonts w:ascii="Times New Roman" w:hAnsi="Times New Roman" w:cs="Times New Roman"/>
        </w:rPr>
      </w:pPr>
      <w:r w:rsidRPr="003B56D0">
        <w:rPr>
          <w:rFonts w:ascii="Times New Roman" w:eastAsia="Times New Roman" w:hAnsi="Times New Roman" w:cs="Times New Roman"/>
        </w:rPr>
        <w:t xml:space="preserve">For the VCSH Bonds:   </w:t>
      </w:r>
    </w:p>
    <w:p w14:paraId="6F1E2E45" w14:textId="77777777" w:rsidR="003B56D0" w:rsidRPr="00A74C00" w:rsidRDefault="003B56D0" w:rsidP="003B56D0">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73E2089F" w14:textId="77777777" w:rsidR="003B56D0" w:rsidRPr="00A74C00" w:rsidRDefault="003B56D0" w:rsidP="003B56D0">
      <w:pPr>
        <w:spacing w:after="200" w:line="276" w:lineRule="auto"/>
        <w:rPr>
          <w:rFonts w:ascii="Times New Roman" w:hAnsi="Times New Roman" w:cs="Times New Roman"/>
        </w:rPr>
      </w:pPr>
      <w:r w:rsidRPr="00A74C00">
        <w:rPr>
          <w:rFonts w:ascii="Times New Roman" w:eastAsia="Calibri" w:hAnsi="Times New Roman" w:cs="Times New Roman"/>
        </w:rPr>
        <w:lastRenderedPageBreak/>
        <w:t xml:space="preserve">  Where:  </w:t>
      </w:r>
    </w:p>
    <w:p w14:paraId="4171A9D5" w14:textId="77777777" w:rsidR="003B56D0" w:rsidRPr="00A74C00" w:rsidRDefault="003B56D0" w:rsidP="003B56D0">
      <w:pPr>
        <w:pStyle w:val="ListParagraph"/>
        <w:numPr>
          <w:ilvl w:val="0"/>
          <w:numId w:val="53"/>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Rf = Risk-Free Rate = 4.74% (US Treasury 3 Month Bill)  </w:t>
      </w:r>
    </w:p>
    <w:p w14:paraId="408D23C6" w14:textId="0E898B89" w:rsidR="003B56D0" w:rsidRPr="00A74C00" w:rsidRDefault="003B56D0" w:rsidP="003B56D0">
      <w:pPr>
        <w:pStyle w:val="ListParagraph"/>
        <w:numPr>
          <w:ilvl w:val="0"/>
          <w:numId w:val="52"/>
        </w:numPr>
        <w:spacing w:after="0" w:line="276" w:lineRule="auto"/>
        <w:rPr>
          <w:rFonts w:ascii="Times New Roman" w:eastAsia="Calibri" w:hAnsi="Times New Roman" w:cs="Times New Roman"/>
        </w:rPr>
      </w:pPr>
      <w:r w:rsidRPr="00A74C00">
        <w:rPr>
          <w:rFonts w:ascii="Times New Roman" w:eastAsia="Calibri" w:hAnsi="Times New Roman" w:cs="Times New Roman"/>
        </w:rPr>
        <w:t>B = Beta = 0.</w:t>
      </w:r>
      <w:r w:rsidR="00B31664">
        <w:rPr>
          <w:rFonts w:ascii="Times New Roman" w:eastAsia="Calibri" w:hAnsi="Times New Roman" w:cs="Times New Roman"/>
        </w:rPr>
        <w:t>48</w:t>
      </w:r>
      <w:r w:rsidRPr="00A74C00">
        <w:rPr>
          <w:rFonts w:ascii="Times New Roman" w:eastAsia="Calibri" w:hAnsi="Times New Roman" w:cs="Times New Roman"/>
        </w:rPr>
        <w:t xml:space="preserve"> measure of </w:t>
      </w:r>
      <w:r w:rsidR="00B31664">
        <w:rPr>
          <w:rFonts w:ascii="Times New Roman" w:eastAsia="Calibri" w:hAnsi="Times New Roman" w:cs="Times New Roman"/>
        </w:rPr>
        <w:t xml:space="preserve">VCSH’s ETF </w:t>
      </w:r>
      <w:r w:rsidRPr="00A74C00">
        <w:rPr>
          <w:rFonts w:ascii="Times New Roman" w:eastAsia="Calibri" w:hAnsi="Times New Roman" w:cs="Times New Roman"/>
        </w:rPr>
        <w:t xml:space="preserve">price volatility  </w:t>
      </w:r>
    </w:p>
    <w:p w14:paraId="01A24324" w14:textId="77777777" w:rsidR="003B56D0" w:rsidRPr="00A74C00" w:rsidRDefault="003B56D0" w:rsidP="003B56D0">
      <w:pPr>
        <w:pStyle w:val="ListParagraph"/>
        <w:numPr>
          <w:ilvl w:val="0"/>
          <w:numId w:val="51"/>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E(Rm) = Expected return on the market = our benchmark which is a 10-year average of </w:t>
      </w:r>
      <w:proofErr w:type="gramStart"/>
      <w:r w:rsidRPr="00A74C00">
        <w:rPr>
          <w:rFonts w:ascii="Times New Roman" w:eastAsia="Calibri" w:hAnsi="Times New Roman" w:cs="Times New Roman"/>
        </w:rPr>
        <w:t>the S</w:t>
      </w:r>
      <w:proofErr w:type="gramEnd"/>
      <w:r w:rsidRPr="00A74C00">
        <w:rPr>
          <w:rFonts w:ascii="Times New Roman" w:eastAsia="Calibri" w:hAnsi="Times New Roman" w:cs="Times New Roman"/>
        </w:rPr>
        <w:t>&amp;P 500 = The average rate of return for the S&amp;P 500 since 2012 is 1</w:t>
      </w:r>
      <w:r>
        <w:rPr>
          <w:rFonts w:ascii="Times New Roman" w:eastAsia="Calibri" w:hAnsi="Times New Roman" w:cs="Times New Roman"/>
        </w:rPr>
        <w:t>3.22</w:t>
      </w:r>
      <w:r w:rsidRPr="00A74C00">
        <w:rPr>
          <w:rFonts w:ascii="Times New Roman" w:eastAsia="Calibri" w:hAnsi="Times New Roman" w:cs="Times New Roman"/>
        </w:rPr>
        <w:t xml:space="preserve">%  </w:t>
      </w:r>
    </w:p>
    <w:p w14:paraId="48F6783F" w14:textId="77777777" w:rsidR="003B56D0" w:rsidRPr="00A74C00" w:rsidRDefault="003B56D0" w:rsidP="003B56D0">
      <w:pPr>
        <w:spacing w:after="200" w:line="276" w:lineRule="auto"/>
        <w:rPr>
          <w:rFonts w:ascii="Times New Roman" w:hAnsi="Times New Roman" w:cs="Times New Roman"/>
        </w:rPr>
      </w:pPr>
      <w:r w:rsidRPr="00A74C00">
        <w:rPr>
          <w:rFonts w:ascii="Times New Roman" w:eastAsia="Calibri" w:hAnsi="Times New Roman" w:cs="Times New Roman"/>
        </w:rPr>
        <w:t xml:space="preserve">  </w:t>
      </w:r>
    </w:p>
    <w:p w14:paraId="326FDD42" w14:textId="77777777" w:rsidR="003B56D0" w:rsidRPr="00A74C00" w:rsidRDefault="003B56D0" w:rsidP="003B56D0">
      <w:pPr>
        <w:spacing w:after="200" w:line="276" w:lineRule="auto"/>
        <w:rPr>
          <w:rFonts w:ascii="Times New Roman" w:hAnsi="Times New Roman" w:cs="Times New Roman"/>
        </w:rPr>
      </w:pPr>
      <w:r w:rsidRPr="00A74C00">
        <w:rPr>
          <w:rFonts w:ascii="Times New Roman" w:eastAsia="Calibri" w:hAnsi="Times New Roman" w:cs="Times New Roman"/>
        </w:rPr>
        <w:t xml:space="preserve">Therefore:  </w:t>
      </w:r>
    </w:p>
    <w:p w14:paraId="08880027" w14:textId="77777777" w:rsidR="003B56D0" w:rsidRPr="00A74C00" w:rsidRDefault="003B56D0" w:rsidP="003B56D0">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647A7D1B" w14:textId="02D4442E" w:rsidR="003B56D0" w:rsidRPr="00A74C00" w:rsidRDefault="003B56D0" w:rsidP="003B56D0">
      <w:pPr>
        <w:spacing w:after="200" w:line="276" w:lineRule="auto"/>
        <w:rPr>
          <w:rFonts w:ascii="Times New Roman" w:hAnsi="Times New Roman" w:cs="Times New Roman"/>
        </w:rPr>
      </w:pPr>
      <w:r w:rsidRPr="00A74C00">
        <w:rPr>
          <w:rFonts w:ascii="Times New Roman" w:eastAsia="Calibri" w:hAnsi="Times New Roman" w:cs="Times New Roman"/>
        </w:rPr>
        <w:t>= 4.74% + 0.</w:t>
      </w:r>
      <w:r w:rsidR="00B31664">
        <w:rPr>
          <w:rFonts w:ascii="Times New Roman" w:eastAsia="Calibri" w:hAnsi="Times New Roman" w:cs="Times New Roman"/>
        </w:rPr>
        <w:t>48</w:t>
      </w:r>
      <w:r w:rsidRPr="00A74C00">
        <w:rPr>
          <w:rFonts w:ascii="Times New Roman" w:eastAsia="Calibri" w:hAnsi="Times New Roman" w:cs="Times New Roman"/>
        </w:rPr>
        <w:t xml:space="preserve"> * [1</w:t>
      </w:r>
      <w:r>
        <w:rPr>
          <w:rFonts w:ascii="Times New Roman" w:eastAsia="Calibri" w:hAnsi="Times New Roman" w:cs="Times New Roman"/>
        </w:rPr>
        <w:t>3.22</w:t>
      </w:r>
      <w:r w:rsidRPr="00A74C00">
        <w:rPr>
          <w:rFonts w:ascii="Times New Roman" w:eastAsia="Calibri" w:hAnsi="Times New Roman" w:cs="Times New Roman"/>
        </w:rPr>
        <w:t xml:space="preserve">%-4.74%]  </w:t>
      </w:r>
    </w:p>
    <w:p w14:paraId="4A1E63B4" w14:textId="74E18604" w:rsidR="003B56D0" w:rsidRPr="00A74C00" w:rsidRDefault="003B56D0" w:rsidP="003B56D0">
      <w:pPr>
        <w:spacing w:after="200" w:line="276" w:lineRule="auto"/>
        <w:rPr>
          <w:rFonts w:ascii="Times New Roman" w:hAnsi="Times New Roman" w:cs="Times New Roman"/>
        </w:rPr>
      </w:pPr>
      <w:r w:rsidRPr="00A74C00">
        <w:rPr>
          <w:rFonts w:ascii="Times New Roman" w:eastAsia="Calibri" w:hAnsi="Times New Roman" w:cs="Times New Roman"/>
        </w:rPr>
        <w:t xml:space="preserve">= </w:t>
      </w:r>
      <w:r w:rsidR="00B31664">
        <w:rPr>
          <w:rFonts w:ascii="Times New Roman" w:eastAsia="Calibri" w:hAnsi="Times New Roman" w:cs="Times New Roman"/>
          <w:highlight w:val="lightGray"/>
        </w:rPr>
        <w:t>8.81</w:t>
      </w:r>
      <w:r w:rsidRPr="003B689C">
        <w:rPr>
          <w:rFonts w:ascii="Times New Roman" w:eastAsia="Calibri" w:hAnsi="Times New Roman" w:cs="Times New Roman"/>
          <w:highlight w:val="lightGray"/>
        </w:rPr>
        <w:t>%</w:t>
      </w:r>
      <w:r w:rsidRPr="00A74C00">
        <w:rPr>
          <w:rFonts w:ascii="Times New Roman" w:eastAsia="Calibri" w:hAnsi="Times New Roman" w:cs="Times New Roman"/>
        </w:rPr>
        <w:t xml:space="preserve"> </w:t>
      </w:r>
    </w:p>
    <w:p w14:paraId="39DA2D8F" w14:textId="77777777" w:rsidR="00F54BD6" w:rsidRDefault="00F54BD6" w:rsidP="00F54BD6"/>
    <w:p w14:paraId="4DF4A1D8" w14:textId="1BBC18A5" w:rsidR="00F54BD6" w:rsidRPr="007C255C" w:rsidRDefault="00F54BD6" w:rsidP="13FF8813">
      <w:r w:rsidRPr="00954930">
        <w:rPr>
          <w:rFonts w:ascii="Times New Roman" w:hAnsi="Times New Roman" w:cs="Times New Roman"/>
          <w:b/>
          <w:bCs/>
          <w:sz w:val="28"/>
          <w:szCs w:val="28"/>
        </w:rPr>
        <w:t xml:space="preserve">Investment </w:t>
      </w:r>
      <w:r>
        <w:rPr>
          <w:rFonts w:ascii="Times New Roman" w:hAnsi="Times New Roman" w:cs="Times New Roman"/>
          <w:b/>
          <w:bCs/>
          <w:sz w:val="28"/>
          <w:szCs w:val="28"/>
        </w:rPr>
        <w:t>10</w:t>
      </w:r>
      <w:r w:rsidRPr="00954930">
        <w:rPr>
          <w:rFonts w:ascii="Times New Roman" w:hAnsi="Times New Roman" w:cs="Times New Roman"/>
          <w:b/>
          <w:bCs/>
          <w:sz w:val="28"/>
          <w:szCs w:val="28"/>
        </w:rPr>
        <w:t>:</w:t>
      </w:r>
      <w:r w:rsidR="007C255C">
        <w:rPr>
          <w:rFonts w:ascii="Times New Roman" w:hAnsi="Times New Roman" w:cs="Times New Roman"/>
          <w:b/>
          <w:bCs/>
          <w:sz w:val="28"/>
          <w:szCs w:val="28"/>
        </w:rPr>
        <w:t xml:space="preserve"> Intuitive Surgical Inc. (NYSE: ISRG)</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028"/>
        <w:gridCol w:w="1215"/>
        <w:gridCol w:w="1190"/>
        <w:gridCol w:w="1204"/>
        <w:gridCol w:w="1293"/>
        <w:gridCol w:w="1247"/>
        <w:gridCol w:w="990"/>
        <w:gridCol w:w="1192"/>
      </w:tblGrid>
      <w:tr w:rsidR="13FF8813" w:rsidRPr="007C255C" w14:paraId="600540DA" w14:textId="77777777" w:rsidTr="13FF8813">
        <w:trPr>
          <w:trHeight w:val="285"/>
        </w:trPr>
        <w:tc>
          <w:tcPr>
            <w:tcW w:w="1028" w:type="dxa"/>
            <w:tcBorders>
              <w:top w:val="single" w:sz="8" w:space="0" w:color="auto"/>
              <w:left w:val="single" w:sz="8" w:space="0" w:color="auto"/>
              <w:bottom w:val="single" w:sz="8" w:space="0" w:color="auto"/>
              <w:right w:val="single" w:sz="8" w:space="0" w:color="auto"/>
            </w:tcBorders>
          </w:tcPr>
          <w:p w14:paraId="05AC6D9A" w14:textId="5ACDE540" w:rsidR="2199B425" w:rsidRPr="007C255C" w:rsidRDefault="2199B425" w:rsidP="13FF8813">
            <w:pPr>
              <w:spacing w:after="0"/>
              <w:rPr>
                <w:rFonts w:ascii="Times New Roman" w:eastAsia="Segoe UI" w:hAnsi="Times New Roman" w:cs="Times New Roman"/>
              </w:rPr>
            </w:pPr>
            <w:r w:rsidRPr="007C255C">
              <w:rPr>
                <w:rFonts w:ascii="Times New Roman" w:eastAsia="Segoe UI" w:hAnsi="Times New Roman" w:cs="Times New Roman"/>
              </w:rPr>
              <w:t>10</w:t>
            </w:r>
          </w:p>
        </w:tc>
        <w:tc>
          <w:tcPr>
            <w:tcW w:w="1215" w:type="dxa"/>
            <w:tcBorders>
              <w:top w:val="single" w:sz="8" w:space="0" w:color="auto"/>
              <w:left w:val="single" w:sz="8" w:space="0" w:color="auto"/>
              <w:bottom w:val="single" w:sz="8" w:space="0" w:color="auto"/>
              <w:right w:val="single" w:sz="8" w:space="0" w:color="auto"/>
            </w:tcBorders>
          </w:tcPr>
          <w:p w14:paraId="5242958A" w14:textId="24AE438E" w:rsidR="13FF8813" w:rsidRPr="007C255C" w:rsidRDefault="13FF8813" w:rsidP="13FF8813">
            <w:pPr>
              <w:spacing w:after="0"/>
              <w:rPr>
                <w:rFonts w:ascii="Times New Roman" w:hAnsi="Times New Roman" w:cs="Times New Roman"/>
              </w:rPr>
            </w:pPr>
            <w:r w:rsidRPr="007C255C">
              <w:rPr>
                <w:rFonts w:ascii="Times New Roman" w:eastAsia="Times New Roman" w:hAnsi="Times New Roman" w:cs="Times New Roman"/>
              </w:rPr>
              <w:t xml:space="preserve">Intuitive Surgical, Inc </w:t>
            </w:r>
          </w:p>
          <w:p w14:paraId="5F4286A9" w14:textId="53CBE7DC" w:rsidR="13FF8813" w:rsidRPr="007C255C" w:rsidRDefault="13FF8813" w:rsidP="13FF8813">
            <w:pPr>
              <w:spacing w:after="0"/>
              <w:rPr>
                <w:rFonts w:ascii="Times New Roman" w:hAnsi="Times New Roman" w:cs="Times New Roman"/>
              </w:rPr>
            </w:pPr>
            <w:r w:rsidRPr="007C255C">
              <w:rPr>
                <w:rFonts w:ascii="Times New Roman" w:eastAsia="Segoe UI" w:hAnsi="Times New Roman" w:cs="Times New Roman"/>
              </w:rPr>
              <w:t>(ISRG)</w:t>
            </w:r>
          </w:p>
        </w:tc>
        <w:tc>
          <w:tcPr>
            <w:tcW w:w="1190" w:type="dxa"/>
            <w:tcBorders>
              <w:top w:val="single" w:sz="8" w:space="0" w:color="auto"/>
              <w:left w:val="single" w:sz="8" w:space="0" w:color="auto"/>
              <w:bottom w:val="single" w:sz="8" w:space="0" w:color="auto"/>
              <w:right w:val="single" w:sz="8" w:space="0" w:color="auto"/>
            </w:tcBorders>
          </w:tcPr>
          <w:p w14:paraId="39F2496C" w14:textId="783B52E6" w:rsidR="13FF8813" w:rsidRPr="007C255C" w:rsidRDefault="13FF8813" w:rsidP="13FF8813">
            <w:pPr>
              <w:spacing w:after="0"/>
              <w:rPr>
                <w:rFonts w:ascii="Times New Roman" w:hAnsi="Times New Roman" w:cs="Times New Roman"/>
              </w:rPr>
            </w:pPr>
            <w:r w:rsidRPr="007C255C">
              <w:rPr>
                <w:rFonts w:ascii="Times New Roman" w:eastAsia="Segoe UI" w:hAnsi="Times New Roman" w:cs="Times New Roman"/>
              </w:rPr>
              <w:t>Common Stock</w:t>
            </w:r>
          </w:p>
        </w:tc>
        <w:tc>
          <w:tcPr>
            <w:tcW w:w="1204" w:type="dxa"/>
            <w:tcBorders>
              <w:top w:val="single" w:sz="8" w:space="0" w:color="auto"/>
              <w:left w:val="single" w:sz="8" w:space="0" w:color="auto"/>
              <w:bottom w:val="single" w:sz="8" w:space="0" w:color="auto"/>
              <w:right w:val="single" w:sz="8" w:space="0" w:color="auto"/>
            </w:tcBorders>
          </w:tcPr>
          <w:p w14:paraId="6C29D289" w14:textId="498BCD53" w:rsidR="13FF8813" w:rsidRPr="007C255C" w:rsidRDefault="13FF8813" w:rsidP="13FF8813">
            <w:pPr>
              <w:spacing w:after="0"/>
              <w:rPr>
                <w:rFonts w:ascii="Times New Roman" w:hAnsi="Times New Roman" w:cs="Times New Roman"/>
              </w:rPr>
            </w:pPr>
            <w:r w:rsidRPr="007C255C">
              <w:rPr>
                <w:rFonts w:ascii="Times New Roman" w:eastAsia="Calibri" w:hAnsi="Times New Roman" w:cs="Times New Roman"/>
                <w:color w:val="000000" w:themeColor="text1"/>
              </w:rPr>
              <w:t>NASDAQ</w:t>
            </w:r>
          </w:p>
          <w:p w14:paraId="1835F41E" w14:textId="638E83B4" w:rsidR="13FF8813" w:rsidRPr="007C255C" w:rsidRDefault="13FF8813" w:rsidP="13FF8813">
            <w:pPr>
              <w:spacing w:after="0"/>
              <w:rPr>
                <w:rFonts w:ascii="Times New Roman" w:hAnsi="Times New Roman" w:cs="Times New Roman"/>
              </w:rPr>
            </w:pPr>
            <w:r w:rsidRPr="007C255C">
              <w:rPr>
                <w:rFonts w:ascii="Times New Roman" w:eastAsia="Calibri" w:hAnsi="Times New Roman" w:cs="Times New Roman"/>
                <w:color w:val="000000" w:themeColor="text1"/>
              </w:rPr>
              <w:t xml:space="preserve"> GS </w:t>
            </w:r>
          </w:p>
        </w:tc>
        <w:tc>
          <w:tcPr>
            <w:tcW w:w="1293" w:type="dxa"/>
            <w:tcBorders>
              <w:top w:val="single" w:sz="8" w:space="0" w:color="auto"/>
              <w:left w:val="single" w:sz="8" w:space="0" w:color="auto"/>
              <w:bottom w:val="single" w:sz="8" w:space="0" w:color="auto"/>
              <w:right w:val="single" w:sz="8" w:space="0" w:color="auto"/>
            </w:tcBorders>
          </w:tcPr>
          <w:p w14:paraId="760EB680" w14:textId="1A54F623" w:rsidR="13FF8813" w:rsidRPr="007C255C" w:rsidRDefault="13FF8813" w:rsidP="13FF8813">
            <w:pPr>
              <w:spacing w:after="0"/>
              <w:rPr>
                <w:rFonts w:ascii="Times New Roman" w:hAnsi="Times New Roman" w:cs="Times New Roman"/>
              </w:rPr>
            </w:pPr>
            <w:r w:rsidRPr="007C255C">
              <w:rPr>
                <w:rFonts w:ascii="Times New Roman" w:eastAsia="Segoe UI" w:hAnsi="Times New Roman" w:cs="Times New Roman"/>
              </w:rPr>
              <w:t>Sunnyvale, California, USA</w:t>
            </w:r>
          </w:p>
        </w:tc>
        <w:tc>
          <w:tcPr>
            <w:tcW w:w="1247" w:type="dxa"/>
            <w:tcBorders>
              <w:top w:val="inset" w:sz="8" w:space="0" w:color="auto"/>
              <w:left w:val="single" w:sz="8" w:space="0" w:color="auto"/>
              <w:bottom w:val="inset" w:sz="8" w:space="0" w:color="auto"/>
              <w:right w:val="single" w:sz="8" w:space="0" w:color="auto"/>
            </w:tcBorders>
          </w:tcPr>
          <w:p w14:paraId="0F5A3916" w14:textId="308DB2A8" w:rsidR="13FF8813" w:rsidRPr="007C255C" w:rsidRDefault="13FF8813" w:rsidP="13FF8813">
            <w:pPr>
              <w:spacing w:line="257" w:lineRule="auto"/>
              <w:rPr>
                <w:rFonts w:ascii="Times New Roman" w:hAnsi="Times New Roman" w:cs="Times New Roman"/>
              </w:rPr>
            </w:pPr>
            <w:r w:rsidRPr="007C255C">
              <w:rPr>
                <w:rFonts w:ascii="Times New Roman" w:eastAsia="Calibri" w:hAnsi="Times New Roman" w:cs="Times New Roman"/>
              </w:rPr>
              <w:t>13550</w:t>
            </w:r>
          </w:p>
          <w:p w14:paraId="72E9BADB" w14:textId="0794F08E" w:rsidR="13FF8813" w:rsidRPr="007C255C" w:rsidRDefault="13FF8813" w:rsidP="13FF8813">
            <w:pPr>
              <w:spacing w:line="257" w:lineRule="auto"/>
              <w:rPr>
                <w:rFonts w:ascii="Times New Roman" w:hAnsi="Times New Roman" w:cs="Times New Roman"/>
              </w:rPr>
            </w:pPr>
            <w:r w:rsidRPr="007C255C">
              <w:rPr>
                <w:rFonts w:ascii="Times New Roman" w:eastAsia="Times New Roman" w:hAnsi="Times New Roman" w:cs="Times New Roman"/>
              </w:rPr>
              <w:t xml:space="preserve"> </w:t>
            </w:r>
          </w:p>
        </w:tc>
        <w:tc>
          <w:tcPr>
            <w:tcW w:w="990" w:type="dxa"/>
            <w:tcBorders>
              <w:top w:val="inset" w:sz="8" w:space="0" w:color="auto"/>
              <w:left w:val="single" w:sz="8" w:space="0" w:color="auto"/>
              <w:bottom w:val="inset" w:sz="8" w:space="0" w:color="auto"/>
              <w:right w:val="nil"/>
            </w:tcBorders>
          </w:tcPr>
          <w:p w14:paraId="11FF85E7" w14:textId="50086E60" w:rsidR="13FF8813" w:rsidRPr="007C255C" w:rsidRDefault="13FF8813" w:rsidP="13FF8813">
            <w:pPr>
              <w:spacing w:line="257" w:lineRule="auto"/>
              <w:rPr>
                <w:rFonts w:ascii="Times New Roman" w:hAnsi="Times New Roman" w:cs="Times New Roman"/>
              </w:rPr>
            </w:pPr>
            <w:r w:rsidRPr="007C255C">
              <w:rPr>
                <w:rFonts w:ascii="Times New Roman" w:eastAsia="Aptos" w:hAnsi="Times New Roman" w:cs="Times New Roman"/>
              </w:rPr>
              <w:t xml:space="preserve"> </w:t>
            </w:r>
          </w:p>
        </w:tc>
        <w:tc>
          <w:tcPr>
            <w:tcW w:w="1192" w:type="dxa"/>
            <w:tcBorders>
              <w:top w:val="inset" w:sz="8" w:space="0" w:color="auto"/>
              <w:left w:val="nil"/>
              <w:bottom w:val="inset" w:sz="8" w:space="0" w:color="auto"/>
              <w:right w:val="inset" w:sz="8" w:space="0" w:color="auto"/>
            </w:tcBorders>
          </w:tcPr>
          <w:p w14:paraId="6A303062" w14:textId="20E8D966" w:rsidR="13FF8813" w:rsidRPr="007C255C" w:rsidRDefault="13FF8813" w:rsidP="13FF8813">
            <w:pPr>
              <w:spacing w:line="257" w:lineRule="auto"/>
              <w:rPr>
                <w:rFonts w:ascii="Times New Roman" w:hAnsi="Times New Roman" w:cs="Times New Roman"/>
              </w:rPr>
            </w:pPr>
            <w:r w:rsidRPr="007C255C">
              <w:rPr>
                <w:rFonts w:ascii="Times New Roman" w:eastAsia="Calibri" w:hAnsi="Times New Roman" w:cs="Times New Roman"/>
              </w:rPr>
              <w:t xml:space="preserve">13.434% </w:t>
            </w:r>
          </w:p>
        </w:tc>
      </w:tr>
    </w:tbl>
    <w:p w14:paraId="15575322" w14:textId="32FC964A" w:rsidR="00F54BD6" w:rsidRPr="007C255C" w:rsidRDefault="39ED2E11" w:rsidP="13FF8813">
      <w:pPr>
        <w:spacing w:line="257" w:lineRule="auto"/>
        <w:rPr>
          <w:rFonts w:ascii="Times New Roman" w:hAnsi="Times New Roman" w:cs="Times New Roman"/>
        </w:rPr>
      </w:pPr>
      <w:r w:rsidRPr="007C255C">
        <w:rPr>
          <w:rFonts w:ascii="Times New Roman" w:eastAsia="Calibri" w:hAnsi="Times New Roman" w:cs="Times New Roman"/>
        </w:rPr>
        <w:t xml:space="preserve"> </w:t>
      </w:r>
    </w:p>
    <w:p w14:paraId="57C1E536" w14:textId="1FD5FC31" w:rsidR="00F54BD6" w:rsidRPr="007C255C" w:rsidRDefault="39ED2E11" w:rsidP="00FB7BFB">
      <w:pPr>
        <w:pStyle w:val="ListParagraph"/>
        <w:numPr>
          <w:ilvl w:val="0"/>
          <w:numId w:val="42"/>
        </w:numPr>
        <w:spacing w:after="0" w:line="257" w:lineRule="auto"/>
        <w:rPr>
          <w:rFonts w:ascii="Times New Roman" w:eastAsia="Calibri" w:hAnsi="Times New Roman" w:cs="Times New Roman"/>
        </w:rPr>
      </w:pPr>
      <w:r w:rsidRPr="007C255C">
        <w:rPr>
          <w:rFonts w:ascii="Times New Roman" w:eastAsia="Calibri" w:hAnsi="Times New Roman" w:cs="Times New Roman"/>
        </w:rPr>
        <w:t>Background of the company</w:t>
      </w:r>
    </w:p>
    <w:p w14:paraId="1F51B7DC" w14:textId="533BFAE2" w:rsidR="00F54BD6" w:rsidRPr="007C255C" w:rsidRDefault="39ED2E11" w:rsidP="13FF8813">
      <w:pPr>
        <w:rPr>
          <w:rFonts w:ascii="Times New Roman" w:hAnsi="Times New Roman" w:cs="Times New Roman"/>
        </w:rPr>
      </w:pPr>
      <w:r w:rsidRPr="007C255C">
        <w:rPr>
          <w:rFonts w:ascii="Times New Roman" w:eastAsia="Times New Roman" w:hAnsi="Times New Roman" w:cs="Times New Roman"/>
        </w:rPr>
        <w:t>Intuitive Surgical (ISRG), founded in 1995 and headquartered in Sunnyvale, California, is a pioneering leader in robotic-assisted surgery. Its flagship product, the da Vinci Surgical System, revolutionized minimally invasive surgery by improving precision, reducing complications, and enhancing patient recovery. The company also introduced the Ion endoluminal system, a cutting-edge device for minimally invasive lung biopsies.</w:t>
      </w:r>
    </w:p>
    <w:p w14:paraId="339B9EBA" w14:textId="782DE1FE" w:rsidR="00F54BD6" w:rsidRPr="007C255C" w:rsidRDefault="39ED2E11" w:rsidP="13FF8813">
      <w:pPr>
        <w:rPr>
          <w:rFonts w:ascii="Times New Roman" w:hAnsi="Times New Roman" w:cs="Times New Roman"/>
        </w:rPr>
      </w:pPr>
      <w:r w:rsidRPr="007C255C">
        <w:rPr>
          <w:rFonts w:ascii="Times New Roman" w:eastAsia="Times New Roman" w:hAnsi="Times New Roman" w:cs="Times New Roman"/>
        </w:rPr>
        <w:t xml:space="preserve">ISRG operates a robust business model, earning revenue through robotic system sales, consumable instruments, accessories, and maintenance services. Its strong recurring income stream provides financial stability, with 2024 revenues reaching $7.87 billion. Approximately 66% of its revenue comes from the U.S., while 34% stems from </w:t>
      </w:r>
      <w:r w:rsidR="00BC0463">
        <w:rPr>
          <w:rFonts w:ascii="Times New Roman" w:eastAsia="Times New Roman" w:hAnsi="Times New Roman" w:cs="Times New Roman"/>
        </w:rPr>
        <w:t xml:space="preserve">the </w:t>
      </w:r>
      <w:r w:rsidRPr="007C255C">
        <w:rPr>
          <w:rFonts w:ascii="Times New Roman" w:eastAsia="Times New Roman" w:hAnsi="Times New Roman" w:cs="Times New Roman"/>
        </w:rPr>
        <w:t>international market</w:t>
      </w:r>
      <w:r w:rsidR="00BC0463">
        <w:rPr>
          <w:rFonts w:ascii="Times New Roman" w:eastAsia="Times New Roman" w:hAnsi="Times New Roman" w:cs="Times New Roman"/>
        </w:rPr>
        <w:t xml:space="preserve"> w</w:t>
      </w:r>
      <w:r w:rsidRPr="007C255C">
        <w:rPr>
          <w:rFonts w:ascii="Times New Roman" w:eastAsia="Times New Roman" w:hAnsi="Times New Roman" w:cs="Times New Roman"/>
        </w:rPr>
        <w:t>ith a market capitalization of $194.52 billion, ISRG remains at the forefront of healthcare innovation. The company’s high margins and profitability (28.51% net margin in 2024) reflect its efficiency and market dominance. By investing heavily in research and development, ISRG continues to advance robotic-assisted technologies, further solidifying its leadership position in the growing field of minimally invasive surgery.</w:t>
      </w:r>
    </w:p>
    <w:p w14:paraId="7ACC3ECC" w14:textId="3183D81F" w:rsidR="00F54BD6" w:rsidRPr="007C255C" w:rsidRDefault="39ED2E11" w:rsidP="13FF8813">
      <w:pPr>
        <w:rPr>
          <w:rFonts w:ascii="Times New Roman" w:hAnsi="Times New Roman" w:cs="Times New Roman"/>
        </w:rPr>
      </w:pPr>
      <w:r w:rsidRPr="007C255C">
        <w:rPr>
          <w:rFonts w:ascii="Times New Roman" w:eastAsia="Times New Roman" w:hAnsi="Times New Roman" w:cs="Times New Roman"/>
        </w:rPr>
        <w:t xml:space="preserve">Intuitive </w:t>
      </w:r>
      <w:proofErr w:type="spellStart"/>
      <w:r w:rsidRPr="007C255C">
        <w:rPr>
          <w:rFonts w:ascii="Times New Roman" w:eastAsia="Times New Roman" w:hAnsi="Times New Roman" w:cs="Times New Roman"/>
        </w:rPr>
        <w:t>Surgical’s</w:t>
      </w:r>
      <w:proofErr w:type="spellEnd"/>
      <w:r w:rsidRPr="007C255C">
        <w:rPr>
          <w:rFonts w:ascii="Times New Roman" w:eastAsia="Times New Roman" w:hAnsi="Times New Roman" w:cs="Times New Roman"/>
        </w:rPr>
        <w:t xml:space="preserve"> commitment to improving patient outcomes and advancing surgical techniques ensures its continued impact on global healthcare.</w:t>
      </w:r>
    </w:p>
    <w:p w14:paraId="0F3BBB29" w14:textId="5A373B5E" w:rsidR="00F54BD6" w:rsidRPr="00570BFB" w:rsidRDefault="39ED2E11" w:rsidP="00FB7BFB">
      <w:pPr>
        <w:pStyle w:val="ListParagraph"/>
        <w:numPr>
          <w:ilvl w:val="0"/>
          <w:numId w:val="62"/>
        </w:numPr>
        <w:spacing w:after="0"/>
        <w:rPr>
          <w:rFonts w:ascii="Times New Roman" w:eastAsia="Calibri" w:hAnsi="Times New Roman" w:cs="Times New Roman"/>
          <w:color w:val="000000" w:themeColor="text1"/>
        </w:rPr>
      </w:pPr>
      <w:r w:rsidRPr="00570BFB">
        <w:rPr>
          <w:rFonts w:ascii="Times New Roman" w:eastAsia="Calibri" w:hAnsi="Times New Roman" w:cs="Times New Roman"/>
          <w:color w:val="000000" w:themeColor="text1"/>
        </w:rPr>
        <w:lastRenderedPageBreak/>
        <w:t xml:space="preserve">Fundamental Analysis: </w:t>
      </w:r>
      <w:r w:rsidRPr="00570BFB">
        <w:rPr>
          <w:rFonts w:ascii="Times New Roman" w:eastAsia="Calibri" w:hAnsi="Times New Roman" w:cs="Times New Roman"/>
          <w:i/>
          <w:iCs/>
          <w:color w:val="000000" w:themeColor="text1"/>
        </w:rPr>
        <w:t>Reasons why we chose to invest in this security</w:t>
      </w:r>
      <w:r w:rsidRPr="00570BFB">
        <w:rPr>
          <w:rFonts w:ascii="Times New Roman" w:eastAsia="Calibri" w:hAnsi="Times New Roman" w:cs="Times New Roman"/>
          <w:color w:val="000000" w:themeColor="text1"/>
        </w:rPr>
        <w:t xml:space="preserve"> </w:t>
      </w:r>
    </w:p>
    <w:p w14:paraId="2A469E24" w14:textId="45874B1B" w:rsidR="00F54BD6" w:rsidRPr="007C255C" w:rsidRDefault="39ED2E11" w:rsidP="13FF8813">
      <w:pPr>
        <w:rPr>
          <w:rFonts w:ascii="Times New Roman" w:hAnsi="Times New Roman" w:cs="Times New Roman"/>
        </w:rPr>
      </w:pPr>
      <w:r w:rsidRPr="007C255C">
        <w:rPr>
          <w:rFonts w:ascii="Times New Roman" w:eastAsia="Calibri" w:hAnsi="Times New Roman" w:cs="Times New Roman"/>
          <w:color w:val="000000" w:themeColor="text1"/>
        </w:rPr>
        <w:t xml:space="preserve"> Reason 1: Valuation Assessment: Reasonable Price-to-Earnings (P/E) Ratio </w:t>
      </w:r>
    </w:p>
    <w:p w14:paraId="46DE5007" w14:textId="788F7C8B" w:rsidR="00F54BD6" w:rsidRPr="007C255C" w:rsidRDefault="39ED2E11" w:rsidP="13FF8813">
      <w:pPr>
        <w:rPr>
          <w:rFonts w:ascii="Times New Roman" w:hAnsi="Times New Roman" w:cs="Times New Roman"/>
        </w:rPr>
      </w:pPr>
      <w:r w:rsidRPr="007C255C">
        <w:rPr>
          <w:rFonts w:ascii="Times New Roman" w:eastAsia="Calibri" w:hAnsi="Times New Roman" w:cs="Times New Roman"/>
        </w:rPr>
        <w:t>For Intuitive Surgical (ISRG), the Price-to-Earnings (P/E) Ratio is 87.84 (trailing) and 72.86.</w:t>
      </w:r>
    </w:p>
    <w:p w14:paraId="1E2F41F2" w14:textId="7C4D3A5C" w:rsidR="00F54BD6" w:rsidRPr="007C255C" w:rsidRDefault="39ED2E11" w:rsidP="13FF8813">
      <w:pPr>
        <w:spacing w:after="0"/>
        <w:rPr>
          <w:rFonts w:ascii="Times New Roman" w:hAnsi="Times New Roman" w:cs="Times New Roman"/>
        </w:rPr>
      </w:pPr>
      <w:r w:rsidRPr="007C255C">
        <w:rPr>
          <w:rFonts w:ascii="Times New Roman" w:eastAsia="Symbol" w:hAnsi="Times New Roman" w:cs="Times New Roman"/>
        </w:rPr>
        <w:t>·</w:t>
      </w:r>
      <w:r w:rsidRPr="007C255C">
        <w:rPr>
          <w:rFonts w:ascii="Times New Roman" w:eastAsia="Times New Roman" w:hAnsi="Times New Roman" w:cs="Times New Roman"/>
        </w:rPr>
        <w:t xml:space="preserve">  These P/E ratios are significantly higher than the healthcare sector average, reflecting strong market confidence in ISRG’s growth potential but suggesting it may be overvalued compared to peers.</w:t>
      </w:r>
      <w:r w:rsidR="00BC0463">
        <w:rPr>
          <w:rFonts w:ascii="Times New Roman" w:hAnsi="Times New Roman" w:cs="Times New Roman"/>
        </w:rPr>
        <w:t xml:space="preserve"> </w:t>
      </w:r>
      <w:r w:rsidRPr="007C255C">
        <w:rPr>
          <w:rFonts w:ascii="Times New Roman" w:eastAsia="Times New Roman" w:hAnsi="Times New Roman" w:cs="Times New Roman"/>
        </w:rPr>
        <w:t>Investors should note that while high P/E ratios are common in high-growth sectors, ISRG's PEG ratio (4.04) indicates its valuation might not fully align with its growth rate .</w:t>
      </w:r>
    </w:p>
    <w:p w14:paraId="1D1CC60D" w14:textId="791D986B" w:rsidR="00F54BD6" w:rsidRPr="007C255C" w:rsidRDefault="00F54BD6" w:rsidP="13FF8813">
      <w:pPr>
        <w:spacing w:after="0"/>
        <w:rPr>
          <w:rFonts w:ascii="Times New Roman" w:hAnsi="Times New Roman" w:cs="Times New Roman"/>
        </w:rPr>
      </w:pPr>
    </w:p>
    <w:p w14:paraId="02BEA9AF" w14:textId="1B964931" w:rsidR="00F54BD6" w:rsidRPr="007C255C" w:rsidRDefault="00F54BD6" w:rsidP="13FF8813">
      <w:pPr>
        <w:spacing w:after="0"/>
        <w:rPr>
          <w:rFonts w:ascii="Times New Roman" w:eastAsia="Times New Roman" w:hAnsi="Times New Roman" w:cs="Times New Roman"/>
        </w:rPr>
      </w:pPr>
    </w:p>
    <w:p w14:paraId="2D713A52" w14:textId="21BFE7E0" w:rsidR="00F54BD6" w:rsidRPr="007C255C" w:rsidRDefault="377F3F31" w:rsidP="00F54BD6">
      <w:pPr>
        <w:rPr>
          <w:rFonts w:ascii="Times New Roman" w:hAnsi="Times New Roman" w:cs="Times New Roman"/>
        </w:rPr>
      </w:pPr>
      <w:r w:rsidRPr="007C255C">
        <w:rPr>
          <w:rFonts w:ascii="Times New Roman" w:hAnsi="Times New Roman" w:cs="Times New Roman"/>
          <w:noProof/>
        </w:rPr>
        <w:drawing>
          <wp:inline distT="0" distB="0" distL="0" distR="0" wp14:anchorId="53B8D90A" wp14:editId="60966445">
            <wp:extent cx="5943600" cy="2867025"/>
            <wp:effectExtent l="0" t="0" r="0" b="0"/>
            <wp:docPr id="979107477" name="Picture 979107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4EF4AF76" w14:textId="77777777" w:rsidR="00535FC4" w:rsidRDefault="00535FC4" w:rsidP="00535FC4">
      <w:pPr>
        <w:ind w:firstLine="720"/>
        <w:rPr>
          <w:rFonts w:ascii="Times New Roman" w:eastAsia="Times New Roman" w:hAnsi="Times New Roman" w:cs="Times New Roman"/>
          <w:color w:val="000000" w:themeColor="text1"/>
        </w:rPr>
      </w:pPr>
    </w:p>
    <w:p w14:paraId="133E076A" w14:textId="2A81C1CD" w:rsidR="00F54BD6" w:rsidRPr="007C255C" w:rsidRDefault="0816395C" w:rsidP="00535FC4">
      <w:pPr>
        <w:ind w:firstLine="720"/>
        <w:rPr>
          <w:rFonts w:ascii="Times New Roman" w:eastAsia="Times New Roman" w:hAnsi="Times New Roman" w:cs="Times New Roman"/>
          <w:color w:val="000000" w:themeColor="text1"/>
        </w:rPr>
      </w:pPr>
      <w:r w:rsidRPr="007C255C">
        <w:rPr>
          <w:rFonts w:ascii="Times New Roman" w:eastAsia="Times New Roman" w:hAnsi="Times New Roman" w:cs="Times New Roman"/>
          <w:color w:val="000000" w:themeColor="text1"/>
        </w:rPr>
        <w:t>Reason 2: Price-to-</w:t>
      </w:r>
      <w:r w:rsidR="00535FC4">
        <w:rPr>
          <w:rFonts w:ascii="Times New Roman" w:eastAsia="Times New Roman" w:hAnsi="Times New Roman" w:cs="Times New Roman"/>
          <w:color w:val="000000" w:themeColor="text1"/>
        </w:rPr>
        <w:t>B</w:t>
      </w:r>
      <w:r w:rsidRPr="007C255C">
        <w:rPr>
          <w:rFonts w:ascii="Times New Roman" w:eastAsia="Times New Roman" w:hAnsi="Times New Roman" w:cs="Times New Roman"/>
          <w:color w:val="000000" w:themeColor="text1"/>
        </w:rPr>
        <w:t xml:space="preserve">ook </w:t>
      </w:r>
      <w:r w:rsidR="00535FC4">
        <w:rPr>
          <w:rFonts w:ascii="Times New Roman" w:eastAsia="Times New Roman" w:hAnsi="Times New Roman" w:cs="Times New Roman"/>
          <w:color w:val="000000" w:themeColor="text1"/>
        </w:rPr>
        <w:t>R</w:t>
      </w:r>
      <w:r w:rsidRPr="007C255C">
        <w:rPr>
          <w:rFonts w:ascii="Times New Roman" w:eastAsia="Times New Roman" w:hAnsi="Times New Roman" w:cs="Times New Roman"/>
          <w:color w:val="000000" w:themeColor="text1"/>
        </w:rPr>
        <w:t>atio</w:t>
      </w:r>
    </w:p>
    <w:p w14:paraId="1D1BB9BA" w14:textId="69F6B5FD" w:rsidR="00F54BD6" w:rsidRPr="007C255C" w:rsidRDefault="0816395C" w:rsidP="13FF8813">
      <w:pPr>
        <w:rPr>
          <w:rFonts w:ascii="Times New Roman" w:eastAsia="Times New Roman" w:hAnsi="Times New Roman" w:cs="Times New Roman"/>
        </w:rPr>
      </w:pPr>
      <w:r w:rsidRPr="007C255C">
        <w:rPr>
          <w:rFonts w:ascii="Times New Roman" w:eastAsia="Times New Roman" w:hAnsi="Times New Roman" w:cs="Times New Roman"/>
        </w:rPr>
        <w:t>Intuitive Surgical (ISRG) has a Price-to-Book (P/B) ratio of 12.57, meaning the company’s market value is over 12 times its book value (assets minus liabilities)</w:t>
      </w:r>
      <w:proofErr w:type="gramStart"/>
      <w:r w:rsidRPr="007C255C">
        <w:rPr>
          <w:rFonts w:ascii="Times New Roman" w:eastAsia="Times New Roman" w:hAnsi="Times New Roman" w:cs="Times New Roman"/>
        </w:rPr>
        <w:t xml:space="preserve"> This</w:t>
      </w:r>
      <w:proofErr w:type="gramEnd"/>
      <w:r w:rsidRPr="007C255C">
        <w:rPr>
          <w:rFonts w:ascii="Times New Roman" w:eastAsia="Times New Roman" w:hAnsi="Times New Roman" w:cs="Times New Roman"/>
        </w:rPr>
        <w:t xml:space="preserve"> high ratio reflects the premium investors place on the company's future earnings potential and dominance in robotic-assisted surgery.</w:t>
      </w:r>
      <w:r w:rsidR="00535FC4">
        <w:rPr>
          <w:rFonts w:ascii="Times New Roman" w:eastAsia="Times New Roman" w:hAnsi="Times New Roman" w:cs="Times New Roman"/>
        </w:rPr>
        <w:t xml:space="preserve"> </w:t>
      </w:r>
      <w:r w:rsidRPr="007C255C">
        <w:rPr>
          <w:rFonts w:ascii="Times New Roman" w:eastAsia="Times New Roman" w:hAnsi="Times New Roman" w:cs="Times New Roman"/>
        </w:rPr>
        <w:t>The elevated P/B ratio is common in technology-driven healthcare companies like ISRG, where intangible assets such as patents, intellectual property, and brand equity are not fully captured in book value calculations. These intangibles drive significant value for ISRG, which has revolutionized surgery with its da Vinci robotic systems, establishing itself as a market leader in minimally invasive procedures</w:t>
      </w:r>
      <w:proofErr w:type="gramStart"/>
      <w:r w:rsidRPr="007C255C">
        <w:rPr>
          <w:rFonts w:ascii="Times New Roman" w:eastAsia="Times New Roman" w:hAnsi="Times New Roman" w:cs="Times New Roman"/>
        </w:rPr>
        <w:t xml:space="preserve"> Compared</w:t>
      </w:r>
      <w:proofErr w:type="gramEnd"/>
      <w:r w:rsidRPr="007C255C">
        <w:rPr>
          <w:rFonts w:ascii="Times New Roman" w:eastAsia="Times New Roman" w:hAnsi="Times New Roman" w:cs="Times New Roman"/>
        </w:rPr>
        <w:t xml:space="preserve"> to traditional healthcare companies, ISRG’s high P/B ratio suggests robust growth expectations. However, it also indicates that investors are paying a significant premium for the company’s innovation and future potential rather than its current tangible assets. This can be a risk if growth </w:t>
      </w:r>
      <w:r w:rsidR="00BC0463" w:rsidRPr="007C255C">
        <w:rPr>
          <w:rFonts w:ascii="Times New Roman" w:eastAsia="Times New Roman" w:hAnsi="Times New Roman" w:cs="Times New Roman"/>
        </w:rPr>
        <w:t>slows,</w:t>
      </w:r>
      <w:r w:rsidRPr="007C255C">
        <w:rPr>
          <w:rFonts w:ascii="Times New Roman" w:eastAsia="Times New Roman" w:hAnsi="Times New Roman" w:cs="Times New Roman"/>
        </w:rPr>
        <w:t xml:space="preserve"> or expectations aren’t met.</w:t>
      </w:r>
      <w:r w:rsidR="00790E4C">
        <w:rPr>
          <w:rFonts w:ascii="Times New Roman" w:eastAsia="Times New Roman" w:hAnsi="Times New Roman" w:cs="Times New Roman"/>
        </w:rPr>
        <w:t xml:space="preserve"> </w:t>
      </w:r>
      <w:r w:rsidRPr="007C255C">
        <w:rPr>
          <w:rFonts w:ascii="Times New Roman" w:eastAsia="Times New Roman" w:hAnsi="Times New Roman" w:cs="Times New Roman"/>
        </w:rPr>
        <w:t xml:space="preserve">In summary, ISRG’s P/B ratio reflects strong investor confidence and its leadership in the </w:t>
      </w:r>
      <w:r w:rsidRPr="007C255C">
        <w:rPr>
          <w:rFonts w:ascii="Times New Roman" w:eastAsia="Times New Roman" w:hAnsi="Times New Roman" w:cs="Times New Roman"/>
        </w:rPr>
        <w:lastRenderedPageBreak/>
        <w:t>healthcare sector. However, prospective investors should balance this metric with profitability measures and growth forecasts to ensure the valuation aligns with their investment goals.</w:t>
      </w:r>
    </w:p>
    <w:p w14:paraId="5D9D160A" w14:textId="52877F0B" w:rsidR="00F54BD6" w:rsidRPr="007C255C" w:rsidRDefault="0816395C" w:rsidP="13FF8813">
      <w:pPr>
        <w:ind w:left="720"/>
        <w:rPr>
          <w:rFonts w:ascii="Times New Roman" w:hAnsi="Times New Roman" w:cs="Times New Roman"/>
        </w:rPr>
      </w:pPr>
      <w:r w:rsidRPr="007C255C">
        <w:rPr>
          <w:rFonts w:ascii="Times New Roman" w:eastAsia="Calibri" w:hAnsi="Times New Roman" w:cs="Times New Roman"/>
          <w:color w:val="000000" w:themeColor="text1"/>
        </w:rPr>
        <w:t>Reason 3: Technological innovation</w:t>
      </w:r>
    </w:p>
    <w:p w14:paraId="5A800969" w14:textId="47BFFE3B" w:rsidR="00F54BD6" w:rsidRPr="007C255C" w:rsidRDefault="0816395C" w:rsidP="13FF8813">
      <w:pPr>
        <w:spacing w:after="0"/>
        <w:rPr>
          <w:rFonts w:ascii="Times New Roman" w:hAnsi="Times New Roman" w:cs="Times New Roman"/>
        </w:rPr>
      </w:pPr>
      <w:r w:rsidRPr="007C255C">
        <w:rPr>
          <w:rFonts w:ascii="Times New Roman" w:eastAsia="Calibri" w:hAnsi="Times New Roman" w:cs="Times New Roman"/>
        </w:rPr>
        <w:t xml:space="preserve"> ISRG continues to innovate with new products like the Ion endoluminal system, which expands its market footprint, particularly in lung biopsy </w:t>
      </w:r>
      <w:r w:rsidR="00BC0463" w:rsidRPr="007C255C">
        <w:rPr>
          <w:rFonts w:ascii="Times New Roman" w:eastAsia="Calibri" w:hAnsi="Times New Roman" w:cs="Times New Roman"/>
        </w:rPr>
        <w:t>procedures</w:t>
      </w:r>
      <w:r w:rsidR="00BC0463">
        <w:rPr>
          <w:rFonts w:ascii="Times New Roman" w:eastAsia="Calibri" w:hAnsi="Times New Roman" w:cs="Times New Roman"/>
        </w:rPr>
        <w:t>.</w:t>
      </w:r>
    </w:p>
    <w:p w14:paraId="7819E7C6" w14:textId="4D782956" w:rsidR="00F54BD6" w:rsidRPr="007C255C" w:rsidRDefault="0816395C" w:rsidP="13FF8813">
      <w:pPr>
        <w:spacing w:after="0"/>
        <w:rPr>
          <w:rFonts w:ascii="Times New Roman" w:hAnsi="Times New Roman" w:cs="Times New Roman"/>
        </w:rPr>
      </w:pPr>
      <w:r w:rsidRPr="007C255C">
        <w:rPr>
          <w:rFonts w:ascii="Times New Roman" w:eastAsia="Calibri" w:hAnsi="Times New Roman" w:cs="Times New Roman"/>
        </w:rPr>
        <w:t xml:space="preserve"> </w:t>
      </w:r>
    </w:p>
    <w:p w14:paraId="5F4DBB20" w14:textId="24F93F9E" w:rsidR="00F54BD6" w:rsidRPr="007C255C" w:rsidRDefault="0816395C" w:rsidP="13FF8813">
      <w:pPr>
        <w:spacing w:after="0"/>
        <w:rPr>
          <w:rFonts w:ascii="Times New Roman" w:hAnsi="Times New Roman" w:cs="Times New Roman"/>
        </w:rPr>
      </w:pPr>
      <w:r w:rsidRPr="007C255C">
        <w:rPr>
          <w:rFonts w:ascii="Times New Roman" w:eastAsia="Calibri" w:hAnsi="Times New Roman" w:cs="Times New Roman"/>
        </w:rPr>
        <w:t xml:space="preserve"> </w:t>
      </w:r>
    </w:p>
    <w:p w14:paraId="12AC38B7" w14:textId="55EE662E" w:rsidR="00F54BD6" w:rsidRPr="007C255C" w:rsidRDefault="0816395C" w:rsidP="13FF8813">
      <w:pPr>
        <w:spacing w:after="0"/>
        <w:rPr>
          <w:rFonts w:ascii="Times New Roman" w:hAnsi="Times New Roman" w:cs="Times New Roman"/>
        </w:rPr>
      </w:pPr>
      <w:r w:rsidRPr="007C255C">
        <w:rPr>
          <w:rFonts w:ascii="Times New Roman" w:eastAsia="Calibri" w:hAnsi="Times New Roman" w:cs="Times New Roman"/>
        </w:rPr>
        <w:t xml:space="preserve">         Reason</w:t>
      </w:r>
      <w:r w:rsidR="00B74D50">
        <w:rPr>
          <w:rFonts w:ascii="Times New Roman" w:eastAsia="Calibri" w:hAnsi="Times New Roman" w:cs="Times New Roman"/>
        </w:rPr>
        <w:t xml:space="preserve"> </w:t>
      </w:r>
      <w:r w:rsidRPr="007C255C">
        <w:rPr>
          <w:rFonts w:ascii="Times New Roman" w:eastAsia="Calibri" w:hAnsi="Times New Roman" w:cs="Times New Roman"/>
        </w:rPr>
        <w:t>4</w:t>
      </w:r>
      <w:r w:rsidR="00B74D50">
        <w:rPr>
          <w:rFonts w:ascii="Times New Roman" w:eastAsia="Calibri" w:hAnsi="Times New Roman" w:cs="Times New Roman"/>
        </w:rPr>
        <w:t>:</w:t>
      </w:r>
      <w:r w:rsidRPr="007C255C">
        <w:rPr>
          <w:rFonts w:ascii="Times New Roman" w:eastAsia="Calibri" w:hAnsi="Times New Roman" w:cs="Times New Roman"/>
        </w:rPr>
        <w:t xml:space="preserve"> High Market </w:t>
      </w:r>
      <w:r w:rsidR="00B74D50">
        <w:rPr>
          <w:rFonts w:ascii="Times New Roman" w:eastAsia="Calibri" w:hAnsi="Times New Roman" w:cs="Times New Roman"/>
        </w:rPr>
        <w:t>C</w:t>
      </w:r>
      <w:r w:rsidRPr="007C255C">
        <w:rPr>
          <w:rFonts w:ascii="Times New Roman" w:eastAsia="Calibri" w:hAnsi="Times New Roman" w:cs="Times New Roman"/>
        </w:rPr>
        <w:t>apitalization</w:t>
      </w:r>
    </w:p>
    <w:p w14:paraId="63EEA9B5" w14:textId="6F00DFD3" w:rsidR="00F54BD6" w:rsidRPr="007C255C" w:rsidRDefault="0816395C" w:rsidP="13FF8813">
      <w:pPr>
        <w:spacing w:after="0"/>
        <w:rPr>
          <w:rFonts w:ascii="Times New Roman" w:hAnsi="Times New Roman" w:cs="Times New Roman"/>
        </w:rPr>
      </w:pPr>
      <w:r w:rsidRPr="007C255C">
        <w:rPr>
          <w:rFonts w:ascii="Times New Roman" w:eastAsia="Calibri" w:hAnsi="Times New Roman" w:cs="Times New Roman"/>
        </w:rPr>
        <w:t xml:space="preserve"> </w:t>
      </w:r>
    </w:p>
    <w:p w14:paraId="625C7A6C" w14:textId="02CCB7E5" w:rsidR="00F54BD6" w:rsidRPr="007C255C" w:rsidRDefault="0816395C" w:rsidP="13FF8813">
      <w:pPr>
        <w:spacing w:after="0"/>
        <w:rPr>
          <w:rFonts w:ascii="Times New Roman" w:eastAsia="Times New Roman" w:hAnsi="Times New Roman" w:cs="Times New Roman"/>
        </w:rPr>
      </w:pPr>
      <w:r w:rsidRPr="007C255C">
        <w:rPr>
          <w:rFonts w:ascii="Times New Roman" w:eastAsia="Times New Roman" w:hAnsi="Times New Roman" w:cs="Times New Roman"/>
        </w:rPr>
        <w:t>As of 2024,</w:t>
      </w:r>
      <w:r w:rsidR="38E8F438" w:rsidRPr="007C255C">
        <w:rPr>
          <w:rFonts w:ascii="Times New Roman" w:eastAsia="Times New Roman" w:hAnsi="Times New Roman" w:cs="Times New Roman"/>
        </w:rPr>
        <w:t xml:space="preserve"> </w:t>
      </w:r>
      <w:r w:rsidR="00B74D50" w:rsidRPr="007C255C">
        <w:rPr>
          <w:rFonts w:ascii="Times New Roman" w:eastAsia="Times New Roman" w:hAnsi="Times New Roman" w:cs="Times New Roman"/>
        </w:rPr>
        <w:t>ISRG has</w:t>
      </w:r>
      <w:r w:rsidRPr="007C255C">
        <w:rPr>
          <w:rFonts w:ascii="Times New Roman" w:eastAsia="Times New Roman" w:hAnsi="Times New Roman" w:cs="Times New Roman"/>
        </w:rPr>
        <w:t xml:space="preserve"> a market capitalization of approximately</w:t>
      </w:r>
      <w:r w:rsidR="295DCBBB" w:rsidRPr="007C255C">
        <w:rPr>
          <w:rFonts w:ascii="Times New Roman" w:eastAsia="Times New Roman" w:hAnsi="Times New Roman" w:cs="Times New Roman"/>
        </w:rPr>
        <w:t xml:space="preserve"> </w:t>
      </w:r>
      <w:r w:rsidRPr="007C255C">
        <w:rPr>
          <w:rFonts w:ascii="Times New Roman" w:eastAsia="Times New Roman" w:hAnsi="Times New Roman" w:cs="Times New Roman"/>
        </w:rPr>
        <w:t>$194.52 billion.</w:t>
      </w:r>
    </w:p>
    <w:p w14:paraId="3D7B3416" w14:textId="25506DFF" w:rsidR="00F54BD6" w:rsidRPr="007C255C" w:rsidRDefault="0816395C" w:rsidP="13FF8813">
      <w:pPr>
        <w:spacing w:after="0"/>
        <w:rPr>
          <w:rFonts w:ascii="Times New Roman" w:eastAsia="Times New Roman" w:hAnsi="Times New Roman" w:cs="Times New Roman"/>
        </w:rPr>
      </w:pPr>
      <w:r w:rsidRPr="007C255C">
        <w:rPr>
          <w:rFonts w:ascii="Times New Roman" w:eastAsia="Times New Roman" w:hAnsi="Times New Roman" w:cs="Times New Roman"/>
        </w:rPr>
        <w:t xml:space="preserve"> This </w:t>
      </w:r>
      <w:proofErr w:type="gramStart"/>
      <w:r w:rsidRPr="007C255C">
        <w:rPr>
          <w:rFonts w:ascii="Times New Roman" w:eastAsia="Times New Roman" w:hAnsi="Times New Roman" w:cs="Times New Roman"/>
        </w:rPr>
        <w:t>positions it</w:t>
      </w:r>
      <w:proofErr w:type="gramEnd"/>
      <w:r w:rsidRPr="007C255C">
        <w:rPr>
          <w:rFonts w:ascii="Times New Roman" w:eastAsia="Times New Roman" w:hAnsi="Times New Roman" w:cs="Times New Roman"/>
        </w:rPr>
        <w:t xml:space="preserve"> as one of the largest companies in the healthcare technology sector, driven by its innovative robotic surgical systems and strong global market presence.</w:t>
      </w:r>
    </w:p>
    <w:p w14:paraId="5D3B1F7D" w14:textId="605ACAA2" w:rsidR="00F54BD6" w:rsidRPr="007C255C" w:rsidRDefault="00F54BD6" w:rsidP="13FF8813">
      <w:pPr>
        <w:spacing w:after="0"/>
        <w:rPr>
          <w:rFonts w:ascii="Times New Roman" w:eastAsia="Times New Roman" w:hAnsi="Times New Roman" w:cs="Times New Roman"/>
        </w:rPr>
      </w:pPr>
    </w:p>
    <w:p w14:paraId="2C246A48" w14:textId="7DC8A54C" w:rsidR="00F54BD6" w:rsidRPr="007C255C" w:rsidRDefault="363CFFFD" w:rsidP="13FF8813">
      <w:pPr>
        <w:spacing w:after="0"/>
        <w:rPr>
          <w:rFonts w:ascii="Times New Roman" w:hAnsi="Times New Roman" w:cs="Times New Roman"/>
        </w:rPr>
      </w:pPr>
      <w:r w:rsidRPr="007C255C">
        <w:rPr>
          <w:rFonts w:ascii="Times New Roman" w:hAnsi="Times New Roman" w:cs="Times New Roman"/>
          <w:noProof/>
        </w:rPr>
        <w:drawing>
          <wp:inline distT="0" distB="0" distL="0" distR="0" wp14:anchorId="20CDE0D9" wp14:editId="581BDE07">
            <wp:extent cx="5943600" cy="3228975"/>
            <wp:effectExtent l="0" t="0" r="0" b="0"/>
            <wp:docPr id="1379933305" name="Picture 137993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4BC1EB45" w14:textId="77777777" w:rsidR="00B74D50" w:rsidRDefault="363CFFFD" w:rsidP="13FF8813">
      <w:pPr>
        <w:rPr>
          <w:rFonts w:ascii="Times New Roman" w:eastAsia="Times New Roman" w:hAnsi="Times New Roman" w:cs="Times New Roman"/>
        </w:rPr>
      </w:pPr>
      <w:r w:rsidRPr="007C255C">
        <w:rPr>
          <w:rFonts w:ascii="Times New Roman" w:eastAsia="Times New Roman" w:hAnsi="Times New Roman" w:cs="Times New Roman"/>
        </w:rPr>
        <w:t xml:space="preserve">        </w:t>
      </w:r>
    </w:p>
    <w:p w14:paraId="4C12CE79" w14:textId="5EBEA5FA" w:rsidR="00F54BD6" w:rsidRPr="007C255C" w:rsidRDefault="363CFFFD" w:rsidP="13FF8813">
      <w:pPr>
        <w:rPr>
          <w:rFonts w:ascii="Times New Roman" w:eastAsia="Arial" w:hAnsi="Times New Roman" w:cs="Times New Roman"/>
        </w:rPr>
      </w:pPr>
      <w:r w:rsidRPr="007C255C">
        <w:rPr>
          <w:rFonts w:ascii="Times New Roman" w:eastAsia="Times New Roman" w:hAnsi="Times New Roman" w:cs="Times New Roman"/>
        </w:rPr>
        <w:t xml:space="preserve"> </w:t>
      </w:r>
      <w:r w:rsidR="00B74D50">
        <w:rPr>
          <w:rFonts w:ascii="Times New Roman" w:eastAsia="Times New Roman" w:hAnsi="Times New Roman" w:cs="Times New Roman"/>
        </w:rPr>
        <w:tab/>
      </w:r>
      <w:r w:rsidRPr="007C255C">
        <w:rPr>
          <w:rFonts w:ascii="Times New Roman" w:eastAsia="Times New Roman" w:hAnsi="Times New Roman" w:cs="Times New Roman"/>
        </w:rPr>
        <w:t>Reason-5</w:t>
      </w:r>
      <w:r w:rsidR="00B74D50">
        <w:rPr>
          <w:rFonts w:ascii="Times New Roman" w:eastAsia="Times New Roman" w:hAnsi="Times New Roman" w:cs="Times New Roman"/>
        </w:rPr>
        <w:t>:</w:t>
      </w:r>
      <w:r w:rsidRPr="007C255C">
        <w:rPr>
          <w:rFonts w:ascii="Times New Roman" w:eastAsia="Times New Roman" w:hAnsi="Times New Roman" w:cs="Times New Roman"/>
        </w:rPr>
        <w:t xml:space="preserve"> Historical Trend</w:t>
      </w:r>
    </w:p>
    <w:p w14:paraId="6FD78B5B" w14:textId="58681E5D" w:rsidR="00F54BD6" w:rsidRPr="007C255C" w:rsidRDefault="363CFFFD" w:rsidP="13FF8813">
      <w:pPr>
        <w:spacing w:before="240" w:after="240"/>
        <w:rPr>
          <w:rFonts w:ascii="Times New Roman" w:eastAsia="Times New Roman" w:hAnsi="Times New Roman" w:cs="Times New Roman"/>
        </w:rPr>
      </w:pPr>
      <w:r w:rsidRPr="007C255C">
        <w:rPr>
          <w:rFonts w:ascii="Times New Roman" w:eastAsia="Times New Roman" w:hAnsi="Times New Roman" w:cs="Times New Roman"/>
        </w:rPr>
        <w:t>Intuitive Surgical (ISRG) has demonstrated a strong and steady historical trend of growth since its founding in 1995. After its IPO in 2000, the company faced challenges in gaining widespread acceptance of its da Vinci Surgical System, a robotic-assisted surgery platform. However, over time, advancements in the system's capabilities, along with strong evidence of improved patient outcomes, led to broader adoption across healthcare institutions. As demand for minimally invasive surgeries grew, ISRG expanded its market share and product offerings, including the Ion endoluminal system for lung biopsies.</w:t>
      </w:r>
    </w:p>
    <w:p w14:paraId="3765237D" w14:textId="7D611DCF" w:rsidR="00F54BD6" w:rsidRPr="007C255C" w:rsidRDefault="363CFFFD" w:rsidP="13FF8813">
      <w:pPr>
        <w:spacing w:before="240" w:after="240"/>
        <w:rPr>
          <w:rFonts w:ascii="Times New Roman" w:eastAsia="Times New Roman" w:hAnsi="Times New Roman" w:cs="Times New Roman"/>
        </w:rPr>
      </w:pPr>
      <w:r w:rsidRPr="007C255C">
        <w:rPr>
          <w:rFonts w:ascii="Times New Roman" w:eastAsia="Times New Roman" w:hAnsi="Times New Roman" w:cs="Times New Roman"/>
        </w:rPr>
        <w:lastRenderedPageBreak/>
        <w:t>The company’s revenue growth accelerated through the 2000s and 2010s, driven by expanding international markets and a growing installed base of robotic systems. By 2024, ISRG's market capitalization had reached $194.52 billion, solidifying its position as a leader in the healthcare technology sector</w:t>
      </w:r>
    </w:p>
    <w:p w14:paraId="6F3A44AB" w14:textId="035B50FA" w:rsidR="00F54BD6" w:rsidRPr="007C255C" w:rsidRDefault="363CFFFD" w:rsidP="13FF8813">
      <w:pPr>
        <w:rPr>
          <w:rFonts w:ascii="Times New Roman" w:hAnsi="Times New Roman" w:cs="Times New Roman"/>
        </w:rPr>
      </w:pPr>
      <w:r w:rsidRPr="007C255C">
        <w:rPr>
          <w:rFonts w:ascii="Times New Roman" w:eastAsia="Times New Roman" w:hAnsi="Times New Roman" w:cs="Times New Roman"/>
        </w:rPr>
        <w:t>Despite the occasional volatility in its stock price, ISRG has consistently outperformed many other healthcare stocks, supported by its innovative products and strong financial performance. The company’s continued reinvestment in research and development has ensured it remains at the forefront of surgical robotics, positioning ISRG well for future growth in the expanding field of robotic surgery.</w:t>
      </w:r>
    </w:p>
    <w:p w14:paraId="10970728" w14:textId="7AAF495F" w:rsidR="00F54BD6" w:rsidRPr="007C255C" w:rsidRDefault="7BF6C405" w:rsidP="13FF8813">
      <w:pPr>
        <w:rPr>
          <w:rFonts w:ascii="Times New Roman" w:hAnsi="Times New Roman" w:cs="Times New Roman"/>
        </w:rPr>
      </w:pPr>
      <w:r w:rsidRPr="007C255C">
        <w:rPr>
          <w:rFonts w:ascii="Times New Roman" w:hAnsi="Times New Roman" w:cs="Times New Roman"/>
          <w:noProof/>
        </w:rPr>
        <w:drawing>
          <wp:inline distT="0" distB="0" distL="0" distR="0" wp14:anchorId="1FFFBE2E" wp14:editId="5FF73FC5">
            <wp:extent cx="5943600" cy="3381375"/>
            <wp:effectExtent l="0" t="0" r="0" b="0"/>
            <wp:docPr id="66301630" name="Picture 6630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40D6E12A" w14:textId="77777777" w:rsidR="00B74D50" w:rsidRDefault="00B74D50" w:rsidP="13FF8813">
      <w:pPr>
        <w:spacing w:line="257" w:lineRule="auto"/>
        <w:rPr>
          <w:rFonts w:ascii="Times New Roman" w:eastAsia="Calibri" w:hAnsi="Times New Roman" w:cs="Times New Roman"/>
        </w:rPr>
      </w:pPr>
    </w:p>
    <w:p w14:paraId="48520E8F" w14:textId="2B8E2410" w:rsidR="00F54BD6" w:rsidRPr="007C255C" w:rsidRDefault="7BF6C405" w:rsidP="00B74D50">
      <w:pPr>
        <w:spacing w:line="257" w:lineRule="auto"/>
        <w:ind w:firstLine="720"/>
        <w:rPr>
          <w:rFonts w:ascii="Times New Roman" w:hAnsi="Times New Roman" w:cs="Times New Roman"/>
        </w:rPr>
      </w:pPr>
      <w:r w:rsidRPr="007C255C">
        <w:rPr>
          <w:rFonts w:ascii="Times New Roman" w:eastAsia="Calibri" w:hAnsi="Times New Roman" w:cs="Times New Roman"/>
        </w:rPr>
        <w:t>Reason-6</w:t>
      </w:r>
      <w:r w:rsidR="00B74D50">
        <w:rPr>
          <w:rFonts w:ascii="Times New Roman" w:eastAsia="Calibri" w:hAnsi="Times New Roman" w:cs="Times New Roman"/>
        </w:rPr>
        <w:t>:</w:t>
      </w:r>
      <w:r w:rsidRPr="007C255C">
        <w:rPr>
          <w:rFonts w:ascii="Times New Roman" w:eastAsia="Calibri" w:hAnsi="Times New Roman" w:cs="Times New Roman"/>
        </w:rPr>
        <w:t xml:space="preserve"> Industry Expert </w:t>
      </w:r>
      <w:r w:rsidR="00DB3905" w:rsidRPr="007C255C">
        <w:rPr>
          <w:rFonts w:ascii="Times New Roman" w:eastAsia="Calibri" w:hAnsi="Times New Roman" w:cs="Times New Roman"/>
        </w:rPr>
        <w:t>Recommendation</w:t>
      </w:r>
    </w:p>
    <w:p w14:paraId="565E549C" w14:textId="070A566D" w:rsidR="00F54BD6" w:rsidRPr="007C255C" w:rsidRDefault="7BF6C405" w:rsidP="13FF8813">
      <w:pPr>
        <w:rPr>
          <w:rFonts w:ascii="Times New Roman" w:hAnsi="Times New Roman" w:cs="Times New Roman"/>
        </w:rPr>
      </w:pPr>
      <w:r w:rsidRPr="007C255C">
        <w:rPr>
          <w:rFonts w:ascii="Times New Roman" w:eastAsia="Times New Roman" w:hAnsi="Times New Roman" w:cs="Times New Roman"/>
        </w:rPr>
        <w:t xml:space="preserve">Industry experts are generally optimistic about investing in Intuitive Surgical (ISRG). As of late 2024, many analysts have issued a "Strong Buy" recommendation, with a significant majority (over 60%) of recommendations </w:t>
      </w:r>
      <w:proofErr w:type="spellStart"/>
      <w:r w:rsidRPr="007C255C">
        <w:rPr>
          <w:rFonts w:ascii="Times New Roman" w:eastAsia="Times New Roman" w:hAnsi="Times New Roman" w:cs="Times New Roman"/>
        </w:rPr>
        <w:t>favo</w:t>
      </w:r>
      <w:r w:rsidR="00DB3905">
        <w:rPr>
          <w:rFonts w:ascii="Times New Roman" w:eastAsia="Times New Roman" w:hAnsi="Times New Roman" w:cs="Times New Roman"/>
        </w:rPr>
        <w:t>u</w:t>
      </w:r>
      <w:r w:rsidRPr="007C255C">
        <w:rPr>
          <w:rFonts w:ascii="Times New Roman" w:eastAsia="Times New Roman" w:hAnsi="Times New Roman" w:cs="Times New Roman"/>
        </w:rPr>
        <w:t>ring</w:t>
      </w:r>
      <w:proofErr w:type="spellEnd"/>
      <w:r w:rsidRPr="007C255C">
        <w:rPr>
          <w:rFonts w:ascii="Times New Roman" w:eastAsia="Times New Roman" w:hAnsi="Times New Roman" w:cs="Times New Roman"/>
        </w:rPr>
        <w:t xml:space="preserve"> a positive outlook on the stock Key factors contributing to this sentiment include the company's leadership in the robotic-assisted surgery field, driven by their innovative da Vinci and Ion surgical systems. Additionally, Intuitive Surgical is making strides in advancing its AI and machine learning technologies, which enhance the precision of robotic surgery</w:t>
      </w:r>
      <w:proofErr w:type="gramStart"/>
      <w:r w:rsidRPr="007C255C">
        <w:rPr>
          <w:rFonts w:ascii="Times New Roman" w:eastAsia="Times New Roman" w:hAnsi="Times New Roman" w:cs="Times New Roman"/>
        </w:rPr>
        <w:t xml:space="preserve"> However</w:t>
      </w:r>
      <w:proofErr w:type="gramEnd"/>
      <w:r w:rsidRPr="007C255C">
        <w:rPr>
          <w:rFonts w:ascii="Times New Roman" w:eastAsia="Times New Roman" w:hAnsi="Times New Roman" w:cs="Times New Roman"/>
        </w:rPr>
        <w:t xml:space="preserve">, there are some cautionary notes from analysts. Concerns around increasing competition, such as lower-priced alternatives and ongoing legal challenges, have the potential to affect the company's pricing strategy Despite these risks, the overall sentiment remains strong, with analysts continuing to project growth driven by ISRG's </w:t>
      </w:r>
      <w:r w:rsidRPr="007C255C">
        <w:rPr>
          <w:rFonts w:ascii="Times New Roman" w:eastAsia="Times New Roman" w:hAnsi="Times New Roman" w:cs="Times New Roman"/>
        </w:rPr>
        <w:lastRenderedPageBreak/>
        <w:t>technological innovations and its strong market position Investors looking for a growth opportunity in the healthcare technology sector may find ISRG's stock attractive, but they should also be mindful of the competitive and regulatory challenges that could impact future performance.</w:t>
      </w:r>
    </w:p>
    <w:p w14:paraId="2680CDE7" w14:textId="6FCD9703" w:rsidR="00F54BD6" w:rsidRPr="007C255C" w:rsidRDefault="7BF6C405" w:rsidP="00B74D50">
      <w:pPr>
        <w:jc w:val="center"/>
        <w:rPr>
          <w:rFonts w:ascii="Times New Roman" w:hAnsi="Times New Roman" w:cs="Times New Roman"/>
        </w:rPr>
      </w:pPr>
      <w:r w:rsidRPr="007C255C">
        <w:rPr>
          <w:rFonts w:ascii="Times New Roman" w:hAnsi="Times New Roman" w:cs="Times New Roman"/>
          <w:noProof/>
        </w:rPr>
        <w:drawing>
          <wp:inline distT="0" distB="0" distL="0" distR="0" wp14:anchorId="1824242E" wp14:editId="28F2E28C">
            <wp:extent cx="2308129" cy="2607947"/>
            <wp:effectExtent l="0" t="0" r="0" b="0"/>
            <wp:docPr id="1323821988" name="Picture 132382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308129" cy="2607947"/>
                    </a:xfrm>
                    <a:prstGeom prst="rect">
                      <a:avLst/>
                    </a:prstGeom>
                  </pic:spPr>
                </pic:pic>
              </a:graphicData>
            </a:graphic>
          </wp:inline>
        </w:drawing>
      </w:r>
    </w:p>
    <w:p w14:paraId="1627837A" w14:textId="668652B4" w:rsidR="00F54BD6" w:rsidRPr="007C255C" w:rsidRDefault="00F54BD6" w:rsidP="13FF8813">
      <w:pPr>
        <w:spacing w:after="0"/>
        <w:rPr>
          <w:rFonts w:ascii="Times New Roman" w:hAnsi="Times New Roman" w:cs="Times New Roman"/>
        </w:rPr>
      </w:pPr>
    </w:p>
    <w:p w14:paraId="162320D8" w14:textId="6D09EBB0" w:rsidR="00F54BD6" w:rsidRPr="00570BFB" w:rsidRDefault="643A1DD9" w:rsidP="00FB7BFB">
      <w:pPr>
        <w:pStyle w:val="ListParagraph"/>
        <w:numPr>
          <w:ilvl w:val="0"/>
          <w:numId w:val="62"/>
        </w:numPr>
        <w:spacing w:after="0"/>
        <w:rPr>
          <w:rFonts w:ascii="Times New Roman" w:eastAsia="Times New Roman" w:hAnsi="Times New Roman" w:cs="Times New Roman"/>
        </w:rPr>
      </w:pPr>
      <w:r w:rsidRPr="00570BFB">
        <w:rPr>
          <w:rFonts w:ascii="Times New Roman" w:eastAsia="Times New Roman" w:hAnsi="Times New Roman" w:cs="Times New Roman"/>
        </w:rPr>
        <w:t xml:space="preserve">Amount Invested </w:t>
      </w:r>
      <w:r w:rsidR="00DB3905" w:rsidRPr="00570BFB">
        <w:rPr>
          <w:rFonts w:ascii="Times New Roman" w:eastAsia="Times New Roman" w:hAnsi="Times New Roman" w:cs="Times New Roman"/>
        </w:rPr>
        <w:t>and</w:t>
      </w:r>
      <w:r w:rsidRPr="00570BFB">
        <w:rPr>
          <w:rFonts w:ascii="Times New Roman" w:eastAsia="Times New Roman" w:hAnsi="Times New Roman" w:cs="Times New Roman"/>
        </w:rPr>
        <w:t xml:space="preserve"> Why</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32"/>
        <w:gridCol w:w="1640"/>
        <w:gridCol w:w="1641"/>
        <w:gridCol w:w="1634"/>
        <w:gridCol w:w="1631"/>
      </w:tblGrid>
      <w:tr w:rsidR="13FF8813" w:rsidRPr="007C255C" w14:paraId="74486E10" w14:textId="77777777" w:rsidTr="13FF8813">
        <w:trPr>
          <w:trHeight w:val="300"/>
        </w:trPr>
        <w:tc>
          <w:tcPr>
            <w:tcW w:w="16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9B093D" w14:textId="0D7EAC04" w:rsidR="13FF8813" w:rsidRPr="007C255C" w:rsidRDefault="13FF8813" w:rsidP="13FF8813">
            <w:pPr>
              <w:spacing w:after="0"/>
              <w:rPr>
                <w:rFonts w:ascii="Times New Roman" w:hAnsi="Times New Roman" w:cs="Times New Roman"/>
              </w:rPr>
            </w:pPr>
            <w:r w:rsidRPr="007C255C">
              <w:rPr>
                <w:rFonts w:ascii="Times New Roman" w:eastAsia="Arial" w:hAnsi="Times New Roman" w:cs="Times New Roman"/>
                <w:color w:val="000000" w:themeColor="text1"/>
              </w:rPr>
              <w:t xml:space="preserve">Symbol </w:t>
            </w:r>
          </w:p>
        </w:tc>
        <w:tc>
          <w:tcPr>
            <w:tcW w:w="1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BBA967" w14:textId="1DF86730" w:rsidR="13FF8813" w:rsidRPr="007C255C" w:rsidRDefault="13FF8813" w:rsidP="13FF8813">
            <w:pPr>
              <w:spacing w:after="0"/>
              <w:rPr>
                <w:rFonts w:ascii="Times New Roman" w:hAnsi="Times New Roman" w:cs="Times New Roman"/>
              </w:rPr>
            </w:pPr>
            <w:r w:rsidRPr="007C255C">
              <w:rPr>
                <w:rFonts w:ascii="Times New Roman" w:eastAsia="Arial" w:hAnsi="Times New Roman" w:cs="Times New Roman"/>
                <w:color w:val="000000" w:themeColor="text1"/>
              </w:rPr>
              <w:t xml:space="preserve">Description </w:t>
            </w:r>
          </w:p>
        </w:tc>
        <w:tc>
          <w:tcPr>
            <w:tcW w:w="16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D626D4" w14:textId="48985A0D" w:rsidR="13FF8813" w:rsidRPr="007C255C" w:rsidRDefault="13FF8813" w:rsidP="13FF8813">
            <w:pPr>
              <w:spacing w:after="0"/>
              <w:rPr>
                <w:rFonts w:ascii="Times New Roman" w:hAnsi="Times New Roman" w:cs="Times New Roman"/>
              </w:rPr>
            </w:pPr>
            <w:r w:rsidRPr="007C255C">
              <w:rPr>
                <w:rFonts w:ascii="Times New Roman" w:eastAsia="Arial" w:hAnsi="Times New Roman" w:cs="Times New Roman"/>
                <w:color w:val="000000" w:themeColor="text1"/>
              </w:rPr>
              <w:t xml:space="preserve">Transaction </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82BD69" w14:textId="36567B17" w:rsidR="13FF8813" w:rsidRPr="007C255C" w:rsidRDefault="13FF8813" w:rsidP="13FF8813">
            <w:pPr>
              <w:spacing w:after="0"/>
              <w:rPr>
                <w:rFonts w:ascii="Times New Roman" w:hAnsi="Times New Roman" w:cs="Times New Roman"/>
              </w:rPr>
            </w:pPr>
            <w:r w:rsidRPr="007C255C">
              <w:rPr>
                <w:rFonts w:ascii="Times New Roman" w:eastAsia="Arial" w:hAnsi="Times New Roman" w:cs="Times New Roman"/>
                <w:color w:val="000000" w:themeColor="text1"/>
              </w:rPr>
              <w:t xml:space="preserve">Quantity </w:t>
            </w:r>
          </w:p>
        </w:tc>
        <w:tc>
          <w:tcPr>
            <w:tcW w:w="16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A2874" w14:textId="1F4D2D50" w:rsidR="13FF8813" w:rsidRPr="007C255C" w:rsidRDefault="13FF8813" w:rsidP="13FF8813">
            <w:pPr>
              <w:spacing w:after="0"/>
              <w:rPr>
                <w:rFonts w:ascii="Times New Roman" w:hAnsi="Times New Roman" w:cs="Times New Roman"/>
              </w:rPr>
            </w:pPr>
            <w:r w:rsidRPr="007C255C">
              <w:rPr>
                <w:rFonts w:ascii="Times New Roman" w:eastAsia="Arial" w:hAnsi="Times New Roman" w:cs="Times New Roman"/>
                <w:color w:val="000000" w:themeColor="text1"/>
              </w:rPr>
              <w:t xml:space="preserve">Current Price </w:t>
            </w:r>
          </w:p>
        </w:tc>
      </w:tr>
      <w:tr w:rsidR="13FF8813" w:rsidRPr="007C255C" w14:paraId="56C6FEAC" w14:textId="77777777" w:rsidTr="13FF8813">
        <w:trPr>
          <w:trHeight w:val="300"/>
        </w:trPr>
        <w:tc>
          <w:tcPr>
            <w:tcW w:w="16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6E6FC" w14:textId="0B5358AC" w:rsidR="13FF8813" w:rsidRPr="007C255C" w:rsidRDefault="13FF8813" w:rsidP="13FF8813">
            <w:pPr>
              <w:spacing w:after="0"/>
              <w:rPr>
                <w:rFonts w:ascii="Times New Roman" w:hAnsi="Times New Roman" w:cs="Times New Roman"/>
              </w:rPr>
            </w:pPr>
            <w:r w:rsidRPr="007C255C">
              <w:rPr>
                <w:rFonts w:ascii="Times New Roman" w:eastAsia="Arial" w:hAnsi="Times New Roman" w:cs="Times New Roman"/>
                <w:color w:val="000000" w:themeColor="text1"/>
              </w:rPr>
              <w:t xml:space="preserve">    ISRG</w:t>
            </w:r>
          </w:p>
        </w:tc>
        <w:tc>
          <w:tcPr>
            <w:tcW w:w="1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896225" w14:textId="1978D3F4" w:rsidR="13FF8813" w:rsidRPr="007C255C" w:rsidRDefault="00DB3905" w:rsidP="13FF8813">
            <w:pPr>
              <w:spacing w:after="0"/>
              <w:rPr>
                <w:rFonts w:ascii="Times New Roman" w:hAnsi="Times New Roman" w:cs="Times New Roman"/>
              </w:rPr>
            </w:pPr>
            <w:r w:rsidRPr="007C255C">
              <w:rPr>
                <w:rFonts w:ascii="Times New Roman" w:eastAsia="Arial" w:hAnsi="Times New Roman" w:cs="Times New Roman"/>
                <w:color w:val="000000" w:themeColor="text1"/>
              </w:rPr>
              <w:t>ISRG INC</w:t>
            </w:r>
            <w:r w:rsidR="13FF8813" w:rsidRPr="007C255C">
              <w:rPr>
                <w:rFonts w:ascii="Times New Roman" w:eastAsia="Arial" w:hAnsi="Times New Roman" w:cs="Times New Roman"/>
                <w:color w:val="000000" w:themeColor="text1"/>
              </w:rPr>
              <w:t xml:space="preserve"> </w:t>
            </w:r>
          </w:p>
        </w:tc>
        <w:tc>
          <w:tcPr>
            <w:tcW w:w="164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A0854" w14:textId="306CB617" w:rsidR="13FF8813" w:rsidRPr="007C255C" w:rsidRDefault="13FF8813" w:rsidP="13FF8813">
            <w:pPr>
              <w:spacing w:after="0"/>
              <w:rPr>
                <w:rFonts w:ascii="Times New Roman" w:hAnsi="Times New Roman" w:cs="Times New Roman"/>
              </w:rPr>
            </w:pPr>
            <w:r w:rsidRPr="007C255C">
              <w:rPr>
                <w:rFonts w:ascii="Times New Roman" w:eastAsia="Arial" w:hAnsi="Times New Roman" w:cs="Times New Roman"/>
                <w:color w:val="000000" w:themeColor="text1"/>
              </w:rPr>
              <w:t xml:space="preserve">Open Market </w:t>
            </w:r>
          </w:p>
        </w:tc>
        <w:tc>
          <w:tcPr>
            <w:tcW w:w="16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545654" w14:textId="6D4935B9" w:rsidR="13FF8813" w:rsidRPr="007C255C" w:rsidRDefault="13FF8813" w:rsidP="13FF8813">
            <w:pPr>
              <w:spacing w:after="0"/>
              <w:rPr>
                <w:rFonts w:ascii="Times New Roman" w:hAnsi="Times New Roman" w:cs="Times New Roman"/>
              </w:rPr>
            </w:pPr>
            <w:r w:rsidRPr="007C255C">
              <w:rPr>
                <w:rFonts w:ascii="Times New Roman" w:eastAsia="Arial" w:hAnsi="Times New Roman" w:cs="Times New Roman"/>
                <w:color w:val="000000" w:themeColor="text1"/>
              </w:rPr>
              <w:t>25</w:t>
            </w:r>
          </w:p>
        </w:tc>
        <w:tc>
          <w:tcPr>
            <w:tcW w:w="16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2DDBA" w14:textId="2446AFEE" w:rsidR="13FF8813" w:rsidRPr="007C255C" w:rsidRDefault="13FF8813" w:rsidP="13FF8813">
            <w:pPr>
              <w:spacing w:after="0"/>
              <w:rPr>
                <w:rFonts w:ascii="Times New Roman" w:hAnsi="Times New Roman" w:cs="Times New Roman"/>
              </w:rPr>
            </w:pPr>
            <w:r w:rsidRPr="007C255C">
              <w:rPr>
                <w:rFonts w:ascii="Times New Roman" w:eastAsia="Segoe UI" w:hAnsi="Times New Roman" w:cs="Times New Roman"/>
              </w:rPr>
              <w:t>542.00</w:t>
            </w:r>
          </w:p>
        </w:tc>
      </w:tr>
    </w:tbl>
    <w:p w14:paraId="5BA91BF8" w14:textId="691F2C01" w:rsidR="00570BFB" w:rsidRDefault="643A1DD9" w:rsidP="13FF8813">
      <w:pPr>
        <w:rPr>
          <w:rFonts w:ascii="Times New Roman" w:eastAsia="Calibri" w:hAnsi="Times New Roman" w:cs="Times New Roman"/>
          <w:color w:val="000000" w:themeColor="text1"/>
        </w:rPr>
      </w:pPr>
      <w:r w:rsidRPr="007C255C">
        <w:rPr>
          <w:rFonts w:ascii="Times New Roman" w:eastAsia="Calibri" w:hAnsi="Times New Roman" w:cs="Times New Roman"/>
          <w:color w:val="000000" w:themeColor="text1"/>
        </w:rPr>
        <w:t xml:space="preserve">We invested $13,550 into </w:t>
      </w:r>
      <w:proofErr w:type="gramStart"/>
      <w:r w:rsidRPr="007C255C">
        <w:rPr>
          <w:rFonts w:ascii="Times New Roman" w:eastAsia="Calibri" w:hAnsi="Times New Roman" w:cs="Times New Roman"/>
          <w:color w:val="000000" w:themeColor="text1"/>
        </w:rPr>
        <w:t>25 of</w:t>
      </w:r>
      <w:proofErr w:type="gramEnd"/>
      <w:r w:rsidRPr="007C255C">
        <w:rPr>
          <w:rFonts w:ascii="Times New Roman" w:eastAsia="Calibri" w:hAnsi="Times New Roman" w:cs="Times New Roman"/>
          <w:color w:val="000000" w:themeColor="text1"/>
        </w:rPr>
        <w:t xml:space="preserve"> ISRG Stocks because of the 6 previously stated reasons. We evenly distributed 13.4% to each of our funds towards 5 out of the 6 stocks we have chosen as we are confident in the diverseness in our portfolio and see them as all attractive investments. </w:t>
      </w:r>
    </w:p>
    <w:p w14:paraId="409D47B7" w14:textId="77777777" w:rsidR="00570BFB" w:rsidRPr="00570BFB" w:rsidRDefault="00570BFB" w:rsidP="13FF8813">
      <w:pPr>
        <w:rPr>
          <w:rFonts w:ascii="Times New Roman" w:eastAsia="Calibri" w:hAnsi="Times New Roman" w:cs="Times New Roman"/>
          <w:color w:val="000000" w:themeColor="text1"/>
        </w:rPr>
      </w:pPr>
    </w:p>
    <w:p w14:paraId="2D33CC7B" w14:textId="1EF7E981" w:rsidR="00000703" w:rsidRPr="00000703" w:rsidRDefault="60512F1F" w:rsidP="00FB7BFB">
      <w:pPr>
        <w:pStyle w:val="ListParagraph"/>
        <w:numPr>
          <w:ilvl w:val="0"/>
          <w:numId w:val="62"/>
        </w:numPr>
        <w:spacing w:after="0"/>
        <w:rPr>
          <w:rFonts w:ascii="Times New Roman" w:eastAsia="Times New Roman" w:hAnsi="Times New Roman" w:cs="Times New Roman"/>
        </w:rPr>
      </w:pPr>
      <w:r w:rsidRPr="1D456EC8">
        <w:rPr>
          <w:rFonts w:ascii="Times New Roman" w:eastAsia="Times New Roman" w:hAnsi="Times New Roman" w:cs="Times New Roman"/>
        </w:rPr>
        <w:t>Expected return of stock</w:t>
      </w:r>
      <w:r w:rsidR="3CF2E804" w:rsidRPr="1D456EC8">
        <w:rPr>
          <w:rFonts w:ascii="Times New Roman" w:eastAsia="Times New Roman" w:hAnsi="Times New Roman" w:cs="Times New Roman"/>
        </w:rPr>
        <w:t xml:space="preserve"> </w:t>
      </w:r>
    </w:p>
    <w:p w14:paraId="5440566D" w14:textId="08B36F4D" w:rsidR="00000703" w:rsidRPr="00000703" w:rsidRDefault="3CF2E804" w:rsidP="1D456EC8">
      <w:pPr>
        <w:spacing w:after="0"/>
      </w:pPr>
      <w:r w:rsidRPr="1D456EC8">
        <w:rPr>
          <w:rFonts w:ascii="Times New Roman" w:eastAsia="Times New Roman" w:hAnsi="Times New Roman" w:cs="Times New Roman"/>
        </w:rPr>
        <w:t xml:space="preserve">  Expected Rate of Return = Rf + B*[E(Rm)-Rf)   </w:t>
      </w:r>
    </w:p>
    <w:p w14:paraId="7166B036" w14:textId="7D3215BC" w:rsidR="00000703" w:rsidRPr="00000703" w:rsidRDefault="3CF2E804" w:rsidP="1D456EC8">
      <w:pPr>
        <w:spacing w:after="0"/>
      </w:pPr>
      <w:r w:rsidRPr="1D456EC8">
        <w:rPr>
          <w:rFonts w:ascii="Times New Roman" w:eastAsia="Times New Roman" w:hAnsi="Times New Roman" w:cs="Times New Roman"/>
        </w:rPr>
        <w:t xml:space="preserve">  Where: </w:t>
      </w:r>
    </w:p>
    <w:p w14:paraId="261EE2CD" w14:textId="670B7C0A" w:rsidR="00000703" w:rsidRPr="00000703" w:rsidRDefault="3CF2E804" w:rsidP="1D456EC8">
      <w:pPr>
        <w:spacing w:after="0"/>
      </w:pPr>
      <w:r w:rsidRPr="1D456EC8">
        <w:rPr>
          <w:rFonts w:ascii="Symbol" w:eastAsia="Symbol" w:hAnsi="Symbol" w:cs="Symbol"/>
        </w:rPr>
        <w:t>·</w:t>
      </w:r>
      <w:r w:rsidRPr="1D456EC8">
        <w:rPr>
          <w:rFonts w:ascii="Times New Roman" w:eastAsia="Times New Roman" w:hAnsi="Times New Roman" w:cs="Times New Roman"/>
        </w:rPr>
        <w:t xml:space="preserve">  Rf =4.186%=0.04186</w:t>
      </w:r>
    </w:p>
    <w:p w14:paraId="70A2AEFC" w14:textId="4507C078" w:rsidR="00000703" w:rsidRPr="00000703" w:rsidRDefault="3CF2E804" w:rsidP="1D456EC8">
      <w:pPr>
        <w:spacing w:after="0"/>
      </w:pPr>
      <w:r w:rsidRPr="1D456EC8">
        <w:rPr>
          <w:rFonts w:ascii="Symbol" w:eastAsia="Symbol" w:hAnsi="Symbol" w:cs="Symbol"/>
        </w:rPr>
        <w:t>·</w:t>
      </w:r>
      <w:r w:rsidRPr="1D456EC8">
        <w:rPr>
          <w:rFonts w:ascii="Times New Roman" w:eastAsia="Times New Roman" w:hAnsi="Times New Roman" w:cs="Times New Roman"/>
        </w:rPr>
        <w:t xml:space="preserve">  β=1.21\beta = 1.21β=1.21</w:t>
      </w:r>
    </w:p>
    <w:p w14:paraId="1C6D04F6" w14:textId="273A1421" w:rsidR="00000703" w:rsidRPr="00000703" w:rsidRDefault="3CF2E804" w:rsidP="1D456EC8">
      <w:pPr>
        <w:spacing w:after="0"/>
      </w:pPr>
      <w:r w:rsidRPr="1D456EC8">
        <w:rPr>
          <w:rFonts w:ascii="Symbol" w:eastAsia="Symbol" w:hAnsi="Symbol" w:cs="Symbol"/>
        </w:rPr>
        <w:t>·</w:t>
      </w:r>
      <w:r w:rsidRPr="1D456EC8">
        <w:rPr>
          <w:rFonts w:ascii="Times New Roman" w:eastAsia="Times New Roman" w:hAnsi="Times New Roman" w:cs="Times New Roman"/>
        </w:rPr>
        <w:t xml:space="preserve">  E(Rm)=12.30%=0.1230E(</w:t>
      </w:r>
      <w:proofErr w:type="spellStart"/>
      <w:r w:rsidRPr="1D456EC8">
        <w:rPr>
          <w:rFonts w:ascii="Times New Roman" w:eastAsia="Times New Roman" w:hAnsi="Times New Roman" w:cs="Times New Roman"/>
        </w:rPr>
        <w:t>R_m</w:t>
      </w:r>
      <w:proofErr w:type="spellEnd"/>
      <w:r w:rsidRPr="1D456EC8">
        <w:rPr>
          <w:rFonts w:ascii="Times New Roman" w:eastAsia="Times New Roman" w:hAnsi="Times New Roman" w:cs="Times New Roman"/>
        </w:rPr>
        <w:t xml:space="preserve">) = 12.30\% = 0.1230E(Rm )=12.30%=0.1230  </w:t>
      </w:r>
    </w:p>
    <w:p w14:paraId="4B13FA28" w14:textId="4A075A3D" w:rsidR="00000703" w:rsidRPr="00000703" w:rsidRDefault="3CF2E804" w:rsidP="1D456EC8">
      <w:pPr>
        <w:spacing w:after="0"/>
        <w:ind w:left="1080"/>
      </w:pPr>
      <w:r w:rsidRPr="1D456EC8">
        <w:rPr>
          <w:rFonts w:ascii="Times New Roman" w:eastAsia="Times New Roman" w:hAnsi="Times New Roman" w:cs="Times New Roman"/>
        </w:rPr>
        <w:t xml:space="preserve"> </w:t>
      </w:r>
    </w:p>
    <w:p w14:paraId="0C78FD0A" w14:textId="79CF16A5" w:rsidR="00000703" w:rsidRPr="00000703" w:rsidRDefault="3CF2E804" w:rsidP="00FB7BFB">
      <w:pPr>
        <w:pStyle w:val="ListParagraph"/>
        <w:numPr>
          <w:ilvl w:val="0"/>
          <w:numId w:val="63"/>
        </w:numPr>
        <w:spacing w:after="0"/>
        <w:ind w:left="1080"/>
        <w:rPr>
          <w:rFonts w:ascii="Times New Roman" w:eastAsia="Times New Roman" w:hAnsi="Times New Roman" w:cs="Times New Roman"/>
        </w:rPr>
      </w:pPr>
      <w:r w:rsidRPr="1D456EC8">
        <w:rPr>
          <w:rFonts w:ascii="Times New Roman" w:eastAsia="Times New Roman" w:hAnsi="Times New Roman" w:cs="Times New Roman"/>
        </w:rPr>
        <w:t xml:space="preserve">E(Rm) = Expected return on the market = our benchmark which is a 10-year average of the S&amp;P 500 = The average rate of return for the S&amp;P 500 since 2012 is 16.4%   </w:t>
      </w:r>
    </w:p>
    <w:p w14:paraId="30288B8C" w14:textId="2FC1ECD9" w:rsidR="00000703" w:rsidRPr="00000703" w:rsidRDefault="3CF2E804" w:rsidP="1D456EC8">
      <w:pPr>
        <w:spacing w:after="0"/>
      </w:pPr>
      <w:r w:rsidRPr="1D456EC8">
        <w:rPr>
          <w:rFonts w:ascii="Times New Roman" w:eastAsia="Times New Roman" w:hAnsi="Times New Roman" w:cs="Times New Roman"/>
        </w:rPr>
        <w:t xml:space="preserve">   </w:t>
      </w:r>
    </w:p>
    <w:p w14:paraId="7EACB29D" w14:textId="20D6A42F" w:rsidR="00000703" w:rsidRPr="00000703" w:rsidRDefault="3CF2E804" w:rsidP="1D456EC8">
      <w:pPr>
        <w:spacing w:after="0"/>
      </w:pPr>
      <w:r w:rsidRPr="1D456EC8">
        <w:rPr>
          <w:rFonts w:ascii="Times New Roman" w:eastAsia="Times New Roman" w:hAnsi="Times New Roman" w:cs="Times New Roman"/>
        </w:rPr>
        <w:t>Therefore</w:t>
      </w:r>
    </w:p>
    <w:p w14:paraId="56785380" w14:textId="4BFFC039" w:rsidR="00000703" w:rsidRPr="00000703" w:rsidRDefault="3CF2E804" w:rsidP="1D456EC8">
      <w:pPr>
        <w:spacing w:after="0"/>
      </w:pPr>
      <w:r w:rsidRPr="1D456EC8">
        <w:rPr>
          <w:rFonts w:ascii="Times New Roman" w:eastAsia="Times New Roman" w:hAnsi="Times New Roman" w:cs="Times New Roman"/>
        </w:rPr>
        <w:t xml:space="preserve">Expected Rate of Return=0.04186+1.21×(0.1230−0.04186)= 14.00% </w:t>
      </w:r>
    </w:p>
    <w:p w14:paraId="26F8FACC" w14:textId="1370AAE5" w:rsidR="00000703" w:rsidRPr="00000703" w:rsidRDefault="00000703" w:rsidP="1D456EC8">
      <w:pPr>
        <w:spacing w:line="257" w:lineRule="auto"/>
        <w:rPr>
          <w:rFonts w:ascii="Calibri" w:eastAsia="Calibri" w:hAnsi="Calibri" w:cs="Calibri"/>
          <w:sz w:val="22"/>
          <w:szCs w:val="22"/>
        </w:rPr>
      </w:pPr>
    </w:p>
    <w:p w14:paraId="5FAF208F" w14:textId="77777777" w:rsidR="00F54BD6" w:rsidRDefault="00F54BD6" w:rsidP="00F54BD6"/>
    <w:p w14:paraId="0E7EC78A" w14:textId="57B945DC" w:rsidR="004C2ECE" w:rsidRPr="007F262F" w:rsidRDefault="00F54BD6" w:rsidP="007F262F">
      <w:r w:rsidRPr="00954930">
        <w:rPr>
          <w:rFonts w:ascii="Times New Roman" w:hAnsi="Times New Roman" w:cs="Times New Roman"/>
          <w:b/>
          <w:bCs/>
          <w:sz w:val="28"/>
          <w:szCs w:val="28"/>
        </w:rPr>
        <w:t xml:space="preserve">Investment </w:t>
      </w:r>
      <w:r>
        <w:rPr>
          <w:rFonts w:ascii="Times New Roman" w:hAnsi="Times New Roman" w:cs="Times New Roman"/>
          <w:b/>
          <w:bCs/>
          <w:sz w:val="28"/>
          <w:szCs w:val="28"/>
        </w:rPr>
        <w:t>11</w:t>
      </w:r>
      <w:r w:rsidRPr="00954930">
        <w:rPr>
          <w:rFonts w:ascii="Times New Roman" w:hAnsi="Times New Roman" w:cs="Times New Roman"/>
          <w:b/>
          <w:bCs/>
          <w:sz w:val="28"/>
          <w:szCs w:val="28"/>
        </w:rPr>
        <w:t>:</w:t>
      </w:r>
      <w:r w:rsidR="004C0708">
        <w:rPr>
          <w:rFonts w:ascii="Times New Roman" w:hAnsi="Times New Roman" w:cs="Times New Roman"/>
          <w:b/>
          <w:bCs/>
          <w:sz w:val="28"/>
          <w:szCs w:val="28"/>
        </w:rPr>
        <w:t xml:space="preserve"> iShares 3-7 Year Treasury Bond ETF (NYSE: IEI)</w:t>
      </w:r>
    </w:p>
    <w:p w14:paraId="66FED3B5" w14:textId="19C762D9" w:rsidR="34E576DF" w:rsidRPr="004C0708" w:rsidRDefault="34E576DF" w:rsidP="1D456EC8">
      <w:pPr>
        <w:spacing w:line="257" w:lineRule="auto"/>
        <w:rPr>
          <w:rFonts w:ascii="Times New Roman" w:hAnsi="Times New Roman" w:cs="Times New Roman"/>
        </w:rPr>
      </w:pPr>
      <w:r w:rsidRPr="004C0708">
        <w:rPr>
          <w:rFonts w:ascii="Times New Roman" w:eastAsia="Arial" w:hAnsi="Times New Roman" w:cs="Times New Roman"/>
          <w:color w:val="000000" w:themeColor="text1"/>
        </w:rPr>
        <w:t xml:space="preserve">Background </w:t>
      </w:r>
    </w:p>
    <w:p w14:paraId="6ACE092A" w14:textId="471F09FF"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The iShares 3-7 Year Treasury Bond ETF (IEI) is an exchange-traded fund (ETF) that primarily tracks the performance of U.S. Treasury bonds with maturities between 3 and 7 years. Managed by BlackRock, IEI is part of the popular iShares Treasury bond ETF suite and offers investors exposure to mid-duration U.S. government bonds. Here’s an overview:</w:t>
      </w:r>
    </w:p>
    <w:p w14:paraId="7AADB090" w14:textId="3BF80034"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Key Features:</w:t>
      </w:r>
    </w:p>
    <w:p w14:paraId="170092E8" w14:textId="7E4F403C" w:rsidR="34E576DF" w:rsidRPr="004C0708" w:rsidRDefault="34E576DF" w:rsidP="00FB7BFB">
      <w:pPr>
        <w:pStyle w:val="ListParagraph"/>
        <w:numPr>
          <w:ilvl w:val="0"/>
          <w:numId w:val="70"/>
        </w:numPr>
        <w:spacing w:after="0"/>
        <w:rPr>
          <w:rFonts w:ascii="Times New Roman" w:eastAsia="Times New Roman" w:hAnsi="Times New Roman" w:cs="Times New Roman"/>
        </w:rPr>
      </w:pPr>
      <w:r w:rsidRPr="004C0708">
        <w:rPr>
          <w:rFonts w:ascii="Times New Roman" w:eastAsia="Times New Roman" w:hAnsi="Times New Roman" w:cs="Times New Roman"/>
        </w:rPr>
        <w:t>Objective: The fund seeks to replicate the investment results of the ICE U.S. Treasury 3-7 Year Bond Index, which includes Treasury securities with maturities between 3 and 7 years.</w:t>
      </w:r>
    </w:p>
    <w:p w14:paraId="5715B487" w14:textId="039A7D70" w:rsidR="34E576DF" w:rsidRPr="004C0708" w:rsidRDefault="34E576DF" w:rsidP="00FB7BFB">
      <w:pPr>
        <w:pStyle w:val="ListParagraph"/>
        <w:numPr>
          <w:ilvl w:val="0"/>
          <w:numId w:val="70"/>
        </w:numPr>
        <w:spacing w:after="0"/>
        <w:rPr>
          <w:rFonts w:ascii="Times New Roman" w:eastAsia="Times New Roman" w:hAnsi="Times New Roman" w:cs="Times New Roman"/>
        </w:rPr>
      </w:pPr>
      <w:r w:rsidRPr="004C0708">
        <w:rPr>
          <w:rFonts w:ascii="Times New Roman" w:eastAsia="Times New Roman" w:hAnsi="Times New Roman" w:cs="Times New Roman"/>
        </w:rPr>
        <w:t>Holdings: IEI invests exclusively in U.S. Treasury bonds, ensuring high credit quality (backed by the U.S. government).</w:t>
      </w:r>
    </w:p>
    <w:p w14:paraId="046B3B5C" w14:textId="7B41F22F" w:rsidR="34E576DF" w:rsidRPr="004C0708" w:rsidRDefault="34E576DF" w:rsidP="00FB7BFB">
      <w:pPr>
        <w:pStyle w:val="ListParagraph"/>
        <w:numPr>
          <w:ilvl w:val="0"/>
          <w:numId w:val="70"/>
        </w:numPr>
        <w:spacing w:after="0"/>
        <w:rPr>
          <w:rFonts w:ascii="Times New Roman" w:eastAsia="Times New Roman" w:hAnsi="Times New Roman" w:cs="Times New Roman"/>
        </w:rPr>
      </w:pPr>
      <w:r w:rsidRPr="004C0708">
        <w:rPr>
          <w:rFonts w:ascii="Times New Roman" w:eastAsia="Times New Roman" w:hAnsi="Times New Roman" w:cs="Times New Roman"/>
        </w:rPr>
        <w:t>Duration and Interest Rate Sensitivity:</w:t>
      </w:r>
    </w:p>
    <w:p w14:paraId="51F13D8C" w14:textId="1EB58546" w:rsidR="34E576DF" w:rsidRPr="004C0708" w:rsidRDefault="34E576DF" w:rsidP="00FB7BFB">
      <w:pPr>
        <w:pStyle w:val="ListParagraph"/>
        <w:numPr>
          <w:ilvl w:val="1"/>
          <w:numId w:val="70"/>
        </w:numPr>
        <w:spacing w:after="0"/>
        <w:rPr>
          <w:rFonts w:ascii="Times New Roman" w:eastAsia="Times New Roman" w:hAnsi="Times New Roman" w:cs="Times New Roman"/>
        </w:rPr>
      </w:pPr>
      <w:r w:rsidRPr="004C0708">
        <w:rPr>
          <w:rFonts w:ascii="Times New Roman" w:eastAsia="Times New Roman" w:hAnsi="Times New Roman" w:cs="Times New Roman"/>
        </w:rPr>
        <w:t>The fund has an intermediate duration, making it moderately sensitive to interest rate changes.</w:t>
      </w:r>
    </w:p>
    <w:p w14:paraId="19E9D8A7" w14:textId="17616ED3" w:rsidR="34E576DF" w:rsidRPr="004C0708" w:rsidRDefault="34E576DF" w:rsidP="00FB7BFB">
      <w:pPr>
        <w:pStyle w:val="ListParagraph"/>
        <w:numPr>
          <w:ilvl w:val="1"/>
          <w:numId w:val="70"/>
        </w:numPr>
        <w:spacing w:after="0"/>
        <w:rPr>
          <w:rFonts w:ascii="Times New Roman" w:eastAsia="Times New Roman" w:hAnsi="Times New Roman" w:cs="Times New Roman"/>
        </w:rPr>
      </w:pPr>
      <w:r w:rsidRPr="004C0708">
        <w:rPr>
          <w:rFonts w:ascii="Times New Roman" w:eastAsia="Times New Roman" w:hAnsi="Times New Roman" w:cs="Times New Roman"/>
        </w:rPr>
        <w:t>Rising rates may lead to price declines, but the impact is less severe than in longer-duration funds.</w:t>
      </w:r>
    </w:p>
    <w:p w14:paraId="5BCC90C0" w14:textId="38F50EEC" w:rsidR="34E576DF" w:rsidRPr="004C0708" w:rsidRDefault="34E576DF" w:rsidP="00FB7BFB">
      <w:pPr>
        <w:pStyle w:val="ListParagraph"/>
        <w:numPr>
          <w:ilvl w:val="0"/>
          <w:numId w:val="70"/>
        </w:numPr>
        <w:spacing w:after="0"/>
        <w:rPr>
          <w:rFonts w:ascii="Times New Roman" w:eastAsia="Times New Roman" w:hAnsi="Times New Roman" w:cs="Times New Roman"/>
        </w:rPr>
      </w:pPr>
      <w:r w:rsidRPr="004C0708">
        <w:rPr>
          <w:rFonts w:ascii="Times New Roman" w:eastAsia="Times New Roman" w:hAnsi="Times New Roman" w:cs="Times New Roman"/>
        </w:rPr>
        <w:t>Yield and Returns:</w:t>
      </w:r>
    </w:p>
    <w:p w14:paraId="26070A40" w14:textId="16CAC1C2" w:rsidR="34E576DF" w:rsidRPr="004C0708" w:rsidRDefault="34E576DF" w:rsidP="00FB7BFB">
      <w:pPr>
        <w:pStyle w:val="ListParagraph"/>
        <w:numPr>
          <w:ilvl w:val="1"/>
          <w:numId w:val="70"/>
        </w:numPr>
        <w:spacing w:after="0"/>
        <w:rPr>
          <w:rFonts w:ascii="Times New Roman" w:eastAsia="Times New Roman" w:hAnsi="Times New Roman" w:cs="Times New Roman"/>
        </w:rPr>
      </w:pPr>
      <w:r w:rsidRPr="004C0708">
        <w:rPr>
          <w:rFonts w:ascii="Times New Roman" w:eastAsia="Times New Roman" w:hAnsi="Times New Roman" w:cs="Times New Roman"/>
        </w:rPr>
        <w:t>Yields are influenced by the current interest rate environment and the average yield of underlying bonds.</w:t>
      </w:r>
    </w:p>
    <w:p w14:paraId="752F6B9D" w14:textId="6F53139F" w:rsidR="34E576DF" w:rsidRPr="004C0708" w:rsidRDefault="34E576DF" w:rsidP="00FB7BFB">
      <w:pPr>
        <w:pStyle w:val="ListParagraph"/>
        <w:numPr>
          <w:ilvl w:val="1"/>
          <w:numId w:val="70"/>
        </w:numPr>
        <w:spacing w:after="0"/>
        <w:rPr>
          <w:rFonts w:ascii="Times New Roman" w:eastAsia="Times New Roman" w:hAnsi="Times New Roman" w:cs="Times New Roman"/>
        </w:rPr>
      </w:pPr>
      <w:r w:rsidRPr="004C0708">
        <w:rPr>
          <w:rFonts w:ascii="Times New Roman" w:eastAsia="Times New Roman" w:hAnsi="Times New Roman" w:cs="Times New Roman"/>
        </w:rPr>
        <w:t>Investors typically use IEI for income generation and stability, not high returns.</w:t>
      </w:r>
    </w:p>
    <w:p w14:paraId="1A37EAA8" w14:textId="7260F442"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Suitability:</w:t>
      </w:r>
    </w:p>
    <w:p w14:paraId="57154A29" w14:textId="42623F60"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IEI is often used by investors seeking:</w:t>
      </w:r>
    </w:p>
    <w:p w14:paraId="0A7266D8" w14:textId="787F910B" w:rsidR="34E576DF" w:rsidRPr="004C0708" w:rsidRDefault="34E576DF" w:rsidP="00FB7BFB">
      <w:pPr>
        <w:pStyle w:val="ListParagraph"/>
        <w:numPr>
          <w:ilvl w:val="0"/>
          <w:numId w:val="69"/>
        </w:numPr>
        <w:spacing w:after="0"/>
        <w:rPr>
          <w:rFonts w:ascii="Times New Roman" w:eastAsia="Times New Roman" w:hAnsi="Times New Roman" w:cs="Times New Roman"/>
        </w:rPr>
      </w:pPr>
      <w:r w:rsidRPr="004C0708">
        <w:rPr>
          <w:rFonts w:ascii="Times New Roman" w:eastAsia="Times New Roman" w:hAnsi="Times New Roman" w:cs="Times New Roman"/>
        </w:rPr>
        <w:t>Income with low credit risk.</w:t>
      </w:r>
    </w:p>
    <w:p w14:paraId="66632CAD" w14:textId="641A25DF" w:rsidR="34E576DF" w:rsidRPr="004C0708" w:rsidRDefault="34E576DF" w:rsidP="00FB7BFB">
      <w:pPr>
        <w:pStyle w:val="ListParagraph"/>
        <w:numPr>
          <w:ilvl w:val="0"/>
          <w:numId w:val="69"/>
        </w:numPr>
        <w:spacing w:after="0"/>
        <w:rPr>
          <w:rFonts w:ascii="Times New Roman" w:eastAsia="Times New Roman" w:hAnsi="Times New Roman" w:cs="Times New Roman"/>
        </w:rPr>
      </w:pPr>
      <w:r w:rsidRPr="004C0708">
        <w:rPr>
          <w:rFonts w:ascii="Times New Roman" w:eastAsia="Times New Roman" w:hAnsi="Times New Roman" w:cs="Times New Roman"/>
        </w:rPr>
        <w:t>Diversification in a portfolio, balancing riskier asset classes like equities.</w:t>
      </w:r>
    </w:p>
    <w:p w14:paraId="13AE40B0" w14:textId="4F70E397" w:rsidR="34E576DF" w:rsidRPr="004C0708" w:rsidRDefault="34E576DF" w:rsidP="00FB7BFB">
      <w:pPr>
        <w:pStyle w:val="ListParagraph"/>
        <w:numPr>
          <w:ilvl w:val="0"/>
          <w:numId w:val="69"/>
        </w:numPr>
        <w:spacing w:after="0"/>
        <w:rPr>
          <w:rFonts w:ascii="Times New Roman" w:eastAsia="Times New Roman" w:hAnsi="Times New Roman" w:cs="Times New Roman"/>
        </w:rPr>
      </w:pPr>
      <w:r w:rsidRPr="004C0708">
        <w:rPr>
          <w:rFonts w:ascii="Times New Roman" w:eastAsia="Times New Roman" w:hAnsi="Times New Roman" w:cs="Times New Roman"/>
        </w:rPr>
        <w:t>A hedge against economic uncertainty, as Treasuries are considered safe-haven assets.</w:t>
      </w:r>
    </w:p>
    <w:p w14:paraId="48346615" w14:textId="0A113972" w:rsidR="1D456EC8" w:rsidRPr="004C0708" w:rsidRDefault="1D456EC8" w:rsidP="1D456EC8">
      <w:pPr>
        <w:pStyle w:val="ListParagraph"/>
        <w:spacing w:after="0"/>
        <w:rPr>
          <w:rFonts w:ascii="Times New Roman" w:eastAsia="Times New Roman" w:hAnsi="Times New Roman" w:cs="Times New Roman"/>
        </w:rPr>
      </w:pPr>
    </w:p>
    <w:p w14:paraId="11471398" w14:textId="2DA59469" w:rsidR="34E576DF" w:rsidRPr="004C0708" w:rsidRDefault="34E576DF" w:rsidP="004C0708">
      <w:pPr>
        <w:jc w:val="center"/>
        <w:rPr>
          <w:rFonts w:ascii="Times New Roman" w:hAnsi="Times New Roman" w:cs="Times New Roman"/>
        </w:rPr>
      </w:pPr>
      <w:r w:rsidRPr="004C0708">
        <w:rPr>
          <w:rFonts w:ascii="Times New Roman" w:hAnsi="Times New Roman" w:cs="Times New Roman"/>
          <w:noProof/>
        </w:rPr>
        <w:drawing>
          <wp:inline distT="0" distB="0" distL="0" distR="0" wp14:anchorId="4811AAEB" wp14:editId="3123609A">
            <wp:extent cx="4285860" cy="1524132"/>
            <wp:effectExtent l="0" t="0" r="0" b="0"/>
            <wp:docPr id="1792622343" name="Picture 179262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285860" cy="1524132"/>
                    </a:xfrm>
                    <a:prstGeom prst="rect">
                      <a:avLst/>
                    </a:prstGeom>
                  </pic:spPr>
                </pic:pic>
              </a:graphicData>
            </a:graphic>
          </wp:inline>
        </w:drawing>
      </w:r>
    </w:p>
    <w:p w14:paraId="064D3289" w14:textId="115288BA" w:rsidR="34E576DF" w:rsidRPr="004C0708" w:rsidRDefault="34E576DF" w:rsidP="1D456EC8">
      <w:pPr>
        <w:spacing w:line="257" w:lineRule="auto"/>
        <w:rPr>
          <w:rFonts w:ascii="Times New Roman" w:hAnsi="Times New Roman" w:cs="Times New Roman"/>
        </w:rPr>
      </w:pPr>
      <w:r w:rsidRPr="004C0708">
        <w:rPr>
          <w:rFonts w:ascii="Times New Roman" w:eastAsia="Arial" w:hAnsi="Times New Roman" w:cs="Times New Roman"/>
          <w:b/>
          <w:bCs/>
          <w:color w:val="000000" w:themeColor="text1"/>
        </w:rPr>
        <w:lastRenderedPageBreak/>
        <w:t xml:space="preserve">Reasons </w:t>
      </w:r>
      <w:proofErr w:type="gramStart"/>
      <w:r w:rsidRPr="004C0708">
        <w:rPr>
          <w:rFonts w:ascii="Times New Roman" w:eastAsia="Arial" w:hAnsi="Times New Roman" w:cs="Times New Roman"/>
          <w:b/>
          <w:bCs/>
          <w:color w:val="000000" w:themeColor="text1"/>
        </w:rPr>
        <w:t>to invest</w:t>
      </w:r>
      <w:proofErr w:type="gramEnd"/>
      <w:r w:rsidRPr="004C0708">
        <w:rPr>
          <w:rFonts w:ascii="Times New Roman" w:eastAsia="Arial" w:hAnsi="Times New Roman" w:cs="Times New Roman"/>
          <w:b/>
          <w:bCs/>
          <w:color w:val="000000" w:themeColor="text1"/>
        </w:rPr>
        <w:t xml:space="preserve"> in the Bond:</w:t>
      </w:r>
      <w:r w:rsidRPr="004C0708">
        <w:rPr>
          <w:rFonts w:ascii="Times New Roman" w:eastAsia="Arial" w:hAnsi="Times New Roman" w:cs="Times New Roman"/>
          <w:color w:val="000000" w:themeColor="text1"/>
        </w:rPr>
        <w:t xml:space="preserve"> </w:t>
      </w:r>
    </w:p>
    <w:p w14:paraId="6FF2ED98" w14:textId="6ED07D4D" w:rsidR="34E576DF" w:rsidRPr="004C0708" w:rsidRDefault="34E576DF" w:rsidP="1D456EC8">
      <w:pPr>
        <w:spacing w:line="257" w:lineRule="auto"/>
        <w:rPr>
          <w:rFonts w:ascii="Times New Roman" w:eastAsia="Calibri" w:hAnsi="Times New Roman" w:cs="Times New Roman"/>
          <w:color w:val="000000" w:themeColor="text1"/>
        </w:rPr>
      </w:pPr>
      <w:r w:rsidRPr="004C0708">
        <w:rPr>
          <w:rFonts w:ascii="Times New Roman" w:eastAsia="Calibri" w:hAnsi="Times New Roman" w:cs="Times New Roman"/>
          <w:b/>
          <w:bCs/>
          <w:color w:val="000000" w:themeColor="text1"/>
        </w:rPr>
        <w:t>Reason 1) Valuation Assessment (Low P/E Ratio and Favorable Comparison to Industry Average)</w:t>
      </w:r>
    </w:p>
    <w:p w14:paraId="0CABAA17" w14:textId="2A6438B1" w:rsidR="34E576DF" w:rsidRPr="004C0708" w:rsidRDefault="34E576DF" w:rsidP="004C0708">
      <w:pPr>
        <w:jc w:val="center"/>
        <w:rPr>
          <w:rFonts w:ascii="Times New Roman" w:hAnsi="Times New Roman" w:cs="Times New Roman"/>
        </w:rPr>
      </w:pPr>
      <w:r w:rsidRPr="004C0708">
        <w:rPr>
          <w:rFonts w:ascii="Times New Roman" w:hAnsi="Times New Roman" w:cs="Times New Roman"/>
          <w:noProof/>
        </w:rPr>
        <w:drawing>
          <wp:inline distT="0" distB="0" distL="0" distR="0" wp14:anchorId="430A71BD" wp14:editId="723A1274">
            <wp:extent cx="5401525" cy="3377477"/>
            <wp:effectExtent l="0" t="0" r="0" b="0"/>
            <wp:docPr id="347418137" name="Picture 347418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401525" cy="3377477"/>
                    </a:xfrm>
                    <a:prstGeom prst="rect">
                      <a:avLst/>
                    </a:prstGeom>
                  </pic:spPr>
                </pic:pic>
              </a:graphicData>
            </a:graphic>
          </wp:inline>
        </w:drawing>
      </w:r>
    </w:p>
    <w:p w14:paraId="71722B40" w14:textId="10BA46C1" w:rsidR="1D456EC8" w:rsidRPr="004C0708" w:rsidRDefault="1D456EC8">
      <w:pPr>
        <w:rPr>
          <w:rFonts w:ascii="Times New Roman" w:hAnsi="Times New Roman" w:cs="Times New Roman"/>
        </w:rPr>
      </w:pPr>
    </w:p>
    <w:p w14:paraId="795D4ABA" w14:textId="0B062D1A"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The valuation assessment</w:t>
      </w:r>
      <w:r w:rsidRPr="004C0708">
        <w:rPr>
          <w:rFonts w:ascii="Times New Roman" w:eastAsia="Times New Roman" w:hAnsi="Times New Roman" w:cs="Times New Roman"/>
          <w:b/>
          <w:bCs/>
        </w:rPr>
        <w:t xml:space="preserve"> </w:t>
      </w:r>
      <w:r w:rsidRPr="004C0708">
        <w:rPr>
          <w:rFonts w:ascii="Times New Roman" w:eastAsia="Times New Roman" w:hAnsi="Times New Roman" w:cs="Times New Roman"/>
        </w:rPr>
        <w:t>of iShares 3-7 Year Treasury Bond ETF (IEI) can be analyzed through its pricing relative to market conditions and comparable funds. While traditional P/E ratios are more common in equity analysis, for bond ETFs like IEI, valuation is often gauged through yield, price-to-duration metrics, and comparisons to similar Treasury funds.</w:t>
      </w:r>
    </w:p>
    <w:p w14:paraId="10B3C2DE" w14:textId="1F867418" w:rsidR="34E576DF" w:rsidRPr="004C0708" w:rsidRDefault="34E576DF" w:rsidP="1D456EC8">
      <w:pPr>
        <w:pStyle w:val="Heading3"/>
        <w:spacing w:before="270" w:after="270"/>
        <w:rPr>
          <w:rFonts w:ascii="Times New Roman" w:hAnsi="Times New Roman" w:cs="Times New Roman"/>
          <w:sz w:val="24"/>
          <w:szCs w:val="24"/>
        </w:rPr>
      </w:pPr>
      <w:r w:rsidRPr="004C0708">
        <w:rPr>
          <w:rFonts w:ascii="Times New Roman" w:eastAsia="Times New Roman" w:hAnsi="Times New Roman" w:cs="Times New Roman"/>
          <w:sz w:val="24"/>
          <w:szCs w:val="24"/>
        </w:rPr>
        <w:t>Low P/E Ratio:</w:t>
      </w:r>
    </w:p>
    <w:p w14:paraId="307E1159" w14:textId="6BD228D8"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For bond ETFs, low valuation often stems from higher bond yields or discounted bond prices within the portfolio. Rising interest rates in the broader market may have suppressed bond prices, creating an opportunity to invest in IEI at attractive levels. This trend indicates potential for higher returns as bond prices recover with rate stabilization or declines.</w:t>
      </w:r>
    </w:p>
    <w:p w14:paraId="31B447C2" w14:textId="5848B392" w:rsidR="34E576DF" w:rsidRPr="004C0708" w:rsidRDefault="34E576DF" w:rsidP="1D456EC8">
      <w:pPr>
        <w:pStyle w:val="Heading3"/>
        <w:spacing w:before="270" w:after="270"/>
        <w:rPr>
          <w:rFonts w:ascii="Times New Roman" w:hAnsi="Times New Roman" w:cs="Times New Roman"/>
          <w:sz w:val="24"/>
          <w:szCs w:val="24"/>
        </w:rPr>
      </w:pPr>
      <w:r w:rsidRPr="004C0708">
        <w:rPr>
          <w:rFonts w:ascii="Times New Roman" w:eastAsia="Times New Roman" w:hAnsi="Times New Roman" w:cs="Times New Roman"/>
          <w:sz w:val="24"/>
          <w:szCs w:val="24"/>
        </w:rPr>
        <w:t>Favorable Comparison to Industry:</w:t>
      </w:r>
    </w:p>
    <w:p w14:paraId="04176BE4" w14:textId="15F4675B"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 xml:space="preserve">IEI’s valuation can be compared to similar mid-duration Treasury ETFs. With a focus on U.S. government bonds (offering high credit quality), IEI provides relatively stable returns and lower risk compared to corporate bond ETFs. Its intermediate duration balances sensitivity to interest rate changes while offering a higher yield than short-term Treasury ETFs. This makes it a </w:t>
      </w:r>
      <w:r w:rsidRPr="004C0708">
        <w:rPr>
          <w:rFonts w:ascii="Times New Roman" w:eastAsia="Times New Roman" w:hAnsi="Times New Roman" w:cs="Times New Roman"/>
        </w:rPr>
        <w:lastRenderedPageBreak/>
        <w:t>compelling choice for risk-averse investors seeking consistent income and modest price appreciation.</w:t>
      </w:r>
    </w:p>
    <w:p w14:paraId="6FC75DBD" w14:textId="7D2DD884"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IEI’s strong fundamentals and attractive pricing position it as a valuable investment in the current market climate.</w:t>
      </w:r>
    </w:p>
    <w:p w14:paraId="73A7A571" w14:textId="1B4F94E1" w:rsidR="34E576DF" w:rsidRPr="004C0708" w:rsidRDefault="34E576DF" w:rsidP="1D456EC8">
      <w:pPr>
        <w:spacing w:line="257" w:lineRule="auto"/>
        <w:rPr>
          <w:rFonts w:ascii="Times New Roman" w:hAnsi="Times New Roman" w:cs="Times New Roman"/>
        </w:rPr>
      </w:pPr>
      <w:r w:rsidRPr="004C0708">
        <w:rPr>
          <w:rFonts w:ascii="Times New Roman" w:eastAsia="Times New Roman" w:hAnsi="Times New Roman" w:cs="Times New Roman"/>
          <w:b/>
          <w:bCs/>
          <w:color w:val="000000" w:themeColor="text1"/>
        </w:rPr>
        <w:t>Reason 2) Valuation Assessment (Low P/B Ratio and Favorable Comparison to Industry Average)</w:t>
      </w:r>
      <w:r w:rsidRPr="004C0708">
        <w:rPr>
          <w:rFonts w:ascii="Times New Roman" w:eastAsia="Times New Roman" w:hAnsi="Times New Roman" w:cs="Times New Roman"/>
          <w:color w:val="000000" w:themeColor="text1"/>
        </w:rPr>
        <w:t xml:space="preserve"> </w:t>
      </w:r>
    </w:p>
    <w:p w14:paraId="1FF2670B" w14:textId="3AF8D14E"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The valuation assessment of iShares 3-7 Year Treasury Bond ETF (IEI) can also be evaluated through the lens of its Price-to-Book (P/B) ratio, an important metric for assessing the market value of the fund compared to the net asset value (NAV) of its underlying holdings.</w:t>
      </w:r>
    </w:p>
    <w:p w14:paraId="7CE77912" w14:textId="3D88432A" w:rsidR="34E576DF" w:rsidRPr="004C0708" w:rsidRDefault="34E576DF" w:rsidP="1D456EC8">
      <w:pPr>
        <w:pStyle w:val="Heading3"/>
        <w:spacing w:before="270" w:after="270"/>
        <w:rPr>
          <w:rFonts w:ascii="Times New Roman" w:hAnsi="Times New Roman" w:cs="Times New Roman"/>
          <w:sz w:val="24"/>
          <w:szCs w:val="24"/>
        </w:rPr>
      </w:pPr>
      <w:r w:rsidRPr="004C0708">
        <w:rPr>
          <w:rFonts w:ascii="Times New Roman" w:eastAsia="Times New Roman" w:hAnsi="Times New Roman" w:cs="Times New Roman"/>
          <w:sz w:val="24"/>
          <w:szCs w:val="24"/>
        </w:rPr>
        <w:t>Low P/B Ratio:</w:t>
      </w:r>
    </w:p>
    <w:p w14:paraId="2441209C" w14:textId="5098DD1E"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 xml:space="preserve">A low P/B ratio indicates that </w:t>
      </w:r>
      <w:proofErr w:type="gramStart"/>
      <w:r w:rsidRPr="004C0708">
        <w:rPr>
          <w:rFonts w:ascii="Times New Roman" w:eastAsia="Times New Roman" w:hAnsi="Times New Roman" w:cs="Times New Roman"/>
        </w:rPr>
        <w:t>the ETF’s</w:t>
      </w:r>
      <w:proofErr w:type="gramEnd"/>
      <w:r w:rsidRPr="004C0708">
        <w:rPr>
          <w:rFonts w:ascii="Times New Roman" w:eastAsia="Times New Roman" w:hAnsi="Times New Roman" w:cs="Times New Roman"/>
        </w:rPr>
        <w:t xml:space="preserve"> market price is trading close to or below the book value of its underlying assets. For bond ETFs like IEI, this is often a result of broader market factors such as rising interest rates, which can drive bond prices lower, pushing their market values below their par values. Such a scenario may signal an undervaluation, making the ETF an attractive investment opportunity as it has the potential for price recovery when rates stabilize or decline.</w:t>
      </w:r>
    </w:p>
    <w:p w14:paraId="1204063C" w14:textId="1EF051DD" w:rsidR="34E576DF" w:rsidRPr="004C0708" w:rsidRDefault="34E576DF" w:rsidP="1D456EC8">
      <w:pPr>
        <w:pStyle w:val="Heading3"/>
        <w:spacing w:before="270" w:after="270"/>
        <w:rPr>
          <w:rFonts w:ascii="Times New Roman" w:hAnsi="Times New Roman" w:cs="Times New Roman"/>
          <w:sz w:val="24"/>
          <w:szCs w:val="24"/>
        </w:rPr>
      </w:pPr>
      <w:r w:rsidRPr="004C0708">
        <w:rPr>
          <w:rFonts w:ascii="Times New Roman" w:eastAsia="Times New Roman" w:hAnsi="Times New Roman" w:cs="Times New Roman"/>
          <w:sz w:val="24"/>
          <w:szCs w:val="24"/>
        </w:rPr>
        <w:t>Favorable Comparison to Industry:</w:t>
      </w:r>
    </w:p>
    <w:p w14:paraId="47174A86" w14:textId="5D2801F8"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Compared to other mid-duration bond ETFs, IEI’s P/B ratio could be more favorable due to its exclusive focus on U.S. Treasury bonds, which offer high credit quality and minimal default risk. Unlike corporate bond ETFs, Treasury-focused funds are less affected by credit spreads, further enhancing their appeal during periods of market volatility.</w:t>
      </w:r>
    </w:p>
    <w:p w14:paraId="50516FB2" w14:textId="4ED0D3C8"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This low P/B ratio, coupled with IEI’s high-quality holdings, positions it as a strong option for value-focused investors seeking stability and potential capital appreciation.</w:t>
      </w:r>
    </w:p>
    <w:p w14:paraId="0C528A99" w14:textId="3B27D890" w:rsidR="34E576DF" w:rsidRPr="004C0708" w:rsidRDefault="34E576DF" w:rsidP="1D456EC8">
      <w:pPr>
        <w:spacing w:line="257" w:lineRule="auto"/>
        <w:rPr>
          <w:rFonts w:ascii="Times New Roman" w:eastAsia="Calibri" w:hAnsi="Times New Roman" w:cs="Times New Roman"/>
          <w:color w:val="000000" w:themeColor="text1"/>
        </w:rPr>
      </w:pPr>
      <w:r w:rsidRPr="004C0708">
        <w:rPr>
          <w:rFonts w:ascii="Times New Roman" w:eastAsia="Calibri" w:hAnsi="Times New Roman" w:cs="Times New Roman"/>
          <w:b/>
          <w:bCs/>
          <w:color w:val="000000" w:themeColor="text1"/>
        </w:rPr>
        <w:t>Reason 3) Profitability Assessment</w:t>
      </w:r>
    </w:p>
    <w:p w14:paraId="40DE466E" w14:textId="247C40B7" w:rsidR="34E576DF" w:rsidRPr="004C0708" w:rsidRDefault="34E576DF" w:rsidP="004C0708">
      <w:pPr>
        <w:jc w:val="center"/>
        <w:rPr>
          <w:rFonts w:ascii="Times New Roman" w:hAnsi="Times New Roman" w:cs="Times New Roman"/>
        </w:rPr>
      </w:pPr>
      <w:r w:rsidRPr="004C0708">
        <w:rPr>
          <w:rFonts w:ascii="Times New Roman" w:hAnsi="Times New Roman" w:cs="Times New Roman"/>
          <w:noProof/>
        </w:rPr>
        <w:lastRenderedPageBreak/>
        <w:drawing>
          <wp:inline distT="0" distB="0" distL="0" distR="0" wp14:anchorId="0D6B106A" wp14:editId="495D0CF4">
            <wp:extent cx="2524836" cy="2342148"/>
            <wp:effectExtent l="0" t="0" r="2540" b="0"/>
            <wp:docPr id="2115942818" name="Picture 211594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613266" cy="2424179"/>
                    </a:xfrm>
                    <a:prstGeom prst="rect">
                      <a:avLst/>
                    </a:prstGeom>
                  </pic:spPr>
                </pic:pic>
              </a:graphicData>
            </a:graphic>
          </wp:inline>
        </w:drawing>
      </w:r>
    </w:p>
    <w:p w14:paraId="39D6A325" w14:textId="5D75E82E" w:rsidR="34E576DF" w:rsidRPr="00B31664" w:rsidRDefault="34E576DF" w:rsidP="1D456EC8">
      <w:pPr>
        <w:spacing w:before="240" w:after="240"/>
        <w:rPr>
          <w:rFonts w:ascii="Times New Roman" w:hAnsi="Times New Roman" w:cs="Times New Roman"/>
          <w:color w:val="000000" w:themeColor="text1"/>
        </w:rPr>
      </w:pPr>
      <w:r w:rsidRPr="004C0708">
        <w:rPr>
          <w:rFonts w:ascii="Times New Roman" w:eastAsia="Times New Roman" w:hAnsi="Times New Roman" w:cs="Times New Roman"/>
        </w:rPr>
        <w:t>The</w:t>
      </w:r>
      <w:r w:rsidRPr="004C0708">
        <w:rPr>
          <w:rFonts w:ascii="Times New Roman" w:eastAsia="Times New Roman" w:hAnsi="Times New Roman" w:cs="Times New Roman"/>
          <w:b/>
          <w:bCs/>
        </w:rPr>
        <w:t xml:space="preserve"> </w:t>
      </w:r>
      <w:r w:rsidRPr="004C0708">
        <w:rPr>
          <w:rFonts w:ascii="Times New Roman" w:eastAsia="Times New Roman" w:hAnsi="Times New Roman" w:cs="Times New Roman"/>
        </w:rPr>
        <w:t xml:space="preserve">profitability assessment of iShares 3-7 Year Treasury Bond ETF (IEI) evaluates its ability to deliver consistent returns through income and price stability. Unlike equities, where profitability is tied to earnings growth, bond ETFs like IEI focus on yield, risk-adjusted returns, and cost </w:t>
      </w:r>
      <w:r w:rsidRPr="00B31664">
        <w:rPr>
          <w:rFonts w:ascii="Times New Roman" w:eastAsia="Times New Roman" w:hAnsi="Times New Roman" w:cs="Times New Roman"/>
          <w:color w:val="000000" w:themeColor="text1"/>
        </w:rPr>
        <w:t>efficiency.</w:t>
      </w:r>
    </w:p>
    <w:p w14:paraId="4CAA5BEC" w14:textId="5CA36463" w:rsidR="34E576DF" w:rsidRPr="00B31664" w:rsidRDefault="34E576DF" w:rsidP="1D456EC8">
      <w:pPr>
        <w:pStyle w:val="Heading3"/>
        <w:spacing w:before="270" w:after="270"/>
        <w:rPr>
          <w:rFonts w:ascii="Times New Roman" w:hAnsi="Times New Roman" w:cs="Times New Roman"/>
          <w:color w:val="000000" w:themeColor="text1"/>
          <w:sz w:val="24"/>
          <w:szCs w:val="24"/>
        </w:rPr>
      </w:pPr>
      <w:r w:rsidRPr="00B31664">
        <w:rPr>
          <w:rFonts w:ascii="Times New Roman" w:eastAsia="Times New Roman" w:hAnsi="Times New Roman" w:cs="Times New Roman"/>
          <w:color w:val="000000" w:themeColor="text1"/>
          <w:sz w:val="24"/>
          <w:szCs w:val="24"/>
        </w:rPr>
        <w:t>1. Yield and Income Generation:</w:t>
      </w:r>
    </w:p>
    <w:p w14:paraId="273B1780" w14:textId="5E99B40A" w:rsidR="34E576DF" w:rsidRPr="00B31664" w:rsidRDefault="34E576DF" w:rsidP="1D456EC8">
      <w:pPr>
        <w:spacing w:before="240" w:after="240"/>
        <w:rPr>
          <w:rFonts w:ascii="Times New Roman" w:hAnsi="Times New Roman" w:cs="Times New Roman"/>
          <w:color w:val="000000" w:themeColor="text1"/>
        </w:rPr>
      </w:pPr>
      <w:r w:rsidRPr="00B31664">
        <w:rPr>
          <w:rFonts w:ascii="Times New Roman" w:eastAsia="Times New Roman" w:hAnsi="Times New Roman" w:cs="Times New Roman"/>
          <w:color w:val="000000" w:themeColor="text1"/>
        </w:rPr>
        <w:t xml:space="preserve">IEI primarily generates returns from interest income paid by its holdings of U.S. Treasury bonds. With an intermediate duration of 3–7 years, it offers a higher yield than short-term bond ETFs while maintaining lower interest rate sensitivity </w:t>
      </w:r>
      <w:r w:rsidR="004C0708" w:rsidRPr="00B31664">
        <w:rPr>
          <w:rFonts w:ascii="Times New Roman" w:eastAsia="Times New Roman" w:hAnsi="Times New Roman" w:cs="Times New Roman"/>
          <w:color w:val="000000" w:themeColor="text1"/>
        </w:rPr>
        <w:t>than</w:t>
      </w:r>
      <w:r w:rsidRPr="00B31664">
        <w:rPr>
          <w:rFonts w:ascii="Times New Roman" w:eastAsia="Times New Roman" w:hAnsi="Times New Roman" w:cs="Times New Roman"/>
          <w:color w:val="000000" w:themeColor="text1"/>
        </w:rPr>
        <w:t xml:space="preserve"> long-term bond funds. The rising interest rate environment has increased bond yields, enhancing IEI's appeal for income-seeking investors.</w:t>
      </w:r>
    </w:p>
    <w:p w14:paraId="01A25870" w14:textId="6AAD81EA" w:rsidR="34E576DF" w:rsidRPr="00B31664" w:rsidRDefault="34E576DF" w:rsidP="1D456EC8">
      <w:pPr>
        <w:pStyle w:val="Heading3"/>
        <w:spacing w:before="270" w:after="270"/>
        <w:rPr>
          <w:rFonts w:ascii="Times New Roman" w:hAnsi="Times New Roman" w:cs="Times New Roman"/>
          <w:color w:val="000000" w:themeColor="text1"/>
          <w:sz w:val="24"/>
          <w:szCs w:val="24"/>
        </w:rPr>
      </w:pPr>
      <w:r w:rsidRPr="00B31664">
        <w:rPr>
          <w:rFonts w:ascii="Times New Roman" w:eastAsia="Times New Roman" w:hAnsi="Times New Roman" w:cs="Times New Roman"/>
          <w:color w:val="000000" w:themeColor="text1"/>
          <w:sz w:val="24"/>
          <w:szCs w:val="24"/>
        </w:rPr>
        <w:t>2. Capital Stability:</w:t>
      </w:r>
    </w:p>
    <w:p w14:paraId="18D4319A" w14:textId="137F59ED" w:rsidR="34E576DF" w:rsidRPr="00B31664" w:rsidRDefault="34E576DF" w:rsidP="1D456EC8">
      <w:pPr>
        <w:spacing w:before="240" w:after="240"/>
        <w:rPr>
          <w:rFonts w:ascii="Times New Roman" w:hAnsi="Times New Roman" w:cs="Times New Roman"/>
          <w:color w:val="000000" w:themeColor="text1"/>
        </w:rPr>
      </w:pPr>
      <w:r w:rsidRPr="00B31664">
        <w:rPr>
          <w:rFonts w:ascii="Times New Roman" w:eastAsia="Times New Roman" w:hAnsi="Times New Roman" w:cs="Times New Roman"/>
          <w:color w:val="000000" w:themeColor="text1"/>
        </w:rPr>
        <w:t xml:space="preserve">Investing exclusively in U.S. Treasury securities, IEI provides unmatched credit quality and minimal default risk, ensuring consistent income and </w:t>
      </w:r>
      <w:r w:rsidR="004C0708" w:rsidRPr="00B31664">
        <w:rPr>
          <w:rFonts w:ascii="Times New Roman" w:eastAsia="Times New Roman" w:hAnsi="Times New Roman" w:cs="Times New Roman"/>
          <w:color w:val="000000" w:themeColor="text1"/>
        </w:rPr>
        <w:t>reduced-price</w:t>
      </w:r>
      <w:r w:rsidRPr="00B31664">
        <w:rPr>
          <w:rFonts w:ascii="Times New Roman" w:eastAsia="Times New Roman" w:hAnsi="Times New Roman" w:cs="Times New Roman"/>
          <w:color w:val="000000" w:themeColor="text1"/>
        </w:rPr>
        <w:t xml:space="preserve"> volatility. This makes it a dependable choice for investors prioritizing capital preservation over aggressive growth.</w:t>
      </w:r>
    </w:p>
    <w:p w14:paraId="0C26963F" w14:textId="25899A5D" w:rsidR="34E576DF" w:rsidRPr="00B31664" w:rsidRDefault="34E576DF" w:rsidP="1D456EC8">
      <w:pPr>
        <w:pStyle w:val="Heading3"/>
        <w:spacing w:before="270" w:after="270"/>
        <w:rPr>
          <w:rFonts w:ascii="Times New Roman" w:hAnsi="Times New Roman" w:cs="Times New Roman"/>
          <w:color w:val="000000" w:themeColor="text1"/>
          <w:sz w:val="24"/>
          <w:szCs w:val="24"/>
        </w:rPr>
      </w:pPr>
      <w:r w:rsidRPr="00B31664">
        <w:rPr>
          <w:rFonts w:ascii="Times New Roman" w:eastAsia="Times New Roman" w:hAnsi="Times New Roman" w:cs="Times New Roman"/>
          <w:color w:val="000000" w:themeColor="text1"/>
          <w:sz w:val="24"/>
          <w:szCs w:val="24"/>
        </w:rPr>
        <w:t>3. Low Expenses:</w:t>
      </w:r>
    </w:p>
    <w:p w14:paraId="4DF2AC43" w14:textId="35D7E13C" w:rsidR="34E576DF" w:rsidRPr="00B31664" w:rsidRDefault="34E576DF" w:rsidP="1D456EC8">
      <w:pPr>
        <w:spacing w:before="240" w:after="240"/>
        <w:rPr>
          <w:rFonts w:ascii="Times New Roman" w:hAnsi="Times New Roman" w:cs="Times New Roman"/>
          <w:color w:val="000000" w:themeColor="text1"/>
        </w:rPr>
      </w:pPr>
      <w:r w:rsidRPr="00B31664">
        <w:rPr>
          <w:rFonts w:ascii="Times New Roman" w:eastAsia="Times New Roman" w:hAnsi="Times New Roman" w:cs="Times New Roman"/>
          <w:color w:val="000000" w:themeColor="text1"/>
        </w:rPr>
        <w:t>IEI’s expense ratio, typically around 0.15%, is competitive and ensures that more of the returns generated are passed on to investors, maximizing profitability over the long term.</w:t>
      </w:r>
    </w:p>
    <w:p w14:paraId="2613F392" w14:textId="4FF14FCC" w:rsidR="34E576DF" w:rsidRPr="004C0708" w:rsidRDefault="34E576DF" w:rsidP="1D456EC8">
      <w:pPr>
        <w:spacing w:before="240" w:after="240"/>
        <w:rPr>
          <w:rFonts w:ascii="Times New Roman" w:hAnsi="Times New Roman" w:cs="Times New Roman"/>
        </w:rPr>
      </w:pPr>
      <w:r w:rsidRPr="00B31664">
        <w:rPr>
          <w:rFonts w:ascii="Times New Roman" w:eastAsia="Times New Roman" w:hAnsi="Times New Roman" w:cs="Times New Roman"/>
          <w:color w:val="000000" w:themeColor="text1"/>
        </w:rPr>
        <w:t xml:space="preserve">In summary, IEI’s profitability stems from its reliable income, low </w:t>
      </w:r>
      <w:r w:rsidRPr="004C0708">
        <w:rPr>
          <w:rFonts w:ascii="Times New Roman" w:eastAsia="Times New Roman" w:hAnsi="Times New Roman" w:cs="Times New Roman"/>
        </w:rPr>
        <w:t>risk, and cost efficiency, making it an attractive option for conservative investors seeking stability and steady returns.</w:t>
      </w:r>
    </w:p>
    <w:p w14:paraId="41A90257" w14:textId="07700B52" w:rsidR="34E576DF" w:rsidRPr="004C0708" w:rsidRDefault="34E576DF" w:rsidP="00BE2C97">
      <w:pPr>
        <w:jc w:val="center"/>
        <w:rPr>
          <w:rFonts w:ascii="Times New Roman" w:hAnsi="Times New Roman" w:cs="Times New Roman"/>
        </w:rPr>
      </w:pPr>
      <w:r w:rsidRPr="004C0708">
        <w:rPr>
          <w:rFonts w:ascii="Times New Roman" w:hAnsi="Times New Roman" w:cs="Times New Roman"/>
          <w:noProof/>
        </w:rPr>
        <w:lastRenderedPageBreak/>
        <w:drawing>
          <wp:inline distT="0" distB="0" distL="0" distR="0" wp14:anchorId="74446C5C" wp14:editId="0A84E8F2">
            <wp:extent cx="3425588" cy="2583004"/>
            <wp:effectExtent l="0" t="0" r="3810" b="0"/>
            <wp:docPr id="416999617" name="Picture 416999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443411" cy="2596443"/>
                    </a:xfrm>
                    <a:prstGeom prst="rect">
                      <a:avLst/>
                    </a:prstGeom>
                  </pic:spPr>
                </pic:pic>
              </a:graphicData>
            </a:graphic>
          </wp:inline>
        </w:drawing>
      </w:r>
    </w:p>
    <w:p w14:paraId="74B09824" w14:textId="20EC30A1" w:rsidR="34E576DF" w:rsidRPr="004C0708" w:rsidRDefault="34E576DF" w:rsidP="1D456EC8">
      <w:pPr>
        <w:spacing w:line="257" w:lineRule="auto"/>
        <w:rPr>
          <w:rFonts w:ascii="Times New Roman" w:eastAsia="Aptos" w:hAnsi="Times New Roman" w:cs="Times New Roman"/>
          <w:color w:val="000000" w:themeColor="text1"/>
        </w:rPr>
      </w:pPr>
      <w:r w:rsidRPr="004C0708">
        <w:rPr>
          <w:rFonts w:ascii="Times New Roman" w:eastAsia="Aptos" w:hAnsi="Times New Roman" w:cs="Times New Roman"/>
          <w:b/>
          <w:bCs/>
          <w:color w:val="000000" w:themeColor="text1"/>
        </w:rPr>
        <w:t>Reason 4) Consistent Trailing Dividend Payout or Predictable Income (Bond)</w:t>
      </w:r>
    </w:p>
    <w:p w14:paraId="439BC768" w14:textId="16AE1624" w:rsidR="34E576DF" w:rsidRPr="004C0708" w:rsidRDefault="34E576DF" w:rsidP="00BE2C97">
      <w:pPr>
        <w:jc w:val="center"/>
        <w:rPr>
          <w:rFonts w:ascii="Times New Roman" w:hAnsi="Times New Roman" w:cs="Times New Roman"/>
        </w:rPr>
      </w:pPr>
      <w:r w:rsidRPr="004C0708">
        <w:rPr>
          <w:rFonts w:ascii="Times New Roman" w:hAnsi="Times New Roman" w:cs="Times New Roman"/>
          <w:noProof/>
        </w:rPr>
        <w:drawing>
          <wp:inline distT="0" distB="0" distL="0" distR="0" wp14:anchorId="0A2ACF9B" wp14:editId="3C7D633E">
            <wp:extent cx="4763017" cy="2252052"/>
            <wp:effectExtent l="0" t="0" r="0" b="0"/>
            <wp:docPr id="1637504578" name="Picture 163750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763017" cy="2252052"/>
                    </a:xfrm>
                    <a:prstGeom prst="rect">
                      <a:avLst/>
                    </a:prstGeom>
                  </pic:spPr>
                </pic:pic>
              </a:graphicData>
            </a:graphic>
          </wp:inline>
        </w:drawing>
      </w:r>
    </w:p>
    <w:p w14:paraId="51B1A942" w14:textId="659C2F21" w:rsidR="34E576DF" w:rsidRPr="004C0708" w:rsidRDefault="34E576DF" w:rsidP="1D456EC8">
      <w:pPr>
        <w:spacing w:line="257" w:lineRule="auto"/>
        <w:rPr>
          <w:rFonts w:ascii="Times New Roman" w:hAnsi="Times New Roman" w:cs="Times New Roman"/>
        </w:rPr>
      </w:pPr>
      <w:r w:rsidRPr="004C0708">
        <w:rPr>
          <w:rFonts w:ascii="Times New Roman" w:eastAsia="Aptos" w:hAnsi="Times New Roman" w:cs="Times New Roman"/>
          <w:b/>
          <w:bCs/>
          <w:color w:val="000000" w:themeColor="text1"/>
        </w:rPr>
        <w:t>Reason 5) High Market Capitalization</w:t>
      </w:r>
      <w:r w:rsidRPr="004C0708">
        <w:rPr>
          <w:rFonts w:ascii="Times New Roman" w:eastAsia="Aptos" w:hAnsi="Times New Roman" w:cs="Times New Roman"/>
          <w:color w:val="000000" w:themeColor="text1"/>
        </w:rPr>
        <w:t xml:space="preserve"> </w:t>
      </w:r>
    </w:p>
    <w:p w14:paraId="27C07A85" w14:textId="36BA2890"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The iShares 3-7 Year Treasury Bond ETF (IEI) is a highly liquid and stable investment vehicle that primarily tracks U.S. Treasury bonds with maturities between 3 and 7 years. Its high market</w:t>
      </w:r>
      <w:r w:rsidRPr="004C0708">
        <w:rPr>
          <w:rFonts w:ascii="Times New Roman" w:eastAsia="Times New Roman" w:hAnsi="Times New Roman" w:cs="Times New Roman"/>
          <w:b/>
          <w:bCs/>
        </w:rPr>
        <w:t xml:space="preserve"> </w:t>
      </w:r>
      <w:r w:rsidRPr="004C0708">
        <w:rPr>
          <w:rFonts w:ascii="Times New Roman" w:eastAsia="Times New Roman" w:hAnsi="Times New Roman" w:cs="Times New Roman"/>
        </w:rPr>
        <w:t>capitalization reflects strong investor demand, providing several key advantages.</w:t>
      </w:r>
    </w:p>
    <w:p w14:paraId="00802C8B" w14:textId="28F4C623"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Firstly, IEI’s large market cap ensures liquidity, enabling investors to buy and sell shares efficiently with minimal transaction costs. This is especially beneficial for institutional investors who require flexibility and cost-effective entry and exit points. High liquidity also results in tight bid-ask spreads, which help reduce trading costs for individual investors.</w:t>
      </w:r>
    </w:p>
    <w:p w14:paraId="7368E7E0" w14:textId="38BF95C6"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Secondly, the fund's size indicates investor confidence in its ability to generate stable income through the interest payments of U.S. Treasury bonds. With a focus on low-risk, high-credit-quality assets, IEI is a trusted choice for those seeking capital preservation and consistent returns.</w:t>
      </w:r>
    </w:p>
    <w:p w14:paraId="4960804C" w14:textId="69D82728"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lastRenderedPageBreak/>
        <w:t xml:space="preserve">Finally, a high market cap contributes to </w:t>
      </w:r>
      <w:proofErr w:type="gramStart"/>
      <w:r w:rsidRPr="004C0708">
        <w:rPr>
          <w:rFonts w:ascii="Times New Roman" w:eastAsia="Times New Roman" w:hAnsi="Times New Roman" w:cs="Times New Roman"/>
        </w:rPr>
        <w:t>the ETF's</w:t>
      </w:r>
      <w:proofErr w:type="gramEnd"/>
      <w:r w:rsidRPr="004C0708">
        <w:rPr>
          <w:rFonts w:ascii="Times New Roman" w:eastAsia="Times New Roman" w:hAnsi="Times New Roman" w:cs="Times New Roman"/>
        </w:rPr>
        <w:t xml:space="preserve"> stability, particularly in volatile markets. The large scale and underlying quality of U.S. Treasuries provide resilience, making IEI a safe and reliable option for conservative investors looking for moderate yield and security.</w:t>
      </w:r>
    </w:p>
    <w:p w14:paraId="16D31290" w14:textId="3F485A56" w:rsidR="34E576DF" w:rsidRPr="004C0708" w:rsidRDefault="34E576DF" w:rsidP="1D456EC8">
      <w:pPr>
        <w:spacing w:before="240" w:after="240"/>
        <w:rPr>
          <w:rFonts w:ascii="Times New Roman" w:hAnsi="Times New Roman" w:cs="Times New Roman"/>
        </w:rPr>
      </w:pPr>
      <w:r w:rsidRPr="004C0708">
        <w:rPr>
          <w:rFonts w:ascii="Times New Roman" w:eastAsia="Times New Roman" w:hAnsi="Times New Roman" w:cs="Times New Roman"/>
        </w:rPr>
        <w:t>In summary, IEI’s high market capitalization enhances its liquidity, investor trust, and overall stability, making it an attractive choice for both individual and institutional investors.</w:t>
      </w:r>
    </w:p>
    <w:p w14:paraId="40E850B2" w14:textId="2764F4E2" w:rsidR="34E576DF" w:rsidRPr="004C0708" w:rsidRDefault="34E576DF" w:rsidP="1D456EC8">
      <w:pPr>
        <w:spacing w:before="240" w:after="240"/>
        <w:rPr>
          <w:rFonts w:ascii="Times New Roman" w:eastAsia="Aptos" w:hAnsi="Times New Roman" w:cs="Times New Roman"/>
          <w:color w:val="000000" w:themeColor="text1"/>
        </w:rPr>
      </w:pPr>
      <w:r w:rsidRPr="004C0708">
        <w:rPr>
          <w:rFonts w:ascii="Times New Roman" w:eastAsia="Aptos" w:hAnsi="Times New Roman" w:cs="Times New Roman"/>
          <w:b/>
          <w:bCs/>
          <w:color w:val="000000" w:themeColor="text1"/>
        </w:rPr>
        <w:t>Reason 6) Projected Future Long-Term Growth Based on Historical Data</w:t>
      </w:r>
    </w:p>
    <w:p w14:paraId="32972431" w14:textId="130DCBAC" w:rsidR="34E576DF" w:rsidRPr="004C0708" w:rsidRDefault="34E576DF" w:rsidP="00BE2C97">
      <w:pPr>
        <w:jc w:val="center"/>
        <w:rPr>
          <w:rFonts w:ascii="Times New Roman" w:hAnsi="Times New Roman" w:cs="Times New Roman"/>
        </w:rPr>
      </w:pPr>
      <w:r w:rsidRPr="004C0708">
        <w:rPr>
          <w:rFonts w:ascii="Times New Roman" w:hAnsi="Times New Roman" w:cs="Times New Roman"/>
          <w:noProof/>
        </w:rPr>
        <w:drawing>
          <wp:inline distT="0" distB="0" distL="0" distR="0" wp14:anchorId="5BE01ADD" wp14:editId="41A002DC">
            <wp:extent cx="5944116" cy="3706689"/>
            <wp:effectExtent l="0" t="0" r="0" b="0"/>
            <wp:docPr id="168034811" name="Picture 16803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4116" cy="3706689"/>
                    </a:xfrm>
                    <a:prstGeom prst="rect">
                      <a:avLst/>
                    </a:prstGeom>
                  </pic:spPr>
                </pic:pic>
              </a:graphicData>
            </a:graphic>
          </wp:inline>
        </w:drawing>
      </w:r>
    </w:p>
    <w:p w14:paraId="2DA6CB87" w14:textId="4E485905" w:rsidR="34E576DF" w:rsidRPr="004C0708" w:rsidRDefault="34E576DF" w:rsidP="1D456EC8">
      <w:pPr>
        <w:spacing w:line="257" w:lineRule="auto"/>
        <w:rPr>
          <w:rFonts w:ascii="Times New Roman" w:hAnsi="Times New Roman" w:cs="Times New Roman"/>
        </w:rPr>
      </w:pPr>
      <w:r w:rsidRPr="004C0708">
        <w:rPr>
          <w:rFonts w:ascii="Times New Roman" w:eastAsia="Aptos" w:hAnsi="Times New Roman" w:cs="Times New Roman"/>
          <w:b/>
          <w:bCs/>
          <w:color w:val="000000" w:themeColor="text1"/>
        </w:rPr>
        <w:t>Reason 7) Industry Expert Recommendations</w:t>
      </w:r>
      <w:r w:rsidRPr="004C0708">
        <w:rPr>
          <w:rFonts w:ascii="Times New Roman" w:eastAsia="Aptos" w:hAnsi="Times New Roman" w:cs="Times New Roman"/>
          <w:color w:val="000000" w:themeColor="text1"/>
        </w:rPr>
        <w:t xml:space="preserve"> </w:t>
      </w:r>
    </w:p>
    <w:p w14:paraId="12AD5FAA" w14:textId="0FF7CB44"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 xml:space="preserve">Here are a </w:t>
      </w:r>
      <w:proofErr w:type="gramStart"/>
      <w:r w:rsidRPr="004C0708">
        <w:rPr>
          <w:rFonts w:ascii="Times New Roman" w:eastAsia="Times New Roman" w:hAnsi="Times New Roman" w:cs="Times New Roman"/>
        </w:rPr>
        <w:t xml:space="preserve">few </w:t>
      </w:r>
      <w:r w:rsidR="005A1EF8" w:rsidRPr="004C0708">
        <w:rPr>
          <w:rFonts w:ascii="Times New Roman" w:eastAsia="Times New Roman" w:hAnsi="Times New Roman" w:cs="Times New Roman"/>
        </w:rPr>
        <w:t>industries</w:t>
      </w:r>
      <w:proofErr w:type="gramEnd"/>
      <w:r w:rsidRPr="004C0708">
        <w:rPr>
          <w:rFonts w:ascii="Times New Roman" w:eastAsia="Times New Roman" w:hAnsi="Times New Roman" w:cs="Times New Roman"/>
        </w:rPr>
        <w:t xml:space="preserve"> expert recommendations for investing in iShares 3-7 Year Treasury Bond ETF (IEI):</w:t>
      </w:r>
    </w:p>
    <w:p w14:paraId="4F4F82C0" w14:textId="50A37E2F"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1. For Conservative Income Seekers:</w:t>
      </w:r>
    </w:p>
    <w:p w14:paraId="7972CCBA" w14:textId="4B0B2675" w:rsidR="34E576DF" w:rsidRPr="004C0708" w:rsidRDefault="34E576DF" w:rsidP="00FB7BFB">
      <w:pPr>
        <w:pStyle w:val="ListParagraph"/>
        <w:numPr>
          <w:ilvl w:val="0"/>
          <w:numId w:val="68"/>
        </w:numPr>
        <w:spacing w:after="0"/>
        <w:rPr>
          <w:rFonts w:ascii="Times New Roman" w:eastAsia="Times New Roman" w:hAnsi="Times New Roman" w:cs="Times New Roman"/>
        </w:rPr>
      </w:pPr>
      <w:r w:rsidRPr="004C0708">
        <w:rPr>
          <w:rFonts w:ascii="Times New Roman" w:eastAsia="Times New Roman" w:hAnsi="Times New Roman" w:cs="Times New Roman"/>
        </w:rPr>
        <w:t xml:space="preserve">Recommendation: IEI is ideal for conservative investors </w:t>
      </w:r>
      <w:r w:rsidR="005A1EF8" w:rsidRPr="004C0708">
        <w:rPr>
          <w:rFonts w:ascii="Times New Roman" w:eastAsia="Times New Roman" w:hAnsi="Times New Roman" w:cs="Times New Roman"/>
        </w:rPr>
        <w:t>prioritizing</w:t>
      </w:r>
      <w:r w:rsidRPr="004C0708">
        <w:rPr>
          <w:rFonts w:ascii="Times New Roman" w:eastAsia="Times New Roman" w:hAnsi="Times New Roman" w:cs="Times New Roman"/>
        </w:rPr>
        <w:t xml:space="preserve"> income generation and capital preservation. Its focus on U.S. Treasury bonds provides a low-risk investment with stable returns. Experts suggest allocating a portion of the portfolio to IEI to generate consistent income while minimizing exposure to market volatility.</w:t>
      </w:r>
    </w:p>
    <w:p w14:paraId="01B4A04D" w14:textId="61F79E64"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2. During Rising Interest Rates:</w:t>
      </w:r>
    </w:p>
    <w:p w14:paraId="41C3471B" w14:textId="61924E95" w:rsidR="34E576DF" w:rsidRPr="004C0708" w:rsidRDefault="34E576DF" w:rsidP="00FB7BFB">
      <w:pPr>
        <w:pStyle w:val="ListParagraph"/>
        <w:numPr>
          <w:ilvl w:val="0"/>
          <w:numId w:val="67"/>
        </w:numPr>
        <w:spacing w:after="0"/>
        <w:rPr>
          <w:rFonts w:ascii="Times New Roman" w:eastAsia="Times New Roman" w:hAnsi="Times New Roman" w:cs="Times New Roman"/>
        </w:rPr>
      </w:pPr>
      <w:r w:rsidRPr="004C0708">
        <w:rPr>
          <w:rFonts w:ascii="Times New Roman" w:eastAsia="Times New Roman" w:hAnsi="Times New Roman" w:cs="Times New Roman"/>
        </w:rPr>
        <w:t xml:space="preserve">Recommendation: With rising interest rates, IEI's moderate duration helps mitigate the risk of price declines compared to long-duration bonds. Experts advise investors to </w:t>
      </w:r>
      <w:r w:rsidRPr="004C0708">
        <w:rPr>
          <w:rFonts w:ascii="Times New Roman" w:eastAsia="Times New Roman" w:hAnsi="Times New Roman" w:cs="Times New Roman"/>
        </w:rPr>
        <w:lastRenderedPageBreak/>
        <w:t xml:space="preserve">consider IEI as </w:t>
      </w:r>
      <w:proofErr w:type="gramStart"/>
      <w:r w:rsidRPr="004C0708">
        <w:rPr>
          <w:rFonts w:ascii="Times New Roman" w:eastAsia="Times New Roman" w:hAnsi="Times New Roman" w:cs="Times New Roman"/>
        </w:rPr>
        <w:t>a safe haven</w:t>
      </w:r>
      <w:proofErr w:type="gramEnd"/>
      <w:r w:rsidRPr="004C0708">
        <w:rPr>
          <w:rFonts w:ascii="Times New Roman" w:eastAsia="Times New Roman" w:hAnsi="Times New Roman" w:cs="Times New Roman"/>
        </w:rPr>
        <w:t xml:space="preserve"> for protecting against rate increases, as the ETF offers relatively higher yields without the extreme price sensitivity of long-term Treasury bonds.</w:t>
      </w:r>
    </w:p>
    <w:p w14:paraId="31D77E75" w14:textId="219F77BE"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3. As Part of a Diversified Portfolio:</w:t>
      </w:r>
    </w:p>
    <w:p w14:paraId="0F9E631A" w14:textId="01C2796F" w:rsidR="34E576DF" w:rsidRPr="004C0708" w:rsidRDefault="34E576DF" w:rsidP="00FB7BFB">
      <w:pPr>
        <w:pStyle w:val="ListParagraph"/>
        <w:numPr>
          <w:ilvl w:val="0"/>
          <w:numId w:val="66"/>
        </w:numPr>
        <w:spacing w:after="0"/>
        <w:rPr>
          <w:rFonts w:ascii="Times New Roman" w:eastAsia="Times New Roman" w:hAnsi="Times New Roman" w:cs="Times New Roman"/>
        </w:rPr>
      </w:pPr>
      <w:r w:rsidRPr="004C0708">
        <w:rPr>
          <w:rFonts w:ascii="Times New Roman" w:eastAsia="Times New Roman" w:hAnsi="Times New Roman" w:cs="Times New Roman"/>
        </w:rPr>
        <w:t>Recommendation: IEI is an excellent choice for diversifying a portfolio, particularly for investors w</w:t>
      </w:r>
      <w:r w:rsidR="005A1EF8" w:rsidRPr="004C0708">
        <w:rPr>
          <w:rFonts w:ascii="Times New Roman" w:eastAsia="Times New Roman" w:hAnsi="Times New Roman" w:cs="Times New Roman"/>
        </w:rPr>
        <w:t>ith significant equities exposure</w:t>
      </w:r>
      <w:r w:rsidRPr="004C0708">
        <w:rPr>
          <w:rFonts w:ascii="Times New Roman" w:eastAsia="Times New Roman" w:hAnsi="Times New Roman" w:cs="Times New Roman"/>
        </w:rPr>
        <w:t>. Adding Treasury bond ETFs like IEI can offer downside protection and lower volatility in case of stock market downturns. Financial advisors suggest allocating 10–20% of a portfolio to bonds for balance.</w:t>
      </w:r>
    </w:p>
    <w:p w14:paraId="4E83791B" w14:textId="20C77E59"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4. In Uncertain Economic Environments:</w:t>
      </w:r>
    </w:p>
    <w:p w14:paraId="3F5094B3" w14:textId="1597FB0D" w:rsidR="34E576DF" w:rsidRPr="004C0708" w:rsidRDefault="34E576DF" w:rsidP="00FB7BFB">
      <w:pPr>
        <w:pStyle w:val="ListParagraph"/>
        <w:numPr>
          <w:ilvl w:val="0"/>
          <w:numId w:val="65"/>
        </w:numPr>
        <w:spacing w:after="0"/>
        <w:rPr>
          <w:rFonts w:ascii="Times New Roman" w:eastAsia="Times New Roman" w:hAnsi="Times New Roman" w:cs="Times New Roman"/>
        </w:rPr>
      </w:pPr>
      <w:r w:rsidRPr="004C0708">
        <w:rPr>
          <w:rFonts w:ascii="Times New Roman" w:eastAsia="Times New Roman" w:hAnsi="Times New Roman" w:cs="Times New Roman"/>
        </w:rPr>
        <w:t>Recommendation: Experts recommend holding IEI in portfolios during times of economic uncertainty or market turbulence. U.S. Treasuries are considered a safe-haven asset, providing stability when other investments, such as equities, may be more volatile.</w:t>
      </w:r>
    </w:p>
    <w:p w14:paraId="38C30A90" w14:textId="1FDA1498" w:rsidR="34E576DF" w:rsidRPr="004C0708" w:rsidRDefault="34E576DF" w:rsidP="1D456EC8">
      <w:pPr>
        <w:rPr>
          <w:rFonts w:ascii="Times New Roman" w:hAnsi="Times New Roman" w:cs="Times New Roman"/>
        </w:rPr>
      </w:pPr>
      <w:r w:rsidRPr="004C0708">
        <w:rPr>
          <w:rFonts w:ascii="Times New Roman" w:eastAsia="Times New Roman" w:hAnsi="Times New Roman" w:cs="Times New Roman"/>
        </w:rPr>
        <w:t>These recommendations highlight how IEI can fit into various investment strategies, offering a mix of safety, income, and portfolio balance.</w:t>
      </w:r>
    </w:p>
    <w:p w14:paraId="07D1844E" w14:textId="549FCDFF" w:rsidR="34E576DF" w:rsidRPr="004C0708" w:rsidRDefault="34E576DF" w:rsidP="00FB7BFB">
      <w:pPr>
        <w:pStyle w:val="ListParagraph"/>
        <w:numPr>
          <w:ilvl w:val="0"/>
          <w:numId w:val="64"/>
        </w:numPr>
        <w:spacing w:after="0"/>
        <w:rPr>
          <w:rFonts w:ascii="Times New Roman" w:eastAsia="Times New Roman" w:hAnsi="Times New Roman" w:cs="Times New Roman"/>
          <w:b/>
          <w:bCs/>
        </w:rPr>
      </w:pPr>
      <w:r w:rsidRPr="004C0708">
        <w:rPr>
          <w:rFonts w:ascii="Times New Roman" w:eastAsia="Times New Roman" w:hAnsi="Times New Roman" w:cs="Times New Roman"/>
          <w:b/>
          <w:bCs/>
        </w:rPr>
        <w:t xml:space="preserve">Amount Invested </w:t>
      </w:r>
      <w:r w:rsidR="001A0F1D" w:rsidRPr="004C0708">
        <w:rPr>
          <w:rFonts w:ascii="Times New Roman" w:eastAsia="Times New Roman" w:hAnsi="Times New Roman" w:cs="Times New Roman"/>
          <w:b/>
          <w:bCs/>
        </w:rPr>
        <w:t>and</w:t>
      </w:r>
      <w:r w:rsidRPr="004C0708">
        <w:rPr>
          <w:rFonts w:ascii="Times New Roman" w:eastAsia="Times New Roman" w:hAnsi="Times New Roman" w:cs="Times New Roman"/>
          <w:b/>
          <w:bCs/>
        </w:rPr>
        <w:t xml:space="preserve"> Why</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32"/>
        <w:gridCol w:w="1642"/>
        <w:gridCol w:w="1640"/>
        <w:gridCol w:w="1633"/>
        <w:gridCol w:w="1631"/>
      </w:tblGrid>
      <w:tr w:rsidR="1D456EC8" w:rsidRPr="004C0708" w14:paraId="09DD9715" w14:textId="77777777" w:rsidTr="1D456EC8">
        <w:trPr>
          <w:trHeight w:val="300"/>
        </w:trPr>
        <w:tc>
          <w:tcPr>
            <w:tcW w:w="16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2C8A7D" w14:textId="7A09750C" w:rsidR="1D456EC8" w:rsidRPr="004C0708" w:rsidRDefault="1D456EC8" w:rsidP="1D456EC8">
            <w:pPr>
              <w:spacing w:after="0"/>
              <w:rPr>
                <w:rFonts w:ascii="Times New Roman" w:hAnsi="Times New Roman" w:cs="Times New Roman"/>
              </w:rPr>
            </w:pPr>
            <w:r w:rsidRPr="004C0708">
              <w:rPr>
                <w:rFonts w:ascii="Times New Roman" w:eastAsia="Arial" w:hAnsi="Times New Roman" w:cs="Times New Roman"/>
                <w:color w:val="000000" w:themeColor="text1"/>
              </w:rPr>
              <w:t xml:space="preserve">Symbol </w:t>
            </w:r>
          </w:p>
        </w:tc>
        <w:tc>
          <w:tcPr>
            <w:tcW w:w="16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C24C4" w14:textId="70EC1E0F" w:rsidR="1D456EC8" w:rsidRPr="004C0708" w:rsidRDefault="1D456EC8" w:rsidP="1D456EC8">
            <w:pPr>
              <w:spacing w:after="0"/>
              <w:rPr>
                <w:rFonts w:ascii="Times New Roman" w:hAnsi="Times New Roman" w:cs="Times New Roman"/>
              </w:rPr>
            </w:pPr>
            <w:r w:rsidRPr="004C0708">
              <w:rPr>
                <w:rFonts w:ascii="Times New Roman" w:eastAsia="Arial" w:hAnsi="Times New Roman" w:cs="Times New Roman"/>
                <w:color w:val="000000" w:themeColor="text1"/>
              </w:rPr>
              <w:t xml:space="preserve">Description </w:t>
            </w:r>
          </w:p>
        </w:tc>
        <w:tc>
          <w:tcPr>
            <w:tcW w:w="1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17AB8" w14:textId="6785AB5F" w:rsidR="1D456EC8" w:rsidRPr="004C0708" w:rsidRDefault="1D456EC8" w:rsidP="1D456EC8">
            <w:pPr>
              <w:spacing w:after="0"/>
              <w:rPr>
                <w:rFonts w:ascii="Times New Roman" w:hAnsi="Times New Roman" w:cs="Times New Roman"/>
              </w:rPr>
            </w:pPr>
            <w:r w:rsidRPr="004C0708">
              <w:rPr>
                <w:rFonts w:ascii="Times New Roman" w:eastAsia="Arial" w:hAnsi="Times New Roman" w:cs="Times New Roman"/>
                <w:color w:val="000000" w:themeColor="text1"/>
              </w:rPr>
              <w:t xml:space="preserve">Transaction </w:t>
            </w:r>
          </w:p>
        </w:tc>
        <w:tc>
          <w:tcPr>
            <w:tcW w:w="1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F8BEF8" w14:textId="60AD2116" w:rsidR="1D456EC8" w:rsidRPr="004C0708" w:rsidRDefault="1D456EC8" w:rsidP="1D456EC8">
            <w:pPr>
              <w:spacing w:after="0"/>
              <w:rPr>
                <w:rFonts w:ascii="Times New Roman" w:hAnsi="Times New Roman" w:cs="Times New Roman"/>
              </w:rPr>
            </w:pPr>
            <w:r w:rsidRPr="004C0708">
              <w:rPr>
                <w:rFonts w:ascii="Times New Roman" w:eastAsia="Arial" w:hAnsi="Times New Roman" w:cs="Times New Roman"/>
                <w:color w:val="000000" w:themeColor="text1"/>
              </w:rPr>
              <w:t xml:space="preserve">Quantity </w:t>
            </w:r>
          </w:p>
        </w:tc>
        <w:tc>
          <w:tcPr>
            <w:tcW w:w="16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6F9834" w14:textId="5D67B502" w:rsidR="1D456EC8" w:rsidRPr="004C0708" w:rsidRDefault="1D456EC8" w:rsidP="1D456EC8">
            <w:pPr>
              <w:spacing w:after="0"/>
              <w:rPr>
                <w:rFonts w:ascii="Times New Roman" w:hAnsi="Times New Roman" w:cs="Times New Roman"/>
              </w:rPr>
            </w:pPr>
            <w:r w:rsidRPr="004C0708">
              <w:rPr>
                <w:rFonts w:ascii="Times New Roman" w:eastAsia="Arial" w:hAnsi="Times New Roman" w:cs="Times New Roman"/>
                <w:color w:val="000000" w:themeColor="text1"/>
              </w:rPr>
              <w:t xml:space="preserve">Current Price </w:t>
            </w:r>
          </w:p>
        </w:tc>
      </w:tr>
      <w:tr w:rsidR="1D456EC8" w:rsidRPr="004C0708" w14:paraId="5060AE9F" w14:textId="77777777" w:rsidTr="1D456EC8">
        <w:trPr>
          <w:trHeight w:val="300"/>
        </w:trPr>
        <w:tc>
          <w:tcPr>
            <w:tcW w:w="16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E9BB9" w14:textId="409942E4" w:rsidR="1D456EC8" w:rsidRPr="004C0708" w:rsidRDefault="1D456EC8" w:rsidP="1D456EC8">
            <w:pPr>
              <w:spacing w:after="0"/>
              <w:rPr>
                <w:rFonts w:ascii="Times New Roman" w:hAnsi="Times New Roman" w:cs="Times New Roman"/>
              </w:rPr>
            </w:pPr>
            <w:r w:rsidRPr="004C0708">
              <w:rPr>
                <w:rFonts w:ascii="Times New Roman" w:eastAsia="Arial" w:hAnsi="Times New Roman" w:cs="Times New Roman"/>
                <w:color w:val="000000" w:themeColor="text1"/>
              </w:rPr>
              <w:t xml:space="preserve">    IE</w:t>
            </w:r>
            <w:r w:rsidR="00A4052C">
              <w:rPr>
                <w:rFonts w:ascii="Times New Roman" w:eastAsia="Arial" w:hAnsi="Times New Roman" w:cs="Times New Roman"/>
                <w:color w:val="000000" w:themeColor="text1"/>
              </w:rPr>
              <w:t>I</w:t>
            </w:r>
          </w:p>
        </w:tc>
        <w:tc>
          <w:tcPr>
            <w:tcW w:w="164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8E503" w14:textId="0AC8140A" w:rsidR="1D456EC8" w:rsidRPr="004C0708" w:rsidRDefault="1D456EC8" w:rsidP="1D456EC8">
            <w:pPr>
              <w:spacing w:after="0"/>
              <w:rPr>
                <w:rFonts w:ascii="Times New Roman" w:hAnsi="Times New Roman" w:cs="Times New Roman"/>
              </w:rPr>
            </w:pPr>
            <w:r w:rsidRPr="004C0708">
              <w:rPr>
                <w:rFonts w:ascii="Times New Roman" w:eastAsia="Arial" w:hAnsi="Times New Roman" w:cs="Times New Roman"/>
                <w:color w:val="000000" w:themeColor="text1"/>
              </w:rPr>
              <w:t xml:space="preserve"> </w:t>
            </w:r>
            <w:proofErr w:type="spellStart"/>
            <w:r w:rsidRPr="004C0708">
              <w:rPr>
                <w:rFonts w:ascii="Times New Roman" w:eastAsia="Arial" w:hAnsi="Times New Roman" w:cs="Times New Roman"/>
                <w:color w:val="000000" w:themeColor="text1"/>
              </w:rPr>
              <w:t>Ishares</w:t>
            </w:r>
            <w:proofErr w:type="spellEnd"/>
            <w:r w:rsidRPr="004C0708">
              <w:rPr>
                <w:rFonts w:ascii="Times New Roman" w:eastAsia="Arial" w:hAnsi="Times New Roman" w:cs="Times New Roman"/>
                <w:color w:val="000000" w:themeColor="text1"/>
              </w:rPr>
              <w:t xml:space="preserve"> </w:t>
            </w:r>
            <w:r w:rsidR="005A1EF8" w:rsidRPr="004C0708">
              <w:rPr>
                <w:rFonts w:ascii="Times New Roman" w:eastAsia="Arial" w:hAnsi="Times New Roman" w:cs="Times New Roman"/>
                <w:color w:val="000000" w:themeColor="text1"/>
              </w:rPr>
              <w:t>3–7-year</w:t>
            </w:r>
            <w:r w:rsidRPr="004C0708">
              <w:rPr>
                <w:rFonts w:ascii="Times New Roman" w:eastAsia="Arial" w:hAnsi="Times New Roman" w:cs="Times New Roman"/>
                <w:color w:val="000000" w:themeColor="text1"/>
              </w:rPr>
              <w:t xml:space="preserve"> </w:t>
            </w:r>
            <w:proofErr w:type="spellStart"/>
            <w:r w:rsidRPr="004C0708">
              <w:rPr>
                <w:rFonts w:ascii="Times New Roman" w:eastAsia="Arial" w:hAnsi="Times New Roman" w:cs="Times New Roman"/>
                <w:color w:val="000000" w:themeColor="text1"/>
              </w:rPr>
              <w:t>treasurybond</w:t>
            </w:r>
            <w:proofErr w:type="spellEnd"/>
          </w:p>
        </w:tc>
        <w:tc>
          <w:tcPr>
            <w:tcW w:w="1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C9F77" w14:textId="413A288C" w:rsidR="1D456EC8" w:rsidRPr="004C0708" w:rsidRDefault="1D456EC8" w:rsidP="1D456EC8">
            <w:pPr>
              <w:spacing w:after="0"/>
              <w:rPr>
                <w:rFonts w:ascii="Times New Roman" w:hAnsi="Times New Roman" w:cs="Times New Roman"/>
              </w:rPr>
            </w:pPr>
            <w:r w:rsidRPr="004C0708">
              <w:rPr>
                <w:rFonts w:ascii="Times New Roman" w:eastAsia="Segoe UI" w:hAnsi="Times New Roman" w:cs="Times New Roman"/>
              </w:rPr>
              <w:t>NASDAQ</w:t>
            </w:r>
          </w:p>
        </w:tc>
        <w:tc>
          <w:tcPr>
            <w:tcW w:w="163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9BDB66" w14:textId="37AF104A" w:rsidR="1D456EC8" w:rsidRPr="004C0708" w:rsidRDefault="1D456EC8" w:rsidP="1D456EC8">
            <w:pPr>
              <w:spacing w:after="0"/>
              <w:rPr>
                <w:rFonts w:ascii="Times New Roman" w:hAnsi="Times New Roman" w:cs="Times New Roman"/>
              </w:rPr>
            </w:pPr>
            <w:r w:rsidRPr="004C0708">
              <w:rPr>
                <w:rFonts w:ascii="Times New Roman" w:eastAsia="Segoe UI" w:hAnsi="Times New Roman" w:cs="Times New Roman"/>
              </w:rPr>
              <w:t>77</w:t>
            </w:r>
          </w:p>
        </w:tc>
        <w:tc>
          <w:tcPr>
            <w:tcW w:w="163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975366" w14:textId="48F6D3D1" w:rsidR="1D456EC8" w:rsidRPr="004C0708" w:rsidRDefault="1D456EC8" w:rsidP="1D456EC8">
            <w:pPr>
              <w:spacing w:after="0"/>
              <w:rPr>
                <w:rFonts w:ascii="Times New Roman" w:hAnsi="Times New Roman" w:cs="Times New Roman"/>
              </w:rPr>
            </w:pPr>
            <w:r w:rsidRPr="004C0708">
              <w:rPr>
                <w:rFonts w:ascii="Times New Roman" w:eastAsia="Segoe UI" w:hAnsi="Times New Roman" w:cs="Times New Roman"/>
              </w:rPr>
              <w:t>117.13</w:t>
            </w:r>
          </w:p>
        </w:tc>
      </w:tr>
    </w:tbl>
    <w:p w14:paraId="6C8A2E97" w14:textId="5F805117" w:rsidR="70B491E3" w:rsidRPr="004C0708" w:rsidRDefault="70B491E3" w:rsidP="1D456EC8">
      <w:pPr>
        <w:ind w:left="360"/>
        <w:rPr>
          <w:rFonts w:ascii="Times New Roman" w:hAnsi="Times New Roman" w:cs="Times New Roman"/>
        </w:rPr>
      </w:pPr>
      <w:r w:rsidRPr="004C0708">
        <w:rPr>
          <w:rFonts w:ascii="Times New Roman" w:eastAsia="Calibri" w:hAnsi="Times New Roman" w:cs="Times New Roman"/>
          <w:color w:val="000000" w:themeColor="text1"/>
        </w:rPr>
        <w:t xml:space="preserve">We invested $9000 into </w:t>
      </w:r>
      <w:proofErr w:type="gramStart"/>
      <w:r w:rsidRPr="004C0708">
        <w:rPr>
          <w:rFonts w:ascii="Times New Roman" w:eastAsia="Calibri" w:hAnsi="Times New Roman" w:cs="Times New Roman"/>
          <w:color w:val="000000" w:themeColor="text1"/>
        </w:rPr>
        <w:t>77 of</w:t>
      </w:r>
      <w:proofErr w:type="gramEnd"/>
      <w:r w:rsidRPr="004C0708">
        <w:rPr>
          <w:rFonts w:ascii="Times New Roman" w:eastAsia="Calibri" w:hAnsi="Times New Roman" w:cs="Times New Roman"/>
          <w:color w:val="000000" w:themeColor="text1"/>
        </w:rPr>
        <w:t xml:space="preserve"> </w:t>
      </w:r>
      <w:r w:rsidR="00716B66">
        <w:rPr>
          <w:rFonts w:ascii="Times New Roman" w:eastAsia="Calibri" w:hAnsi="Times New Roman" w:cs="Times New Roman"/>
          <w:color w:val="000000" w:themeColor="text1"/>
        </w:rPr>
        <w:t>EIE</w:t>
      </w:r>
      <w:r w:rsidRPr="004C0708">
        <w:rPr>
          <w:rFonts w:ascii="Times New Roman" w:eastAsia="Calibri" w:hAnsi="Times New Roman" w:cs="Times New Roman"/>
          <w:color w:val="000000" w:themeColor="text1"/>
        </w:rPr>
        <w:t xml:space="preserve"> </w:t>
      </w:r>
      <w:r w:rsidR="00716B66">
        <w:rPr>
          <w:rFonts w:ascii="Times New Roman" w:eastAsia="Calibri" w:hAnsi="Times New Roman" w:cs="Times New Roman"/>
          <w:color w:val="000000" w:themeColor="text1"/>
        </w:rPr>
        <w:t>Bond ETFs b</w:t>
      </w:r>
      <w:r w:rsidRPr="004C0708">
        <w:rPr>
          <w:rFonts w:ascii="Times New Roman" w:eastAsia="Calibri" w:hAnsi="Times New Roman" w:cs="Times New Roman"/>
          <w:color w:val="000000" w:themeColor="text1"/>
        </w:rPr>
        <w:t>ecause of the 6 previously stated reasons. We evenly distributed 9.00% to each of our funds towards 5 out of the 5 bonds we have chosen as we are confident in the diverseness in our portfolio and see them as all attractive investments.</w:t>
      </w:r>
    </w:p>
    <w:p w14:paraId="353ADFE7" w14:textId="4B3354A8" w:rsidR="70B491E3" w:rsidRPr="004C0708" w:rsidRDefault="70B491E3" w:rsidP="1D456EC8">
      <w:pPr>
        <w:ind w:left="360"/>
        <w:rPr>
          <w:rFonts w:ascii="Times New Roman" w:hAnsi="Times New Roman" w:cs="Times New Roman"/>
        </w:rPr>
      </w:pPr>
      <w:r w:rsidRPr="004C0708">
        <w:rPr>
          <w:rFonts w:ascii="Times New Roman" w:eastAsia="Calibri" w:hAnsi="Times New Roman" w:cs="Times New Roman"/>
          <w:color w:val="000000" w:themeColor="text1"/>
        </w:rPr>
        <w:t>For the IEI bonds</w:t>
      </w:r>
    </w:p>
    <w:p w14:paraId="095424D6" w14:textId="77777777" w:rsidR="00B31664" w:rsidRPr="00A74C00" w:rsidRDefault="00B31664" w:rsidP="00B31664">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7C15C8E1" w14:textId="77777777" w:rsidR="00B31664" w:rsidRPr="00A74C00" w:rsidRDefault="00B31664" w:rsidP="00B31664">
      <w:pPr>
        <w:spacing w:after="200" w:line="276" w:lineRule="auto"/>
        <w:rPr>
          <w:rFonts w:ascii="Times New Roman" w:hAnsi="Times New Roman" w:cs="Times New Roman"/>
        </w:rPr>
      </w:pPr>
      <w:r w:rsidRPr="00A74C00">
        <w:rPr>
          <w:rFonts w:ascii="Times New Roman" w:eastAsia="Calibri" w:hAnsi="Times New Roman" w:cs="Times New Roman"/>
        </w:rPr>
        <w:t xml:space="preserve">  Where:  </w:t>
      </w:r>
    </w:p>
    <w:p w14:paraId="6AC86735" w14:textId="77777777" w:rsidR="00B31664" w:rsidRPr="00A74C00" w:rsidRDefault="00B31664" w:rsidP="00B31664">
      <w:pPr>
        <w:pStyle w:val="ListParagraph"/>
        <w:numPr>
          <w:ilvl w:val="0"/>
          <w:numId w:val="53"/>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Rf = Risk-Free Rate = 4.74% (US Treasury 3 Month Bill)  </w:t>
      </w:r>
    </w:p>
    <w:p w14:paraId="252C45AE" w14:textId="31D7D091" w:rsidR="00B31664" w:rsidRPr="00A74C00" w:rsidRDefault="00B31664" w:rsidP="00B31664">
      <w:pPr>
        <w:pStyle w:val="ListParagraph"/>
        <w:numPr>
          <w:ilvl w:val="0"/>
          <w:numId w:val="52"/>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B = Beta = 0.7 measure of </w:t>
      </w:r>
      <w:r w:rsidR="00A4052C">
        <w:rPr>
          <w:rFonts w:ascii="Times New Roman" w:eastAsia="Calibri" w:hAnsi="Times New Roman" w:cs="Times New Roman"/>
        </w:rPr>
        <w:t>IEI</w:t>
      </w:r>
      <w:r w:rsidRPr="00A74C00">
        <w:rPr>
          <w:rFonts w:ascii="Times New Roman" w:eastAsia="Calibri" w:hAnsi="Times New Roman" w:cs="Times New Roman"/>
        </w:rPr>
        <w:t xml:space="preserve"> price volatility  </w:t>
      </w:r>
    </w:p>
    <w:p w14:paraId="2E79ED91" w14:textId="77777777" w:rsidR="00B31664" w:rsidRPr="00A74C00" w:rsidRDefault="00B31664" w:rsidP="00B31664">
      <w:pPr>
        <w:pStyle w:val="ListParagraph"/>
        <w:numPr>
          <w:ilvl w:val="0"/>
          <w:numId w:val="51"/>
        </w:numPr>
        <w:spacing w:after="0" w:line="276" w:lineRule="auto"/>
        <w:rPr>
          <w:rFonts w:ascii="Times New Roman" w:eastAsia="Calibri" w:hAnsi="Times New Roman" w:cs="Times New Roman"/>
        </w:rPr>
      </w:pPr>
      <w:r w:rsidRPr="00A74C00">
        <w:rPr>
          <w:rFonts w:ascii="Times New Roman" w:eastAsia="Calibri" w:hAnsi="Times New Roman" w:cs="Times New Roman"/>
        </w:rPr>
        <w:t xml:space="preserve">E(Rm) = Expected return on the market = our benchmark which is a 10-year average of </w:t>
      </w:r>
      <w:proofErr w:type="gramStart"/>
      <w:r w:rsidRPr="00A74C00">
        <w:rPr>
          <w:rFonts w:ascii="Times New Roman" w:eastAsia="Calibri" w:hAnsi="Times New Roman" w:cs="Times New Roman"/>
        </w:rPr>
        <w:t>the S</w:t>
      </w:r>
      <w:proofErr w:type="gramEnd"/>
      <w:r w:rsidRPr="00A74C00">
        <w:rPr>
          <w:rFonts w:ascii="Times New Roman" w:eastAsia="Calibri" w:hAnsi="Times New Roman" w:cs="Times New Roman"/>
        </w:rPr>
        <w:t>&amp;P 500 = The average rate of return for the S&amp;P 500 since 2012 is 1</w:t>
      </w:r>
      <w:r>
        <w:rPr>
          <w:rFonts w:ascii="Times New Roman" w:eastAsia="Calibri" w:hAnsi="Times New Roman" w:cs="Times New Roman"/>
        </w:rPr>
        <w:t>3.22</w:t>
      </w:r>
      <w:r w:rsidRPr="00A74C00">
        <w:rPr>
          <w:rFonts w:ascii="Times New Roman" w:eastAsia="Calibri" w:hAnsi="Times New Roman" w:cs="Times New Roman"/>
        </w:rPr>
        <w:t xml:space="preserve">%  </w:t>
      </w:r>
    </w:p>
    <w:p w14:paraId="169BA6D9" w14:textId="124C1303" w:rsidR="00B31664" w:rsidRPr="00A74C00" w:rsidRDefault="00B31664" w:rsidP="00B31664">
      <w:pPr>
        <w:spacing w:after="200" w:line="276" w:lineRule="auto"/>
        <w:rPr>
          <w:rFonts w:ascii="Times New Roman" w:hAnsi="Times New Roman" w:cs="Times New Roman"/>
        </w:rPr>
      </w:pPr>
    </w:p>
    <w:p w14:paraId="6C5C9E22" w14:textId="77777777" w:rsidR="00B31664" w:rsidRPr="00A74C00" w:rsidRDefault="00B31664" w:rsidP="00B31664">
      <w:pPr>
        <w:spacing w:after="200" w:line="276" w:lineRule="auto"/>
        <w:rPr>
          <w:rFonts w:ascii="Times New Roman" w:hAnsi="Times New Roman" w:cs="Times New Roman"/>
        </w:rPr>
      </w:pPr>
      <w:r w:rsidRPr="00A74C00">
        <w:rPr>
          <w:rFonts w:ascii="Times New Roman" w:eastAsia="Calibri" w:hAnsi="Times New Roman" w:cs="Times New Roman"/>
        </w:rPr>
        <w:t xml:space="preserve">Therefore:  </w:t>
      </w:r>
    </w:p>
    <w:p w14:paraId="382B6D3F" w14:textId="77777777" w:rsidR="00B31664" w:rsidRPr="00A74C00" w:rsidRDefault="00B31664" w:rsidP="00B31664">
      <w:pPr>
        <w:spacing w:after="200" w:line="276" w:lineRule="auto"/>
        <w:rPr>
          <w:rFonts w:ascii="Times New Roman" w:hAnsi="Times New Roman" w:cs="Times New Roman"/>
        </w:rPr>
      </w:pPr>
      <w:r w:rsidRPr="00A74C00">
        <w:rPr>
          <w:rFonts w:ascii="Times New Roman" w:eastAsia="Calibri" w:hAnsi="Times New Roman" w:cs="Times New Roman"/>
        </w:rPr>
        <w:t xml:space="preserve">Expected Rate of Return = Rf + B*[E(Rm)-Rf]  </w:t>
      </w:r>
    </w:p>
    <w:p w14:paraId="750ADD21" w14:textId="29A6C9AB" w:rsidR="00B31664" w:rsidRPr="00A74C00" w:rsidRDefault="00B31664" w:rsidP="00B31664">
      <w:pPr>
        <w:spacing w:after="200" w:line="276" w:lineRule="auto"/>
        <w:rPr>
          <w:rFonts w:ascii="Times New Roman" w:hAnsi="Times New Roman" w:cs="Times New Roman"/>
        </w:rPr>
      </w:pPr>
      <w:r w:rsidRPr="00A74C00">
        <w:rPr>
          <w:rFonts w:ascii="Times New Roman" w:eastAsia="Calibri" w:hAnsi="Times New Roman" w:cs="Times New Roman"/>
        </w:rPr>
        <w:t>= 4.74% + 0.7 * [1</w:t>
      </w:r>
      <w:r>
        <w:rPr>
          <w:rFonts w:ascii="Times New Roman" w:eastAsia="Calibri" w:hAnsi="Times New Roman" w:cs="Times New Roman"/>
        </w:rPr>
        <w:t>3.22</w:t>
      </w:r>
      <w:r w:rsidRPr="00A74C00">
        <w:rPr>
          <w:rFonts w:ascii="Times New Roman" w:eastAsia="Calibri" w:hAnsi="Times New Roman" w:cs="Times New Roman"/>
        </w:rPr>
        <w:t xml:space="preserve">%-4.74%]  </w:t>
      </w:r>
    </w:p>
    <w:p w14:paraId="3CD233A0" w14:textId="5FE32F9F" w:rsidR="00B31664" w:rsidRPr="00A74C00" w:rsidRDefault="00B31664" w:rsidP="00B31664">
      <w:pPr>
        <w:spacing w:after="200" w:line="276" w:lineRule="auto"/>
        <w:rPr>
          <w:rFonts w:ascii="Times New Roman" w:hAnsi="Times New Roman" w:cs="Times New Roman"/>
        </w:rPr>
      </w:pPr>
      <w:r w:rsidRPr="00A74C00">
        <w:rPr>
          <w:rFonts w:ascii="Times New Roman" w:eastAsia="Calibri" w:hAnsi="Times New Roman" w:cs="Times New Roman"/>
        </w:rPr>
        <w:t xml:space="preserve">= </w:t>
      </w:r>
      <w:r w:rsidR="00A4052C">
        <w:rPr>
          <w:rFonts w:ascii="Times New Roman" w:eastAsia="Calibri" w:hAnsi="Times New Roman" w:cs="Times New Roman"/>
          <w:highlight w:val="lightGray"/>
        </w:rPr>
        <w:t>10.68</w:t>
      </w:r>
      <w:r w:rsidRPr="003B689C">
        <w:rPr>
          <w:rFonts w:ascii="Times New Roman" w:eastAsia="Calibri" w:hAnsi="Times New Roman" w:cs="Times New Roman"/>
          <w:highlight w:val="lightGray"/>
        </w:rPr>
        <w:t>%</w:t>
      </w:r>
      <w:r w:rsidRPr="00A74C00">
        <w:rPr>
          <w:rFonts w:ascii="Times New Roman" w:eastAsia="Calibri" w:hAnsi="Times New Roman" w:cs="Times New Roman"/>
        </w:rPr>
        <w:t xml:space="preserve"> </w:t>
      </w:r>
    </w:p>
    <w:p w14:paraId="099C6BB2" w14:textId="44C68A80" w:rsidR="00F54BD6" w:rsidRPr="004C0708" w:rsidRDefault="00F54BD6" w:rsidP="00CC067E">
      <w:pPr>
        <w:ind w:left="360"/>
        <w:rPr>
          <w:rFonts w:ascii="Times New Roman" w:eastAsia="Times New Roman" w:hAnsi="Times New Roman" w:cs="Times New Roman"/>
        </w:rPr>
      </w:pPr>
    </w:p>
    <w:p w14:paraId="078C682A" w14:textId="58E59398" w:rsidR="006E1FBA" w:rsidRPr="004C0708" w:rsidRDefault="006E1FBA">
      <w:pPr>
        <w:rPr>
          <w:rFonts w:ascii="Times New Roman" w:hAnsi="Times New Roman" w:cs="Times New Roman"/>
        </w:rPr>
      </w:pPr>
    </w:p>
    <w:p w14:paraId="72C37A3A" w14:textId="77777777" w:rsidR="004C0708" w:rsidRPr="004C0708" w:rsidRDefault="004C0708" w:rsidP="004C0708">
      <w:pPr>
        <w:rPr>
          <w:rFonts w:ascii="Times New Roman" w:hAnsi="Times New Roman" w:cs="Times New Roman"/>
          <w:b/>
        </w:rPr>
      </w:pPr>
    </w:p>
    <w:p w14:paraId="01CA69DE" w14:textId="65010256" w:rsidR="00CC067E" w:rsidRDefault="00CC067E" w:rsidP="007F262F">
      <w:pPr>
        <w:ind w:left="360"/>
        <w:jc w:val="center"/>
        <w:rPr>
          <w:rFonts w:ascii="Times New Roman" w:hAnsi="Times New Roman" w:cs="Times New Roman"/>
          <w:b/>
        </w:rPr>
      </w:pPr>
      <w:r w:rsidRPr="004418E5">
        <w:rPr>
          <w:rFonts w:ascii="Times New Roman" w:hAnsi="Times New Roman" w:cs="Times New Roman"/>
          <w:b/>
        </w:rPr>
        <w:t>References</w:t>
      </w:r>
    </w:p>
    <w:p w14:paraId="1F5F3D35" w14:textId="77777777" w:rsidR="00EB4C93" w:rsidRPr="004418E5" w:rsidRDefault="00EB4C93" w:rsidP="00E605AB">
      <w:pPr>
        <w:ind w:left="720" w:hanging="360"/>
        <w:jc w:val="center"/>
        <w:rPr>
          <w:rFonts w:ascii="Times New Roman" w:hAnsi="Times New Roman" w:cs="Times New Roman"/>
          <w:b/>
          <w:bCs/>
        </w:rPr>
      </w:pPr>
    </w:p>
    <w:p w14:paraId="4D4C2A3D" w14:textId="32D62DD9" w:rsidR="00CC067E" w:rsidRPr="00104E32" w:rsidRDefault="00CC067E" w:rsidP="00E605AB">
      <w:pPr>
        <w:spacing w:line="240" w:lineRule="auto"/>
        <w:ind w:left="720" w:hanging="360"/>
        <w:rPr>
          <w:rFonts w:ascii="Times New Roman" w:hAnsi="Times New Roman" w:cs="Times New Roman"/>
          <w:color w:val="0D0D0D" w:themeColor="text1" w:themeTint="F2"/>
        </w:rPr>
      </w:pPr>
      <w:r w:rsidRPr="00104E32">
        <w:rPr>
          <w:rFonts w:ascii="Times New Roman" w:hAnsi="Times New Roman" w:cs="Times New Roman"/>
          <w:i/>
          <w:color w:val="0D0D0D" w:themeColor="text1" w:themeTint="F2"/>
        </w:rPr>
        <w:t>JNJ - Johnson &amp; Johnson PE ratio, current and historical analysis</w:t>
      </w:r>
      <w:r w:rsidRPr="00104E32">
        <w:rPr>
          <w:rFonts w:ascii="Times New Roman" w:hAnsi="Times New Roman" w:cs="Times New Roman"/>
          <w:color w:val="0D0D0D" w:themeColor="text1" w:themeTint="F2"/>
        </w:rPr>
        <w:t xml:space="preserve">. (December 1, 2024). </w:t>
      </w:r>
      <w:hyperlink r:id="rId55" w:history="1">
        <w:r w:rsidR="004418E5" w:rsidRPr="00104E32">
          <w:rPr>
            <w:rStyle w:val="Hyperlink"/>
            <w:rFonts w:ascii="Times New Roman" w:hAnsi="Times New Roman" w:cs="Times New Roman"/>
            <w:color w:val="0D0D0D" w:themeColor="text1" w:themeTint="F2"/>
          </w:rPr>
          <w:t>https://fullratio.com/stocks/nyse-jnj/pe-ratio</w:t>
        </w:r>
      </w:hyperlink>
    </w:p>
    <w:p w14:paraId="7DFD46A9" w14:textId="77777777" w:rsidR="00CC067E" w:rsidRPr="00104E32" w:rsidRDefault="00CC067E" w:rsidP="00E605AB">
      <w:pPr>
        <w:ind w:left="720" w:hanging="360"/>
        <w:rPr>
          <w:rFonts w:ascii="Times New Roman" w:hAnsi="Times New Roman" w:cs="Times New Roman"/>
          <w:color w:val="0D0D0D" w:themeColor="text1" w:themeTint="F2"/>
        </w:rPr>
      </w:pPr>
    </w:p>
    <w:p w14:paraId="4981ACA0" w14:textId="73207CC2" w:rsidR="00CC067E" w:rsidRPr="00104E32" w:rsidRDefault="00CC067E" w:rsidP="00E605AB">
      <w:pPr>
        <w:spacing w:line="240" w:lineRule="auto"/>
        <w:ind w:left="720" w:hanging="360"/>
        <w:rPr>
          <w:rFonts w:ascii="Times New Roman" w:eastAsia="Times New Roman" w:hAnsi="Times New Roman" w:cs="Times New Roman"/>
          <w:color w:val="0D0D0D" w:themeColor="text1" w:themeTint="F2"/>
        </w:rPr>
      </w:pPr>
      <w:proofErr w:type="spellStart"/>
      <w:r w:rsidRPr="00104E32">
        <w:rPr>
          <w:rFonts w:ascii="Times New Roman" w:hAnsi="Times New Roman" w:cs="Times New Roman"/>
          <w:color w:val="0D0D0D" w:themeColor="text1" w:themeTint="F2"/>
        </w:rPr>
        <w:t>Barchart</w:t>
      </w:r>
      <w:proofErr w:type="spellEnd"/>
      <w:r w:rsidRPr="00104E32">
        <w:rPr>
          <w:rFonts w:ascii="Times New Roman" w:hAnsi="Times New Roman" w:cs="Times New Roman"/>
          <w:color w:val="0D0D0D" w:themeColor="text1" w:themeTint="F2"/>
        </w:rPr>
        <w:t xml:space="preserve">. (2024, November 8). Are Wall Street analysts predicting Johnson &amp; Johnson stock will climb or sink? </w:t>
      </w:r>
      <w:r w:rsidRPr="00104E32">
        <w:rPr>
          <w:rFonts w:ascii="Times New Roman" w:hAnsi="Times New Roman" w:cs="Times New Roman"/>
          <w:i/>
          <w:color w:val="0D0D0D" w:themeColor="text1" w:themeTint="F2"/>
        </w:rPr>
        <w:t>Nasdaq</w:t>
      </w:r>
      <w:r w:rsidRPr="00104E32">
        <w:rPr>
          <w:rFonts w:ascii="Times New Roman" w:hAnsi="Times New Roman" w:cs="Times New Roman"/>
          <w:color w:val="0D0D0D" w:themeColor="text1" w:themeTint="F2"/>
        </w:rPr>
        <w:t xml:space="preserve">. </w:t>
      </w:r>
      <w:hyperlink r:id="rId56" w:history="1">
        <w:r w:rsidR="004418E5" w:rsidRPr="00104E32">
          <w:rPr>
            <w:rStyle w:val="Hyperlink"/>
            <w:rFonts w:ascii="Times New Roman" w:eastAsia="Times New Roman" w:hAnsi="Times New Roman" w:cs="Times New Roman"/>
            <w:color w:val="0D0D0D" w:themeColor="text1" w:themeTint="F2"/>
          </w:rPr>
          <w:t>https://www.nasdaq.com/articles/are-wall-street-analysts-predicting-johnson-johnson-stock-will-climb-or-sink</w:t>
        </w:r>
      </w:hyperlink>
    </w:p>
    <w:p w14:paraId="02BBD3B2" w14:textId="77777777" w:rsidR="004418E5" w:rsidRPr="00104E32" w:rsidRDefault="004418E5" w:rsidP="00E605AB">
      <w:pPr>
        <w:spacing w:line="240" w:lineRule="auto"/>
        <w:ind w:left="720" w:hanging="360"/>
        <w:rPr>
          <w:rFonts w:ascii="Times New Roman" w:hAnsi="Times New Roman" w:cs="Times New Roman"/>
          <w:color w:val="0D0D0D" w:themeColor="text1" w:themeTint="F2"/>
        </w:rPr>
      </w:pPr>
    </w:p>
    <w:p w14:paraId="6ACFAF8F" w14:textId="2A81E1E4" w:rsidR="004418E5" w:rsidRPr="001A0F1D" w:rsidRDefault="00CC067E" w:rsidP="001A0F1D">
      <w:pPr>
        <w:spacing w:line="240" w:lineRule="auto"/>
        <w:ind w:left="720" w:hanging="360"/>
        <w:rPr>
          <w:rFonts w:ascii="Times New Roman" w:eastAsia="Times New Roman" w:hAnsi="Times New Roman" w:cs="Times New Roman"/>
          <w:color w:val="0D0D0D" w:themeColor="text1" w:themeTint="F2"/>
        </w:rPr>
      </w:pPr>
      <w:proofErr w:type="spellStart"/>
      <w:r w:rsidRPr="00104E32">
        <w:rPr>
          <w:rFonts w:ascii="Times New Roman" w:hAnsi="Times New Roman" w:cs="Times New Roman"/>
          <w:color w:val="0D0D0D" w:themeColor="text1" w:themeTint="F2"/>
        </w:rPr>
        <w:t>Waldstreicher</w:t>
      </w:r>
      <w:proofErr w:type="spellEnd"/>
      <w:r w:rsidRPr="00104E32">
        <w:rPr>
          <w:rFonts w:ascii="Times New Roman" w:hAnsi="Times New Roman" w:cs="Times New Roman"/>
          <w:color w:val="0D0D0D" w:themeColor="text1" w:themeTint="F2"/>
        </w:rPr>
        <w:t xml:space="preserve">, J. (2021, August 31). </w:t>
      </w:r>
      <w:r w:rsidRPr="00104E32">
        <w:rPr>
          <w:rFonts w:ascii="Times New Roman" w:hAnsi="Times New Roman" w:cs="Times New Roman"/>
          <w:i/>
          <w:color w:val="0D0D0D" w:themeColor="text1" w:themeTint="F2"/>
        </w:rPr>
        <w:t>How Johnson &amp; Johnson Made Hard Decisions During Covid</w:t>
      </w:r>
      <w:r w:rsidRPr="00104E32">
        <w:rPr>
          <w:rFonts w:ascii="Times New Roman" w:hAnsi="Times New Roman" w:cs="Times New Roman"/>
          <w:color w:val="0D0D0D" w:themeColor="text1" w:themeTint="F2"/>
        </w:rPr>
        <w:t xml:space="preserve">. Harvard Business Review. </w:t>
      </w:r>
      <w:hyperlink r:id="rId57" w:history="1">
        <w:r w:rsidR="004418E5" w:rsidRPr="00104E32">
          <w:rPr>
            <w:rStyle w:val="Hyperlink"/>
            <w:rFonts w:ascii="Times New Roman" w:eastAsia="Times New Roman" w:hAnsi="Times New Roman" w:cs="Times New Roman"/>
            <w:color w:val="0D0D0D" w:themeColor="text1" w:themeTint="F2"/>
          </w:rPr>
          <w:t>https://hbr.org/2021/06/how-johnson-johnson-made-hard-decisions-during-covid</w:t>
        </w:r>
      </w:hyperlink>
    </w:p>
    <w:p w14:paraId="54A9656F" w14:textId="4D258156" w:rsidR="00104E32" w:rsidRDefault="00CC067E" w:rsidP="001A0F1D">
      <w:pPr>
        <w:spacing w:line="240" w:lineRule="auto"/>
        <w:ind w:left="720" w:hanging="360"/>
        <w:rPr>
          <w:rStyle w:val="Hyperlink"/>
          <w:rFonts w:ascii="Times New Roman" w:eastAsia="Times New Roman" w:hAnsi="Times New Roman" w:cs="Times New Roman"/>
          <w:color w:val="0D0D0D" w:themeColor="text1" w:themeTint="F2"/>
        </w:rPr>
      </w:pPr>
      <w:proofErr w:type="spellStart"/>
      <w:r w:rsidRPr="00104E32">
        <w:rPr>
          <w:rFonts w:ascii="Times New Roman" w:hAnsi="Times New Roman" w:cs="Times New Roman"/>
          <w:color w:val="0D0D0D" w:themeColor="text1" w:themeTint="F2"/>
        </w:rPr>
        <w:t>Cattlin</w:t>
      </w:r>
      <w:proofErr w:type="spellEnd"/>
      <w:r w:rsidRPr="00104E32">
        <w:rPr>
          <w:rFonts w:ascii="Times New Roman" w:hAnsi="Times New Roman" w:cs="Times New Roman"/>
          <w:color w:val="0D0D0D" w:themeColor="text1" w:themeTint="F2"/>
        </w:rPr>
        <w:t xml:space="preserve">, R. (2023, May 4). </w:t>
      </w:r>
      <w:r w:rsidRPr="00104E32">
        <w:rPr>
          <w:rFonts w:ascii="Times New Roman" w:hAnsi="Times New Roman" w:cs="Times New Roman"/>
          <w:i/>
          <w:color w:val="0D0D0D" w:themeColor="text1" w:themeTint="F2"/>
        </w:rPr>
        <w:t>Johnson &amp; Johnson spin off: what does it mean for JNJ shares?</w:t>
      </w:r>
      <w:r w:rsidRPr="00104E32">
        <w:rPr>
          <w:rFonts w:ascii="Times New Roman" w:hAnsi="Times New Roman" w:cs="Times New Roman"/>
          <w:color w:val="0D0D0D" w:themeColor="text1" w:themeTint="F2"/>
        </w:rPr>
        <w:t xml:space="preserve"> Forex.com. </w:t>
      </w:r>
      <w:hyperlink r:id="rId58" w:history="1">
        <w:r w:rsidR="004418E5" w:rsidRPr="00104E32">
          <w:rPr>
            <w:rStyle w:val="Hyperlink"/>
            <w:rFonts w:ascii="Times New Roman" w:eastAsia="Times New Roman" w:hAnsi="Times New Roman" w:cs="Times New Roman"/>
            <w:color w:val="0D0D0D" w:themeColor="text1" w:themeTint="F2"/>
          </w:rPr>
          <w:t>https://www.forex.com/en-ca/news-and-analysis/johnson-and-johnson-spin-off/</w:t>
        </w:r>
      </w:hyperlink>
    </w:p>
    <w:p w14:paraId="15996970" w14:textId="77777777" w:rsidR="001A0F1D" w:rsidRPr="001A0F1D" w:rsidRDefault="001A0F1D" w:rsidP="001A0F1D">
      <w:pPr>
        <w:spacing w:line="240" w:lineRule="auto"/>
        <w:ind w:left="720" w:hanging="360"/>
        <w:rPr>
          <w:rFonts w:ascii="Times New Roman" w:eastAsia="Times New Roman" w:hAnsi="Times New Roman" w:cs="Times New Roman"/>
          <w:color w:val="0D0D0D" w:themeColor="text1" w:themeTint="F2"/>
        </w:rPr>
      </w:pPr>
    </w:p>
    <w:p w14:paraId="5AE0FCD0" w14:textId="33141478" w:rsidR="00104E32" w:rsidRDefault="00A524CC" w:rsidP="001A0F1D">
      <w:pPr>
        <w:ind w:left="720" w:hanging="360"/>
        <w:rPr>
          <w:rStyle w:val="Hyperlink"/>
          <w:rFonts w:ascii="Times New Roman" w:eastAsia="Calibri" w:hAnsi="Times New Roman" w:cs="Times New Roman"/>
          <w:color w:val="0D0D0D" w:themeColor="text1" w:themeTint="F2"/>
        </w:rPr>
      </w:pPr>
      <w:r w:rsidRPr="00104E32">
        <w:rPr>
          <w:rFonts w:ascii="Times New Roman" w:eastAsia="Calibri" w:hAnsi="Times New Roman" w:cs="Times New Roman"/>
          <w:color w:val="0D0D0D" w:themeColor="text1" w:themeTint="F2"/>
        </w:rPr>
        <w:t xml:space="preserve">Stock Analysis. (n.d.). Tesla Inc. </w:t>
      </w:r>
      <w:proofErr w:type="gramStart"/>
      <w:r w:rsidRPr="00104E32">
        <w:rPr>
          <w:rFonts w:ascii="Times New Roman" w:eastAsia="Calibri" w:hAnsi="Times New Roman" w:cs="Times New Roman"/>
          <w:color w:val="0D0D0D" w:themeColor="text1" w:themeTint="F2"/>
        </w:rPr>
        <w:t>financials</w:t>
      </w:r>
      <w:proofErr w:type="gramEnd"/>
      <w:r w:rsidRPr="00104E32">
        <w:rPr>
          <w:rFonts w:ascii="Times New Roman" w:eastAsia="Calibri" w:hAnsi="Times New Roman" w:cs="Times New Roman"/>
          <w:color w:val="0D0D0D" w:themeColor="text1" w:themeTint="F2"/>
        </w:rPr>
        <w:t xml:space="preserve">. Retrieved from </w:t>
      </w:r>
      <w:hyperlink r:id="rId59">
        <w:r w:rsidRPr="00104E32">
          <w:rPr>
            <w:rStyle w:val="Hyperlink"/>
            <w:rFonts w:ascii="Times New Roman" w:eastAsia="Calibri" w:hAnsi="Times New Roman" w:cs="Times New Roman"/>
            <w:color w:val="0D0D0D" w:themeColor="text1" w:themeTint="F2"/>
          </w:rPr>
          <w:t>https://stockanalysis.com</w:t>
        </w:r>
      </w:hyperlink>
    </w:p>
    <w:p w14:paraId="168C90D3" w14:textId="77777777" w:rsidR="001A0F1D" w:rsidRPr="001A0F1D" w:rsidRDefault="001A0F1D" w:rsidP="001A0F1D">
      <w:pPr>
        <w:ind w:left="720" w:hanging="360"/>
        <w:rPr>
          <w:rFonts w:ascii="Times New Roman" w:hAnsi="Times New Roman" w:cs="Times New Roman"/>
          <w:color w:val="0D0D0D" w:themeColor="text1" w:themeTint="F2"/>
        </w:rPr>
      </w:pPr>
    </w:p>
    <w:p w14:paraId="3BFB70D0" w14:textId="77777777" w:rsidR="00A524CC" w:rsidRDefault="00A524CC" w:rsidP="00E605AB">
      <w:pPr>
        <w:ind w:left="720" w:hanging="360"/>
        <w:rPr>
          <w:rStyle w:val="Hyperlink"/>
          <w:rFonts w:ascii="Times New Roman" w:eastAsia="Calibri" w:hAnsi="Times New Roman" w:cs="Times New Roman"/>
          <w:color w:val="0D0D0D" w:themeColor="text1" w:themeTint="F2"/>
        </w:rPr>
      </w:pPr>
      <w:r w:rsidRPr="00104E32">
        <w:rPr>
          <w:rFonts w:ascii="Times New Roman" w:eastAsia="Calibri" w:hAnsi="Times New Roman" w:cs="Times New Roman"/>
          <w:color w:val="0D0D0D" w:themeColor="text1" w:themeTint="F2"/>
        </w:rPr>
        <w:t xml:space="preserve">Yahoo Finance. (n.d.). Tesla Inc. key statistics. Retrieved from </w:t>
      </w:r>
      <w:hyperlink r:id="rId60">
        <w:r w:rsidRPr="00104E32">
          <w:rPr>
            <w:rStyle w:val="Hyperlink"/>
            <w:rFonts w:ascii="Times New Roman" w:eastAsia="Calibri" w:hAnsi="Times New Roman" w:cs="Times New Roman"/>
            <w:color w:val="0D0D0D" w:themeColor="text1" w:themeTint="F2"/>
          </w:rPr>
          <w:t>https://finance.yahoo.com</w:t>
        </w:r>
      </w:hyperlink>
    </w:p>
    <w:p w14:paraId="7B2C84D4" w14:textId="77777777" w:rsidR="001A0F1D" w:rsidRPr="00104E32" w:rsidRDefault="001A0F1D" w:rsidP="00E605AB">
      <w:pPr>
        <w:ind w:left="720" w:hanging="360"/>
        <w:rPr>
          <w:rFonts w:ascii="Times New Roman" w:hAnsi="Times New Roman" w:cs="Times New Roman"/>
          <w:color w:val="0D0D0D" w:themeColor="text1" w:themeTint="F2"/>
        </w:rPr>
      </w:pPr>
    </w:p>
    <w:p w14:paraId="1AB0423E" w14:textId="6BD04C7D" w:rsidR="00104E32" w:rsidRDefault="00A524CC" w:rsidP="001A0F1D">
      <w:pPr>
        <w:ind w:left="720" w:hanging="360"/>
        <w:rPr>
          <w:rStyle w:val="Hyperlink"/>
          <w:rFonts w:ascii="Times New Roman" w:eastAsia="Calibri" w:hAnsi="Times New Roman" w:cs="Times New Roman"/>
          <w:color w:val="0D0D0D" w:themeColor="text1" w:themeTint="F2"/>
        </w:rPr>
      </w:pPr>
      <w:r w:rsidRPr="00104E32">
        <w:rPr>
          <w:rFonts w:ascii="Times New Roman" w:eastAsia="Calibri" w:hAnsi="Times New Roman" w:cs="Times New Roman"/>
          <w:color w:val="0D0D0D" w:themeColor="text1" w:themeTint="F2"/>
        </w:rPr>
        <w:t xml:space="preserve">Reuters. (2024, October 24). Tesla gives its </w:t>
      </w:r>
      <w:proofErr w:type="gramStart"/>
      <w:r w:rsidRPr="00104E32">
        <w:rPr>
          <w:rFonts w:ascii="Times New Roman" w:eastAsia="Calibri" w:hAnsi="Times New Roman" w:cs="Times New Roman"/>
          <w:color w:val="0D0D0D" w:themeColor="text1" w:themeTint="F2"/>
        </w:rPr>
        <w:t>faithful</w:t>
      </w:r>
      <w:proofErr w:type="gramEnd"/>
      <w:r w:rsidRPr="00104E32">
        <w:rPr>
          <w:rFonts w:ascii="Times New Roman" w:eastAsia="Calibri" w:hAnsi="Times New Roman" w:cs="Times New Roman"/>
          <w:color w:val="0D0D0D" w:themeColor="text1" w:themeTint="F2"/>
        </w:rPr>
        <w:t xml:space="preserve"> just enough good news. Retrieved from </w:t>
      </w:r>
      <w:hyperlink r:id="rId61" w:history="1">
        <w:r w:rsidR="00104E32" w:rsidRPr="00104E32">
          <w:rPr>
            <w:rStyle w:val="Hyperlink"/>
            <w:rFonts w:ascii="Times New Roman" w:eastAsia="Calibri" w:hAnsi="Times New Roman" w:cs="Times New Roman"/>
            <w:color w:val="0D0D0D" w:themeColor="text1" w:themeTint="F2"/>
          </w:rPr>
          <w:t>https://www.reuters.com</w:t>
        </w:r>
      </w:hyperlink>
    </w:p>
    <w:p w14:paraId="2B555541" w14:textId="77777777" w:rsidR="001A0F1D" w:rsidRPr="00104E32" w:rsidRDefault="001A0F1D" w:rsidP="001A0F1D">
      <w:pPr>
        <w:ind w:left="720" w:hanging="360"/>
        <w:rPr>
          <w:rFonts w:ascii="Times New Roman" w:eastAsia="Calibri" w:hAnsi="Times New Roman" w:cs="Times New Roman"/>
          <w:color w:val="0D0D0D" w:themeColor="text1" w:themeTint="F2"/>
        </w:rPr>
      </w:pPr>
    </w:p>
    <w:p w14:paraId="2C6DC503" w14:textId="2E5B37C0" w:rsidR="00104E32" w:rsidRDefault="00A524CC" w:rsidP="001A0F1D">
      <w:pPr>
        <w:ind w:left="720" w:hanging="360"/>
        <w:rPr>
          <w:rStyle w:val="Hyperlink"/>
          <w:rFonts w:ascii="Times New Roman" w:eastAsia="Calibri" w:hAnsi="Times New Roman" w:cs="Times New Roman"/>
          <w:color w:val="0D0D0D" w:themeColor="text1" w:themeTint="F2"/>
          <w:u w:val="none"/>
        </w:rPr>
      </w:pPr>
      <w:r w:rsidRPr="00104E32">
        <w:rPr>
          <w:rFonts w:ascii="Times New Roman" w:eastAsia="Calibri" w:hAnsi="Times New Roman" w:cs="Times New Roman"/>
          <w:color w:val="0D0D0D" w:themeColor="text1" w:themeTint="F2"/>
        </w:rPr>
        <w:t xml:space="preserve">Tesla Inc. (n.d.). Official company information. Retrieved from </w:t>
      </w:r>
      <w:hyperlink r:id="rId62">
        <w:r w:rsidRPr="00104E32">
          <w:rPr>
            <w:rStyle w:val="Hyperlink"/>
            <w:rFonts w:ascii="Times New Roman" w:eastAsia="Calibri" w:hAnsi="Times New Roman" w:cs="Times New Roman"/>
            <w:color w:val="0D0D0D" w:themeColor="text1" w:themeTint="F2"/>
            <w:u w:val="none"/>
          </w:rPr>
          <w:t>https://www.tesla.com</w:t>
        </w:r>
      </w:hyperlink>
    </w:p>
    <w:p w14:paraId="2DB017E6" w14:textId="77777777" w:rsidR="001A0F1D" w:rsidRPr="001A0F1D" w:rsidRDefault="001A0F1D" w:rsidP="001A0F1D">
      <w:pPr>
        <w:ind w:left="720" w:hanging="360"/>
        <w:rPr>
          <w:rFonts w:ascii="Times New Roman" w:hAnsi="Times New Roman" w:cs="Times New Roman"/>
          <w:color w:val="0D0D0D" w:themeColor="text1" w:themeTint="F2"/>
        </w:rPr>
      </w:pPr>
    </w:p>
    <w:p w14:paraId="29020C2A" w14:textId="5EE54542" w:rsidR="00104E32" w:rsidRDefault="00061C11" w:rsidP="001A0F1D">
      <w:pPr>
        <w:shd w:val="clear" w:color="auto" w:fill="FFFFFF" w:themeFill="background1"/>
        <w:spacing w:before="240" w:after="240"/>
        <w:ind w:left="720" w:hanging="360"/>
        <w:rPr>
          <w:rFonts w:ascii="Times New Roman" w:eastAsia="Times New Roman" w:hAnsi="Times New Roman" w:cs="Times New Roman"/>
          <w:color w:val="000000"/>
          <w14:textFill>
            <w14:solidFill>
              <w14:srgbClr w14:val="000000">
                <w14:lumOff w14:val="5000"/>
                <w14:lumMod w14:val="95000"/>
              </w14:srgbClr>
            </w14:solidFill>
          </w14:textFill>
        </w:rPr>
      </w:pPr>
      <w:r w:rsidRPr="00104E32">
        <w:rPr>
          <w:rFonts w:ascii="Times New Roman" w:eastAsia="Times New Roman" w:hAnsi="Times New Roman" w:cs="Times New Roman"/>
          <w:color w:val="0D0D0D" w:themeColor="text1" w:themeTint="F2"/>
        </w:rPr>
        <w:t>Alphabet Inc. (2023). Alphabet Inc. 2022 Annual Report. Alphabet Inc. Retrieved from</w:t>
      </w:r>
      <w:hyperlink r:id="rId63" w:history="1">
        <w:r w:rsidR="001A0F1D" w:rsidRPr="00E96E0D">
          <w:rPr>
            <w:rStyle w:val="Hyperlink"/>
            <w:rFonts w:ascii="Times New Roman" w:eastAsia="Times New Roman" w:hAnsi="Times New Roman" w:cs="Times New Roman"/>
            <w:color w:val="4B8090" w:themeColor="hyperlink" w:themeTint="F2"/>
          </w:rPr>
          <w:t>https://abc.xyz/investor</w:t>
        </w:r>
      </w:hyperlink>
    </w:p>
    <w:p w14:paraId="6C5C7E58" w14:textId="77777777" w:rsidR="001A0F1D" w:rsidRPr="00104E32" w:rsidRDefault="001A0F1D" w:rsidP="001A0F1D">
      <w:pPr>
        <w:shd w:val="clear" w:color="auto" w:fill="FFFFFF" w:themeFill="background1"/>
        <w:spacing w:before="240" w:after="240"/>
        <w:ind w:left="720" w:hanging="360"/>
        <w:rPr>
          <w:rFonts w:ascii="Times New Roman" w:eastAsia="Times New Roman" w:hAnsi="Times New Roman" w:cs="Times New Roman"/>
          <w:color w:val="0D0D0D" w:themeColor="text1" w:themeTint="F2"/>
        </w:rPr>
      </w:pPr>
    </w:p>
    <w:p w14:paraId="420B094F" w14:textId="54001395" w:rsidR="00104E32" w:rsidRDefault="00061C11" w:rsidP="00C22941">
      <w:pPr>
        <w:shd w:val="clear" w:color="auto" w:fill="FFFFFF" w:themeFill="background1"/>
        <w:spacing w:before="240" w:after="240"/>
        <w:ind w:left="720" w:hanging="360"/>
        <w:rPr>
          <w:rStyle w:val="Hyperlink"/>
          <w:rFonts w:ascii="Times New Roman" w:eastAsia="Times New Roman" w:hAnsi="Times New Roman" w:cs="Times New Roman"/>
          <w:color w:val="0D0D0D" w:themeColor="text1" w:themeTint="F2"/>
        </w:rPr>
      </w:pPr>
      <w:r w:rsidRPr="00104E32">
        <w:rPr>
          <w:rFonts w:ascii="Times New Roman" w:eastAsia="Times New Roman" w:hAnsi="Times New Roman" w:cs="Times New Roman"/>
          <w:color w:val="0D0D0D" w:themeColor="text1" w:themeTint="F2"/>
        </w:rPr>
        <w:lastRenderedPageBreak/>
        <w:t xml:space="preserve">Morningstar. (2024). Alphabet Inc. Stock Analysis. Morningstar. Retrieved from </w:t>
      </w:r>
      <w:hyperlink r:id="rId64">
        <w:r w:rsidRPr="00104E32">
          <w:rPr>
            <w:rStyle w:val="Hyperlink"/>
            <w:rFonts w:ascii="Times New Roman" w:eastAsia="Times New Roman" w:hAnsi="Times New Roman" w:cs="Times New Roman"/>
            <w:color w:val="0D0D0D" w:themeColor="text1" w:themeTint="F2"/>
          </w:rPr>
          <w:t>https://www.morningstar.com/stocks/xnas/goog/quote</w:t>
        </w:r>
      </w:hyperlink>
    </w:p>
    <w:p w14:paraId="5F53804B" w14:textId="77777777" w:rsidR="001A0F1D" w:rsidRPr="00104E32" w:rsidRDefault="001A0F1D" w:rsidP="00C22941">
      <w:pPr>
        <w:shd w:val="clear" w:color="auto" w:fill="FFFFFF" w:themeFill="background1"/>
        <w:spacing w:before="240" w:after="240"/>
        <w:ind w:left="720" w:hanging="360"/>
        <w:rPr>
          <w:rFonts w:ascii="Times New Roman" w:eastAsia="Times New Roman" w:hAnsi="Times New Roman" w:cs="Times New Roman"/>
          <w:color w:val="0D0D0D" w:themeColor="text1" w:themeTint="F2"/>
        </w:rPr>
      </w:pPr>
    </w:p>
    <w:p w14:paraId="20F6897C" w14:textId="3C9BE2BE" w:rsidR="00104E32" w:rsidRDefault="00061C11" w:rsidP="00C22941">
      <w:pPr>
        <w:shd w:val="clear" w:color="auto" w:fill="FFFFFF" w:themeFill="background1"/>
        <w:spacing w:before="240" w:after="240"/>
        <w:ind w:left="720" w:hanging="360"/>
        <w:rPr>
          <w:rStyle w:val="Hyperlink"/>
          <w:rFonts w:ascii="Times New Roman" w:eastAsia="Times New Roman" w:hAnsi="Times New Roman" w:cs="Times New Roman"/>
          <w:color w:val="0D0D0D" w:themeColor="text1" w:themeTint="F2"/>
        </w:rPr>
      </w:pPr>
      <w:r w:rsidRPr="1D456EC8">
        <w:rPr>
          <w:rFonts w:ascii="Times New Roman" w:eastAsia="Times New Roman" w:hAnsi="Times New Roman" w:cs="Times New Roman"/>
          <w:color w:val="0D0D0D" w:themeColor="text1" w:themeTint="F2"/>
        </w:rPr>
        <w:t xml:space="preserve">Pappas, A. (2024, January 15). Alphabet Inc. stock: Valuation, financial performance, and outlook. Forbes. Retrieved from </w:t>
      </w:r>
      <w:hyperlink r:id="rId65">
        <w:r w:rsidRPr="1D456EC8">
          <w:rPr>
            <w:rStyle w:val="Hyperlink"/>
            <w:rFonts w:ascii="Times New Roman" w:eastAsia="Times New Roman" w:hAnsi="Times New Roman" w:cs="Times New Roman"/>
            <w:color w:val="0D0D0D" w:themeColor="text1" w:themeTint="F2"/>
          </w:rPr>
          <w:t>https://www.forbes.com/sites/alphabets-stock-analysis</w:t>
        </w:r>
      </w:hyperlink>
    </w:p>
    <w:p w14:paraId="04D3F276" w14:textId="77777777" w:rsidR="001A0F1D" w:rsidRPr="00104E32" w:rsidRDefault="001A0F1D" w:rsidP="00C22941">
      <w:pPr>
        <w:shd w:val="clear" w:color="auto" w:fill="FFFFFF" w:themeFill="background1"/>
        <w:spacing w:before="240" w:after="240"/>
        <w:ind w:left="720" w:hanging="360"/>
        <w:rPr>
          <w:rFonts w:ascii="Times New Roman" w:eastAsia="Times New Roman" w:hAnsi="Times New Roman" w:cs="Times New Roman"/>
          <w:color w:val="0D0D0D" w:themeColor="text1" w:themeTint="F2"/>
        </w:rPr>
      </w:pPr>
    </w:p>
    <w:p w14:paraId="3167B451" w14:textId="4B62EA0D" w:rsidR="00104E32" w:rsidRDefault="00061C11" w:rsidP="00C22941">
      <w:pPr>
        <w:shd w:val="clear" w:color="auto" w:fill="FFFFFF" w:themeFill="background1"/>
        <w:spacing w:before="240" w:after="240"/>
        <w:ind w:left="720" w:hanging="360"/>
        <w:rPr>
          <w:rStyle w:val="Hyperlink"/>
          <w:rFonts w:ascii="Times New Roman" w:eastAsia="Times New Roman" w:hAnsi="Times New Roman" w:cs="Times New Roman"/>
          <w:color w:val="0D0D0D" w:themeColor="text1" w:themeTint="F2"/>
        </w:rPr>
      </w:pPr>
      <w:r w:rsidRPr="00104E32">
        <w:rPr>
          <w:rFonts w:ascii="Times New Roman" w:eastAsia="Times New Roman" w:hAnsi="Times New Roman" w:cs="Times New Roman"/>
          <w:color w:val="0D0D0D" w:themeColor="text1" w:themeTint="F2"/>
        </w:rPr>
        <w:t xml:space="preserve">Yahoo Finance. (2024). Alphabet Inc. (GOOG) Stock Profile &amp; Summary. Yahoo Finance. Retrieved from </w:t>
      </w:r>
      <w:hyperlink r:id="rId66">
        <w:r w:rsidRPr="00104E32">
          <w:rPr>
            <w:rStyle w:val="Hyperlink"/>
            <w:rFonts w:ascii="Times New Roman" w:eastAsia="Times New Roman" w:hAnsi="Times New Roman" w:cs="Times New Roman"/>
            <w:color w:val="0D0D0D" w:themeColor="text1" w:themeTint="F2"/>
          </w:rPr>
          <w:t>https://finance.yahoo.com/quote/GOOG</w:t>
        </w:r>
      </w:hyperlink>
    </w:p>
    <w:p w14:paraId="48CB68C3" w14:textId="77777777" w:rsidR="001A0F1D" w:rsidRPr="00C22941" w:rsidRDefault="001A0F1D" w:rsidP="00C22941">
      <w:pPr>
        <w:shd w:val="clear" w:color="auto" w:fill="FFFFFF" w:themeFill="background1"/>
        <w:spacing w:before="240" w:after="240"/>
        <w:ind w:left="720" w:hanging="360"/>
        <w:rPr>
          <w:rFonts w:ascii="Times New Roman" w:eastAsia="Times New Roman" w:hAnsi="Times New Roman" w:cs="Times New Roman"/>
          <w:color w:val="0D0D0D" w:themeColor="text1" w:themeTint="F2"/>
        </w:rPr>
      </w:pPr>
    </w:p>
    <w:p w14:paraId="569E5365" w14:textId="77777777" w:rsidR="00A74C00" w:rsidRDefault="00A74C00" w:rsidP="00E605AB">
      <w:pPr>
        <w:spacing w:after="0" w:line="276" w:lineRule="auto"/>
        <w:ind w:left="720" w:hanging="360"/>
        <w:rPr>
          <w:rStyle w:val="Hyperlink"/>
          <w:rFonts w:ascii="Times New Roman" w:eastAsia="Calibri" w:hAnsi="Times New Roman" w:cs="Times New Roman"/>
          <w:color w:val="0D0D0D" w:themeColor="text1" w:themeTint="F2"/>
        </w:rPr>
      </w:pPr>
      <w:r w:rsidRPr="00104E32">
        <w:rPr>
          <w:rFonts w:ascii="Times New Roman" w:eastAsia="Calibri" w:hAnsi="Times New Roman" w:cs="Times New Roman"/>
          <w:color w:val="0D0D0D" w:themeColor="text1" w:themeTint="F2"/>
        </w:rPr>
        <w:t xml:space="preserve">Bloomberg. (2024). </w:t>
      </w:r>
      <w:r w:rsidRPr="00104E32">
        <w:rPr>
          <w:rFonts w:ascii="Times New Roman" w:eastAsia="Calibri" w:hAnsi="Times New Roman" w:cs="Times New Roman"/>
          <w:i/>
          <w:color w:val="0D0D0D" w:themeColor="text1" w:themeTint="F2"/>
        </w:rPr>
        <w:t>BRK/B: Berkshire Hathaway Inc Stock Price Quote</w:t>
      </w:r>
      <w:r w:rsidRPr="00104E32">
        <w:rPr>
          <w:rFonts w:ascii="Times New Roman" w:eastAsia="Calibri" w:hAnsi="Times New Roman" w:cs="Times New Roman"/>
          <w:color w:val="0D0D0D" w:themeColor="text1" w:themeTint="F2"/>
        </w:rPr>
        <w:t xml:space="preserve">. Retrieved from </w:t>
      </w:r>
      <w:hyperlink r:id="rId67">
        <w:r w:rsidRPr="00104E32">
          <w:rPr>
            <w:rStyle w:val="Hyperlink"/>
            <w:rFonts w:ascii="Times New Roman" w:eastAsia="Calibri" w:hAnsi="Times New Roman" w:cs="Times New Roman"/>
            <w:color w:val="0D0D0D" w:themeColor="text1" w:themeTint="F2"/>
          </w:rPr>
          <w:t>https://www.bloomberg.com/quote/BRK%2FB%3AUS</w:t>
        </w:r>
      </w:hyperlink>
    </w:p>
    <w:p w14:paraId="24E587E2" w14:textId="77777777" w:rsidR="001A0F1D" w:rsidRPr="00104E32" w:rsidRDefault="001A0F1D" w:rsidP="00E605AB">
      <w:pPr>
        <w:spacing w:after="0" w:line="276" w:lineRule="auto"/>
        <w:ind w:left="720" w:hanging="360"/>
        <w:rPr>
          <w:rFonts w:ascii="Times New Roman" w:eastAsia="Calibri" w:hAnsi="Times New Roman" w:cs="Times New Roman"/>
          <w:color w:val="0D0D0D" w:themeColor="text1" w:themeTint="F2"/>
          <w:u w:val="single"/>
        </w:rPr>
      </w:pPr>
    </w:p>
    <w:p w14:paraId="0E65FA54" w14:textId="77777777" w:rsidR="00104E32" w:rsidRPr="00104E32" w:rsidRDefault="00104E32" w:rsidP="00E605AB">
      <w:pPr>
        <w:spacing w:after="0" w:line="276" w:lineRule="auto"/>
        <w:ind w:left="720" w:hanging="360"/>
        <w:rPr>
          <w:rFonts w:ascii="Times New Roman" w:eastAsia="Calibri" w:hAnsi="Times New Roman" w:cs="Times New Roman"/>
          <w:color w:val="0D0D0D" w:themeColor="text1" w:themeTint="F2"/>
        </w:rPr>
      </w:pPr>
    </w:p>
    <w:p w14:paraId="7BB2FAE0" w14:textId="24CEB964" w:rsidR="005945E0" w:rsidRDefault="00A74C00" w:rsidP="00C22941">
      <w:pPr>
        <w:spacing w:after="0" w:line="276" w:lineRule="auto"/>
        <w:ind w:left="720" w:hanging="360"/>
        <w:rPr>
          <w:rFonts w:ascii="Times New Roman" w:eastAsia="Calibri" w:hAnsi="Times New Roman" w:cs="Times New Roman"/>
          <w:color w:val="0D0D0D" w:themeColor="text1" w:themeTint="F2"/>
          <w:u w:val="single"/>
        </w:rPr>
      </w:pPr>
      <w:r w:rsidRPr="00104E32">
        <w:rPr>
          <w:rFonts w:ascii="Times New Roman" w:eastAsia="Calibri" w:hAnsi="Times New Roman" w:cs="Times New Roman"/>
          <w:color w:val="0D0D0D" w:themeColor="text1" w:themeTint="F2"/>
        </w:rPr>
        <w:t xml:space="preserve">Bloomberg. (2024). </w:t>
      </w:r>
      <w:r w:rsidRPr="00104E32">
        <w:rPr>
          <w:rFonts w:ascii="Times New Roman" w:eastAsia="Calibri" w:hAnsi="Times New Roman" w:cs="Times New Roman"/>
          <w:i/>
          <w:color w:val="0D0D0D" w:themeColor="text1" w:themeTint="F2"/>
        </w:rPr>
        <w:t>BRK: Berkshire Hathaway Inc Stock Price Quote</w:t>
      </w:r>
      <w:r w:rsidRPr="00104E32">
        <w:rPr>
          <w:rFonts w:ascii="Times New Roman" w:eastAsia="Calibri" w:hAnsi="Times New Roman" w:cs="Times New Roman"/>
          <w:color w:val="0D0D0D" w:themeColor="text1" w:themeTint="F2"/>
        </w:rPr>
        <w:t xml:space="preserve">. Retrieved from </w:t>
      </w:r>
      <w:hyperlink r:id="rId68">
        <w:r w:rsidRPr="00104E32">
          <w:rPr>
            <w:rStyle w:val="Hyperlink"/>
            <w:rFonts w:ascii="Times New Roman" w:eastAsia="Calibri" w:hAnsi="Times New Roman" w:cs="Times New Roman"/>
            <w:color w:val="0D0D0D" w:themeColor="text1" w:themeTint="F2"/>
          </w:rPr>
          <w:t>https://www.bloomberg.com/quote/BRK%3AUS</w:t>
        </w:r>
      </w:hyperlink>
    </w:p>
    <w:p w14:paraId="7DC9659D" w14:textId="77777777" w:rsidR="00C22941" w:rsidRDefault="00C22941" w:rsidP="00C22941">
      <w:pPr>
        <w:spacing w:after="0" w:line="276" w:lineRule="auto"/>
        <w:ind w:left="720" w:hanging="360"/>
        <w:rPr>
          <w:rFonts w:ascii="Times New Roman" w:eastAsia="Calibri" w:hAnsi="Times New Roman" w:cs="Times New Roman"/>
          <w:color w:val="0D0D0D" w:themeColor="text1" w:themeTint="F2"/>
          <w:u w:val="single"/>
        </w:rPr>
      </w:pPr>
    </w:p>
    <w:p w14:paraId="0D7DC886" w14:textId="77777777" w:rsidR="001A0F1D" w:rsidRPr="00C22941" w:rsidRDefault="001A0F1D" w:rsidP="00C22941">
      <w:pPr>
        <w:spacing w:after="0" w:line="276" w:lineRule="auto"/>
        <w:ind w:left="720" w:hanging="360"/>
        <w:rPr>
          <w:rFonts w:ascii="Times New Roman" w:eastAsia="Calibri" w:hAnsi="Times New Roman" w:cs="Times New Roman"/>
          <w:color w:val="0D0D0D" w:themeColor="text1" w:themeTint="F2"/>
          <w:u w:val="single"/>
        </w:rPr>
      </w:pPr>
    </w:p>
    <w:p w14:paraId="2F3515F0" w14:textId="3187A8AE" w:rsidR="00305EAD" w:rsidRDefault="005945E0" w:rsidP="00C22941">
      <w:pPr>
        <w:spacing w:after="200" w:line="276" w:lineRule="auto"/>
        <w:ind w:left="720" w:hanging="360"/>
        <w:rPr>
          <w:rStyle w:val="Hyperlink"/>
          <w:rFonts w:ascii="Times New Roman" w:eastAsia="Calibri" w:hAnsi="Times New Roman" w:cs="Times New Roman"/>
          <w:color w:val="0D0D0D" w:themeColor="text1" w:themeTint="F2"/>
        </w:rPr>
      </w:pPr>
      <w:r w:rsidRPr="00104E32">
        <w:rPr>
          <w:rFonts w:ascii="Times New Roman" w:eastAsia="Calibri" w:hAnsi="Times New Roman" w:cs="Times New Roman"/>
          <w:color w:val="0D0D0D" w:themeColor="text1" w:themeTint="F2"/>
        </w:rPr>
        <w:t xml:space="preserve">Bloomberg. (2024). </w:t>
      </w:r>
      <w:r w:rsidRPr="00104E32">
        <w:rPr>
          <w:rFonts w:ascii="Times New Roman" w:eastAsia="Calibri" w:hAnsi="Times New Roman" w:cs="Times New Roman"/>
          <w:i/>
          <w:color w:val="0D0D0D" w:themeColor="text1" w:themeTint="F2"/>
        </w:rPr>
        <w:t>Vanguard Tax-Exempt Bond Index Fund ETF (VTEB)</w:t>
      </w:r>
      <w:r w:rsidRPr="00104E32">
        <w:rPr>
          <w:rFonts w:ascii="Times New Roman" w:eastAsia="Calibri" w:hAnsi="Times New Roman" w:cs="Times New Roman"/>
          <w:color w:val="0D0D0D" w:themeColor="text1" w:themeTint="F2"/>
        </w:rPr>
        <w:t xml:space="preserve">. Bloomberg. Retrieved from </w:t>
      </w:r>
      <w:hyperlink r:id="rId69">
        <w:r w:rsidRPr="00104E32">
          <w:rPr>
            <w:rStyle w:val="Hyperlink"/>
            <w:rFonts w:ascii="Times New Roman" w:eastAsia="Calibri" w:hAnsi="Times New Roman" w:cs="Times New Roman"/>
            <w:color w:val="0D0D0D" w:themeColor="text1" w:themeTint="F2"/>
          </w:rPr>
          <w:t>https://www.bloomberg.com/quote/VTEB:US</w:t>
        </w:r>
      </w:hyperlink>
    </w:p>
    <w:p w14:paraId="7FFE813C" w14:textId="77777777" w:rsidR="001A0F1D" w:rsidRPr="00C22941" w:rsidRDefault="001A0F1D" w:rsidP="00C22941">
      <w:pPr>
        <w:spacing w:after="200" w:line="276" w:lineRule="auto"/>
        <w:ind w:left="720" w:hanging="360"/>
        <w:rPr>
          <w:rFonts w:ascii="Times New Roman" w:eastAsia="Calibri" w:hAnsi="Times New Roman" w:cs="Times New Roman"/>
          <w:color w:val="0D0D0D" w:themeColor="text1" w:themeTint="F2"/>
        </w:rPr>
      </w:pPr>
    </w:p>
    <w:p w14:paraId="2CD434B4" w14:textId="3C7D5510" w:rsidR="005945E0" w:rsidRDefault="005945E0" w:rsidP="00E605AB">
      <w:pPr>
        <w:spacing w:after="200" w:line="276" w:lineRule="auto"/>
        <w:ind w:left="720" w:hanging="360"/>
        <w:rPr>
          <w:rStyle w:val="Hyperlink"/>
          <w:rFonts w:ascii="Times New Roman" w:eastAsia="Calibri" w:hAnsi="Times New Roman" w:cs="Times New Roman"/>
          <w:color w:val="0D0D0D" w:themeColor="text1" w:themeTint="F2"/>
        </w:rPr>
      </w:pPr>
      <w:r w:rsidRPr="1D456EC8">
        <w:rPr>
          <w:rFonts w:ascii="Times New Roman" w:eastAsia="Calibri" w:hAnsi="Times New Roman" w:cs="Times New Roman"/>
          <w:color w:val="0D0D0D" w:themeColor="text1" w:themeTint="F2"/>
        </w:rPr>
        <w:t xml:space="preserve">Vanguard. (2024). </w:t>
      </w:r>
      <w:r w:rsidRPr="1D456EC8">
        <w:rPr>
          <w:rFonts w:ascii="Times New Roman" w:eastAsia="Calibri" w:hAnsi="Times New Roman" w:cs="Times New Roman"/>
          <w:i/>
          <w:color w:val="0D0D0D" w:themeColor="text1" w:themeTint="F2"/>
        </w:rPr>
        <w:t>Vanguard Tax-Exempt Bond Index Fund ETF (VTEB)</w:t>
      </w:r>
      <w:r w:rsidRPr="1D456EC8">
        <w:rPr>
          <w:rFonts w:ascii="Times New Roman" w:eastAsia="Calibri" w:hAnsi="Times New Roman" w:cs="Times New Roman"/>
          <w:color w:val="0D0D0D" w:themeColor="text1" w:themeTint="F2"/>
        </w:rPr>
        <w:t xml:space="preserve">. Vanguard. Retrieved from </w:t>
      </w:r>
      <w:hyperlink r:id="rId70">
        <w:r w:rsidRPr="1D456EC8">
          <w:rPr>
            <w:rStyle w:val="Hyperlink"/>
            <w:rFonts w:ascii="Times New Roman" w:eastAsia="Calibri" w:hAnsi="Times New Roman" w:cs="Times New Roman"/>
            <w:color w:val="0D0D0D" w:themeColor="text1" w:themeTint="F2"/>
          </w:rPr>
          <w:t>https://investor.vanguard.com/etf/profile/VTEB</w:t>
        </w:r>
      </w:hyperlink>
    </w:p>
    <w:p w14:paraId="1206E007" w14:textId="77777777" w:rsidR="001A0F1D" w:rsidRPr="00104E32" w:rsidRDefault="001A0F1D" w:rsidP="00E605AB">
      <w:pPr>
        <w:spacing w:after="200" w:line="276" w:lineRule="auto"/>
        <w:ind w:left="720" w:hanging="360"/>
        <w:rPr>
          <w:rFonts w:ascii="Times New Roman" w:eastAsia="Calibri" w:hAnsi="Times New Roman" w:cs="Times New Roman"/>
          <w:color w:val="0D0D0D" w:themeColor="text1" w:themeTint="F2"/>
        </w:rPr>
      </w:pPr>
    </w:p>
    <w:p w14:paraId="359DEFAD" w14:textId="7803E366" w:rsidR="4D80CA21" w:rsidRDefault="4D80CA21" w:rsidP="00C22941">
      <w:pPr>
        <w:shd w:val="clear" w:color="auto" w:fill="FFFFFF" w:themeFill="background1"/>
        <w:spacing w:after="0"/>
        <w:ind w:left="720" w:hanging="360"/>
        <w:rPr>
          <w:rFonts w:ascii="system-ui" w:eastAsia="system-ui" w:hAnsi="system-ui" w:cs="system-ui"/>
          <w:i/>
          <w:iCs/>
          <w:color w:val="111827"/>
          <w:sz w:val="22"/>
          <w:szCs w:val="22"/>
          <w:u w:val="single"/>
        </w:rPr>
      </w:pPr>
      <w:r w:rsidRPr="1D456EC8">
        <w:rPr>
          <w:rFonts w:ascii="Times New Roman" w:eastAsia="Calibri" w:hAnsi="Times New Roman" w:cs="Times New Roman"/>
          <w:color w:val="0D0D0D" w:themeColor="text1" w:themeTint="F2"/>
        </w:rPr>
        <w:t xml:space="preserve">IEI (2024). </w:t>
      </w:r>
      <w:r w:rsidRPr="1D456EC8">
        <w:rPr>
          <w:rFonts w:ascii="system-ui" w:eastAsia="system-ui" w:hAnsi="system-ui" w:cs="system-ui"/>
          <w:i/>
          <w:iCs/>
          <w:color w:val="111827"/>
          <w:sz w:val="22"/>
          <w:szCs w:val="22"/>
        </w:rPr>
        <w:t>iShares 3-7 Year Treasury Bond ETF</w:t>
      </w:r>
      <w:r w:rsidR="02D58717" w:rsidRPr="1D456EC8">
        <w:rPr>
          <w:rFonts w:ascii="system-ui" w:eastAsia="system-ui" w:hAnsi="system-ui" w:cs="system-ui"/>
          <w:i/>
          <w:iCs/>
          <w:color w:val="111827"/>
          <w:sz w:val="22"/>
          <w:szCs w:val="22"/>
        </w:rPr>
        <w:t xml:space="preserve">. Retrieved from </w:t>
      </w:r>
      <w:r w:rsidR="02D58717" w:rsidRPr="1D456EC8">
        <w:rPr>
          <w:rFonts w:ascii="system-ui" w:eastAsia="system-ui" w:hAnsi="system-ui" w:cs="system-ui"/>
          <w:i/>
          <w:iCs/>
          <w:color w:val="111827"/>
          <w:sz w:val="22"/>
          <w:szCs w:val="22"/>
          <w:u w:val="single"/>
        </w:rPr>
        <w:t>https://stockanalysis.com/etf/iei/</w:t>
      </w:r>
    </w:p>
    <w:p w14:paraId="0299F688" w14:textId="33C3F310" w:rsidR="1D456EC8" w:rsidRDefault="1D456EC8" w:rsidP="1D456EC8">
      <w:pPr>
        <w:spacing w:after="200" w:line="276" w:lineRule="auto"/>
        <w:ind w:left="720" w:hanging="360"/>
        <w:rPr>
          <w:rFonts w:ascii="Times New Roman" w:eastAsia="Calibri" w:hAnsi="Times New Roman" w:cs="Times New Roman"/>
          <w:color w:val="0D0D0D" w:themeColor="text1" w:themeTint="F2"/>
        </w:rPr>
      </w:pPr>
    </w:p>
    <w:p w14:paraId="4878BA1C" w14:textId="77777777" w:rsidR="00CC067E" w:rsidRPr="00CC067E" w:rsidRDefault="00CC067E" w:rsidP="00013E24"/>
    <w:sectPr w:rsidR="00CC067E" w:rsidRPr="00CC067E">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7D76A" w14:textId="77777777" w:rsidR="009634A5" w:rsidRDefault="009634A5">
      <w:pPr>
        <w:spacing w:after="0" w:line="240" w:lineRule="auto"/>
      </w:pPr>
      <w:r>
        <w:separator/>
      </w:r>
    </w:p>
  </w:endnote>
  <w:endnote w:type="continuationSeparator" w:id="0">
    <w:p w14:paraId="6679E2BA" w14:textId="77777777" w:rsidR="009634A5" w:rsidRDefault="009634A5">
      <w:pPr>
        <w:spacing w:after="0" w:line="240" w:lineRule="auto"/>
      </w:pPr>
      <w:r>
        <w:continuationSeparator/>
      </w:r>
    </w:p>
  </w:endnote>
  <w:endnote w:type="continuationNotice" w:id="1">
    <w:p w14:paraId="175CAD1E" w14:textId="77777777" w:rsidR="009634A5" w:rsidRDefault="009634A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ystem-u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54E3AFB" w14:paraId="2A999486" w14:textId="77777777" w:rsidTr="554E3AFB">
      <w:trPr>
        <w:trHeight w:val="300"/>
      </w:trPr>
      <w:tc>
        <w:tcPr>
          <w:tcW w:w="3120" w:type="dxa"/>
        </w:tcPr>
        <w:p w14:paraId="3C7C939B" w14:textId="76BA32C0" w:rsidR="554E3AFB" w:rsidRDefault="554E3AFB" w:rsidP="554E3AFB">
          <w:pPr>
            <w:pStyle w:val="Header"/>
            <w:ind w:left="-115"/>
          </w:pPr>
        </w:p>
      </w:tc>
      <w:tc>
        <w:tcPr>
          <w:tcW w:w="3120" w:type="dxa"/>
        </w:tcPr>
        <w:p w14:paraId="4C9C1816" w14:textId="4E2F9068" w:rsidR="554E3AFB" w:rsidRDefault="554E3AFB" w:rsidP="554E3AFB">
          <w:pPr>
            <w:pStyle w:val="Header"/>
            <w:jc w:val="center"/>
          </w:pPr>
        </w:p>
      </w:tc>
      <w:tc>
        <w:tcPr>
          <w:tcW w:w="3120" w:type="dxa"/>
        </w:tcPr>
        <w:p w14:paraId="58523E27" w14:textId="336A3DBD" w:rsidR="554E3AFB" w:rsidRDefault="554E3AFB" w:rsidP="554E3AFB">
          <w:pPr>
            <w:pStyle w:val="Header"/>
            <w:ind w:right="-115"/>
            <w:jc w:val="right"/>
          </w:pPr>
        </w:p>
      </w:tc>
    </w:tr>
  </w:tbl>
  <w:p w14:paraId="7BA26ADD" w14:textId="09C5DFA9" w:rsidR="554E3AFB" w:rsidRDefault="554E3AFB" w:rsidP="554E3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612DF" w14:textId="77777777" w:rsidR="009634A5" w:rsidRDefault="009634A5">
      <w:pPr>
        <w:spacing w:after="0" w:line="240" w:lineRule="auto"/>
      </w:pPr>
      <w:r>
        <w:separator/>
      </w:r>
    </w:p>
  </w:footnote>
  <w:footnote w:type="continuationSeparator" w:id="0">
    <w:p w14:paraId="1F3F5C4B" w14:textId="77777777" w:rsidR="009634A5" w:rsidRDefault="009634A5">
      <w:pPr>
        <w:spacing w:after="0" w:line="240" w:lineRule="auto"/>
      </w:pPr>
      <w:r>
        <w:continuationSeparator/>
      </w:r>
    </w:p>
  </w:footnote>
  <w:footnote w:type="continuationNotice" w:id="1">
    <w:p w14:paraId="77EBCB6C" w14:textId="77777777" w:rsidR="009634A5" w:rsidRDefault="009634A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54E3AFB" w14:paraId="169B84EF" w14:textId="77777777" w:rsidTr="554E3AFB">
      <w:trPr>
        <w:trHeight w:val="300"/>
      </w:trPr>
      <w:tc>
        <w:tcPr>
          <w:tcW w:w="3120" w:type="dxa"/>
        </w:tcPr>
        <w:p w14:paraId="515C246B" w14:textId="4DC50914" w:rsidR="554E3AFB" w:rsidRDefault="554E3AFB" w:rsidP="554E3AFB">
          <w:pPr>
            <w:pStyle w:val="Header"/>
            <w:ind w:left="-115"/>
          </w:pPr>
        </w:p>
      </w:tc>
      <w:tc>
        <w:tcPr>
          <w:tcW w:w="3120" w:type="dxa"/>
        </w:tcPr>
        <w:p w14:paraId="27E7DC35" w14:textId="486D6D3F" w:rsidR="554E3AFB" w:rsidRDefault="554E3AFB" w:rsidP="554E3AFB">
          <w:pPr>
            <w:pStyle w:val="Header"/>
            <w:jc w:val="center"/>
          </w:pPr>
        </w:p>
      </w:tc>
      <w:tc>
        <w:tcPr>
          <w:tcW w:w="3120" w:type="dxa"/>
        </w:tcPr>
        <w:p w14:paraId="024CC11E" w14:textId="65653747" w:rsidR="554E3AFB" w:rsidRDefault="554E3AFB" w:rsidP="554E3AFB">
          <w:pPr>
            <w:pStyle w:val="Header"/>
            <w:ind w:right="-115"/>
            <w:jc w:val="right"/>
          </w:pPr>
        </w:p>
      </w:tc>
    </w:tr>
  </w:tbl>
  <w:p w14:paraId="230257EF" w14:textId="33D14B43" w:rsidR="554E3AFB" w:rsidRDefault="554E3AFB" w:rsidP="554E3AFB">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536F"/>
    <w:multiLevelType w:val="hybridMultilevel"/>
    <w:tmpl w:val="FFFFFFFF"/>
    <w:lvl w:ilvl="0" w:tplc="1F28AC1A">
      <w:start w:val="1"/>
      <w:numFmt w:val="bullet"/>
      <w:lvlText w:val=""/>
      <w:lvlJc w:val="left"/>
      <w:pPr>
        <w:ind w:left="720" w:hanging="360"/>
      </w:pPr>
      <w:rPr>
        <w:rFonts w:ascii="Symbol" w:hAnsi="Symbol" w:hint="default"/>
      </w:rPr>
    </w:lvl>
    <w:lvl w:ilvl="1" w:tplc="12A0D1F8">
      <w:start w:val="1"/>
      <w:numFmt w:val="bullet"/>
      <w:lvlText w:val="o"/>
      <w:lvlJc w:val="left"/>
      <w:pPr>
        <w:ind w:left="1440" w:hanging="360"/>
      </w:pPr>
      <w:rPr>
        <w:rFonts w:ascii="Courier New" w:hAnsi="Courier New" w:hint="default"/>
      </w:rPr>
    </w:lvl>
    <w:lvl w:ilvl="2" w:tplc="C9BCDB58">
      <w:start w:val="1"/>
      <w:numFmt w:val="bullet"/>
      <w:lvlText w:val=""/>
      <w:lvlJc w:val="left"/>
      <w:pPr>
        <w:ind w:left="2160" w:hanging="360"/>
      </w:pPr>
      <w:rPr>
        <w:rFonts w:ascii="Wingdings" w:hAnsi="Wingdings" w:hint="default"/>
      </w:rPr>
    </w:lvl>
    <w:lvl w:ilvl="3" w:tplc="6B12249C">
      <w:start w:val="1"/>
      <w:numFmt w:val="bullet"/>
      <w:lvlText w:val=""/>
      <w:lvlJc w:val="left"/>
      <w:pPr>
        <w:ind w:left="2880" w:hanging="360"/>
      </w:pPr>
      <w:rPr>
        <w:rFonts w:ascii="Symbol" w:hAnsi="Symbol" w:hint="default"/>
      </w:rPr>
    </w:lvl>
    <w:lvl w:ilvl="4" w:tplc="CE4E06CC">
      <w:start w:val="1"/>
      <w:numFmt w:val="bullet"/>
      <w:lvlText w:val="o"/>
      <w:lvlJc w:val="left"/>
      <w:pPr>
        <w:ind w:left="3600" w:hanging="360"/>
      </w:pPr>
      <w:rPr>
        <w:rFonts w:ascii="Courier New" w:hAnsi="Courier New" w:hint="default"/>
      </w:rPr>
    </w:lvl>
    <w:lvl w:ilvl="5" w:tplc="08806D6E">
      <w:start w:val="1"/>
      <w:numFmt w:val="bullet"/>
      <w:lvlText w:val=""/>
      <w:lvlJc w:val="left"/>
      <w:pPr>
        <w:ind w:left="4320" w:hanging="360"/>
      </w:pPr>
      <w:rPr>
        <w:rFonts w:ascii="Wingdings" w:hAnsi="Wingdings" w:hint="default"/>
      </w:rPr>
    </w:lvl>
    <w:lvl w:ilvl="6" w:tplc="A6AEDDDA">
      <w:start w:val="1"/>
      <w:numFmt w:val="bullet"/>
      <w:lvlText w:val=""/>
      <w:lvlJc w:val="left"/>
      <w:pPr>
        <w:ind w:left="5040" w:hanging="360"/>
      </w:pPr>
      <w:rPr>
        <w:rFonts w:ascii="Symbol" w:hAnsi="Symbol" w:hint="default"/>
      </w:rPr>
    </w:lvl>
    <w:lvl w:ilvl="7" w:tplc="6FA45960">
      <w:start w:val="1"/>
      <w:numFmt w:val="bullet"/>
      <w:lvlText w:val="o"/>
      <w:lvlJc w:val="left"/>
      <w:pPr>
        <w:ind w:left="5760" w:hanging="360"/>
      </w:pPr>
      <w:rPr>
        <w:rFonts w:ascii="Courier New" w:hAnsi="Courier New" w:hint="default"/>
      </w:rPr>
    </w:lvl>
    <w:lvl w:ilvl="8" w:tplc="22C2D5CE">
      <w:start w:val="1"/>
      <w:numFmt w:val="bullet"/>
      <w:lvlText w:val=""/>
      <w:lvlJc w:val="left"/>
      <w:pPr>
        <w:ind w:left="6480" w:hanging="360"/>
      </w:pPr>
      <w:rPr>
        <w:rFonts w:ascii="Wingdings" w:hAnsi="Wingdings" w:hint="default"/>
      </w:rPr>
    </w:lvl>
  </w:abstractNum>
  <w:abstractNum w:abstractNumId="1" w15:restartNumberingAfterBreak="0">
    <w:nsid w:val="05069080"/>
    <w:multiLevelType w:val="hybridMultilevel"/>
    <w:tmpl w:val="3F5610E6"/>
    <w:lvl w:ilvl="0" w:tplc="8332B63E">
      <w:start w:val="1"/>
      <w:numFmt w:val="bullet"/>
      <w:lvlText w:val=""/>
      <w:lvlJc w:val="left"/>
      <w:pPr>
        <w:ind w:left="720" w:hanging="360"/>
      </w:pPr>
      <w:rPr>
        <w:rFonts w:ascii="Symbol" w:hAnsi="Symbol" w:hint="default"/>
      </w:rPr>
    </w:lvl>
    <w:lvl w:ilvl="1" w:tplc="F30E0254">
      <w:start w:val="1"/>
      <w:numFmt w:val="bullet"/>
      <w:lvlText w:val="o"/>
      <w:lvlJc w:val="left"/>
      <w:pPr>
        <w:ind w:left="1440" w:hanging="360"/>
      </w:pPr>
      <w:rPr>
        <w:rFonts w:ascii="Courier New" w:hAnsi="Courier New" w:hint="default"/>
      </w:rPr>
    </w:lvl>
    <w:lvl w:ilvl="2" w:tplc="BE22D20A">
      <w:start w:val="1"/>
      <w:numFmt w:val="bullet"/>
      <w:lvlText w:val=""/>
      <w:lvlJc w:val="left"/>
      <w:pPr>
        <w:ind w:left="2160" w:hanging="360"/>
      </w:pPr>
      <w:rPr>
        <w:rFonts w:ascii="Wingdings" w:hAnsi="Wingdings" w:hint="default"/>
      </w:rPr>
    </w:lvl>
    <w:lvl w:ilvl="3" w:tplc="4218E8AA">
      <w:start w:val="1"/>
      <w:numFmt w:val="bullet"/>
      <w:lvlText w:val=""/>
      <w:lvlJc w:val="left"/>
      <w:pPr>
        <w:ind w:left="2880" w:hanging="360"/>
      </w:pPr>
      <w:rPr>
        <w:rFonts w:ascii="Symbol" w:hAnsi="Symbol" w:hint="default"/>
      </w:rPr>
    </w:lvl>
    <w:lvl w:ilvl="4" w:tplc="3E3A9CF6">
      <w:start w:val="1"/>
      <w:numFmt w:val="bullet"/>
      <w:lvlText w:val="o"/>
      <w:lvlJc w:val="left"/>
      <w:pPr>
        <w:ind w:left="3600" w:hanging="360"/>
      </w:pPr>
      <w:rPr>
        <w:rFonts w:ascii="Courier New" w:hAnsi="Courier New" w:hint="default"/>
      </w:rPr>
    </w:lvl>
    <w:lvl w:ilvl="5" w:tplc="0270EDF2">
      <w:start w:val="1"/>
      <w:numFmt w:val="bullet"/>
      <w:lvlText w:val=""/>
      <w:lvlJc w:val="left"/>
      <w:pPr>
        <w:ind w:left="4320" w:hanging="360"/>
      </w:pPr>
      <w:rPr>
        <w:rFonts w:ascii="Wingdings" w:hAnsi="Wingdings" w:hint="default"/>
      </w:rPr>
    </w:lvl>
    <w:lvl w:ilvl="6" w:tplc="F7844D1A">
      <w:start w:val="1"/>
      <w:numFmt w:val="bullet"/>
      <w:lvlText w:val=""/>
      <w:lvlJc w:val="left"/>
      <w:pPr>
        <w:ind w:left="5040" w:hanging="360"/>
      </w:pPr>
      <w:rPr>
        <w:rFonts w:ascii="Symbol" w:hAnsi="Symbol" w:hint="default"/>
      </w:rPr>
    </w:lvl>
    <w:lvl w:ilvl="7" w:tplc="612A0D40">
      <w:start w:val="1"/>
      <w:numFmt w:val="bullet"/>
      <w:lvlText w:val="o"/>
      <w:lvlJc w:val="left"/>
      <w:pPr>
        <w:ind w:left="5760" w:hanging="360"/>
      </w:pPr>
      <w:rPr>
        <w:rFonts w:ascii="Courier New" w:hAnsi="Courier New" w:hint="default"/>
      </w:rPr>
    </w:lvl>
    <w:lvl w:ilvl="8" w:tplc="99B07414">
      <w:start w:val="1"/>
      <w:numFmt w:val="bullet"/>
      <w:lvlText w:val=""/>
      <w:lvlJc w:val="left"/>
      <w:pPr>
        <w:ind w:left="6480" w:hanging="360"/>
      </w:pPr>
      <w:rPr>
        <w:rFonts w:ascii="Wingdings" w:hAnsi="Wingdings" w:hint="default"/>
      </w:rPr>
    </w:lvl>
  </w:abstractNum>
  <w:abstractNum w:abstractNumId="2" w15:restartNumberingAfterBreak="0">
    <w:nsid w:val="05240C5E"/>
    <w:multiLevelType w:val="hybridMultilevel"/>
    <w:tmpl w:val="0A965F30"/>
    <w:lvl w:ilvl="0" w:tplc="172E838E">
      <w:start w:val="1"/>
      <w:numFmt w:val="bullet"/>
      <w:lvlText w:val=""/>
      <w:lvlJc w:val="left"/>
      <w:pPr>
        <w:ind w:left="720" w:hanging="360"/>
      </w:pPr>
      <w:rPr>
        <w:rFonts w:ascii="Symbol" w:hAnsi="Symbol" w:hint="default"/>
      </w:rPr>
    </w:lvl>
    <w:lvl w:ilvl="1" w:tplc="5ED44ADE">
      <w:start w:val="1"/>
      <w:numFmt w:val="bullet"/>
      <w:lvlText w:val="o"/>
      <w:lvlJc w:val="left"/>
      <w:pPr>
        <w:ind w:left="1440" w:hanging="360"/>
      </w:pPr>
      <w:rPr>
        <w:rFonts w:ascii="Courier New" w:hAnsi="Courier New" w:hint="default"/>
      </w:rPr>
    </w:lvl>
    <w:lvl w:ilvl="2" w:tplc="949A5BB6">
      <w:start w:val="1"/>
      <w:numFmt w:val="bullet"/>
      <w:lvlText w:val=""/>
      <w:lvlJc w:val="left"/>
      <w:pPr>
        <w:ind w:left="2160" w:hanging="360"/>
      </w:pPr>
      <w:rPr>
        <w:rFonts w:ascii="Wingdings" w:hAnsi="Wingdings" w:hint="default"/>
      </w:rPr>
    </w:lvl>
    <w:lvl w:ilvl="3" w:tplc="E9341962">
      <w:start w:val="1"/>
      <w:numFmt w:val="bullet"/>
      <w:lvlText w:val=""/>
      <w:lvlJc w:val="left"/>
      <w:pPr>
        <w:ind w:left="2880" w:hanging="360"/>
      </w:pPr>
      <w:rPr>
        <w:rFonts w:ascii="Symbol" w:hAnsi="Symbol" w:hint="default"/>
      </w:rPr>
    </w:lvl>
    <w:lvl w:ilvl="4" w:tplc="24647466">
      <w:start w:val="1"/>
      <w:numFmt w:val="bullet"/>
      <w:lvlText w:val="o"/>
      <w:lvlJc w:val="left"/>
      <w:pPr>
        <w:ind w:left="3600" w:hanging="360"/>
      </w:pPr>
      <w:rPr>
        <w:rFonts w:ascii="Courier New" w:hAnsi="Courier New" w:hint="default"/>
      </w:rPr>
    </w:lvl>
    <w:lvl w:ilvl="5" w:tplc="D660BCF0">
      <w:start w:val="1"/>
      <w:numFmt w:val="bullet"/>
      <w:lvlText w:val=""/>
      <w:lvlJc w:val="left"/>
      <w:pPr>
        <w:ind w:left="4320" w:hanging="360"/>
      </w:pPr>
      <w:rPr>
        <w:rFonts w:ascii="Wingdings" w:hAnsi="Wingdings" w:hint="default"/>
      </w:rPr>
    </w:lvl>
    <w:lvl w:ilvl="6" w:tplc="E80CBFF0">
      <w:start w:val="1"/>
      <w:numFmt w:val="bullet"/>
      <w:lvlText w:val=""/>
      <w:lvlJc w:val="left"/>
      <w:pPr>
        <w:ind w:left="5040" w:hanging="360"/>
      </w:pPr>
      <w:rPr>
        <w:rFonts w:ascii="Symbol" w:hAnsi="Symbol" w:hint="default"/>
      </w:rPr>
    </w:lvl>
    <w:lvl w:ilvl="7" w:tplc="DFA67278">
      <w:start w:val="1"/>
      <w:numFmt w:val="bullet"/>
      <w:lvlText w:val="o"/>
      <w:lvlJc w:val="left"/>
      <w:pPr>
        <w:ind w:left="5760" w:hanging="360"/>
      </w:pPr>
      <w:rPr>
        <w:rFonts w:ascii="Courier New" w:hAnsi="Courier New" w:hint="default"/>
      </w:rPr>
    </w:lvl>
    <w:lvl w:ilvl="8" w:tplc="F7AABD1E">
      <w:start w:val="1"/>
      <w:numFmt w:val="bullet"/>
      <w:lvlText w:val=""/>
      <w:lvlJc w:val="left"/>
      <w:pPr>
        <w:ind w:left="6480" w:hanging="360"/>
      </w:pPr>
      <w:rPr>
        <w:rFonts w:ascii="Wingdings" w:hAnsi="Wingdings" w:hint="default"/>
      </w:rPr>
    </w:lvl>
  </w:abstractNum>
  <w:abstractNum w:abstractNumId="3" w15:restartNumberingAfterBreak="0">
    <w:nsid w:val="08BD5B92"/>
    <w:multiLevelType w:val="hybridMultilevel"/>
    <w:tmpl w:val="EE3AD4C8"/>
    <w:lvl w:ilvl="0" w:tplc="8CBEDF8C">
      <w:start w:val="1"/>
      <w:numFmt w:val="decimal"/>
      <w:lvlText w:val="%1."/>
      <w:lvlJc w:val="left"/>
      <w:pPr>
        <w:ind w:left="720" w:hanging="360"/>
      </w:pPr>
    </w:lvl>
    <w:lvl w:ilvl="1" w:tplc="B658E014">
      <w:start w:val="1"/>
      <w:numFmt w:val="lowerLetter"/>
      <w:lvlText w:val="%2."/>
      <w:lvlJc w:val="left"/>
      <w:pPr>
        <w:ind w:left="1440" w:hanging="360"/>
      </w:pPr>
    </w:lvl>
    <w:lvl w:ilvl="2" w:tplc="EE283626">
      <w:start w:val="1"/>
      <w:numFmt w:val="lowerRoman"/>
      <w:lvlText w:val="%3."/>
      <w:lvlJc w:val="right"/>
      <w:pPr>
        <w:ind w:left="2160" w:hanging="180"/>
      </w:pPr>
    </w:lvl>
    <w:lvl w:ilvl="3" w:tplc="A58EC14A">
      <w:start w:val="1"/>
      <w:numFmt w:val="decimal"/>
      <w:lvlText w:val="%4."/>
      <w:lvlJc w:val="left"/>
      <w:pPr>
        <w:ind w:left="2880" w:hanging="360"/>
      </w:pPr>
    </w:lvl>
    <w:lvl w:ilvl="4" w:tplc="C9B01894">
      <w:start w:val="1"/>
      <w:numFmt w:val="lowerLetter"/>
      <w:lvlText w:val="%5."/>
      <w:lvlJc w:val="left"/>
      <w:pPr>
        <w:ind w:left="3600" w:hanging="360"/>
      </w:pPr>
    </w:lvl>
    <w:lvl w:ilvl="5" w:tplc="499AF0D0">
      <w:start w:val="1"/>
      <w:numFmt w:val="lowerRoman"/>
      <w:lvlText w:val="%6."/>
      <w:lvlJc w:val="right"/>
      <w:pPr>
        <w:ind w:left="4320" w:hanging="180"/>
      </w:pPr>
    </w:lvl>
    <w:lvl w:ilvl="6" w:tplc="21A28CEE">
      <w:start w:val="1"/>
      <w:numFmt w:val="decimal"/>
      <w:lvlText w:val="%7."/>
      <w:lvlJc w:val="left"/>
      <w:pPr>
        <w:ind w:left="5040" w:hanging="360"/>
      </w:pPr>
    </w:lvl>
    <w:lvl w:ilvl="7" w:tplc="1FE018C2">
      <w:start w:val="1"/>
      <w:numFmt w:val="lowerLetter"/>
      <w:lvlText w:val="%8."/>
      <w:lvlJc w:val="left"/>
      <w:pPr>
        <w:ind w:left="5760" w:hanging="360"/>
      </w:pPr>
    </w:lvl>
    <w:lvl w:ilvl="8" w:tplc="18ACFD90">
      <w:start w:val="1"/>
      <w:numFmt w:val="lowerRoman"/>
      <w:lvlText w:val="%9."/>
      <w:lvlJc w:val="right"/>
      <w:pPr>
        <w:ind w:left="6480" w:hanging="180"/>
      </w:pPr>
    </w:lvl>
  </w:abstractNum>
  <w:abstractNum w:abstractNumId="4" w15:restartNumberingAfterBreak="0">
    <w:nsid w:val="0B34C39B"/>
    <w:multiLevelType w:val="hybridMultilevel"/>
    <w:tmpl w:val="BB30BC24"/>
    <w:lvl w:ilvl="0" w:tplc="22EACD36">
      <w:start w:val="1"/>
      <w:numFmt w:val="bullet"/>
      <w:lvlText w:val=""/>
      <w:lvlJc w:val="left"/>
      <w:pPr>
        <w:ind w:left="720" w:hanging="360"/>
      </w:pPr>
      <w:rPr>
        <w:rFonts w:ascii="Symbol" w:hAnsi="Symbol" w:hint="default"/>
      </w:rPr>
    </w:lvl>
    <w:lvl w:ilvl="1" w:tplc="461AE022">
      <w:start w:val="1"/>
      <w:numFmt w:val="bullet"/>
      <w:lvlText w:val="o"/>
      <w:lvlJc w:val="left"/>
      <w:pPr>
        <w:ind w:left="1440" w:hanging="360"/>
      </w:pPr>
      <w:rPr>
        <w:rFonts w:ascii="Courier New" w:hAnsi="Courier New" w:hint="default"/>
      </w:rPr>
    </w:lvl>
    <w:lvl w:ilvl="2" w:tplc="FFDEB35C">
      <w:start w:val="1"/>
      <w:numFmt w:val="bullet"/>
      <w:lvlText w:val=""/>
      <w:lvlJc w:val="left"/>
      <w:pPr>
        <w:ind w:left="2160" w:hanging="360"/>
      </w:pPr>
      <w:rPr>
        <w:rFonts w:ascii="Wingdings" w:hAnsi="Wingdings" w:hint="default"/>
      </w:rPr>
    </w:lvl>
    <w:lvl w:ilvl="3" w:tplc="5EC646C0">
      <w:start w:val="1"/>
      <w:numFmt w:val="bullet"/>
      <w:lvlText w:val=""/>
      <w:lvlJc w:val="left"/>
      <w:pPr>
        <w:ind w:left="2880" w:hanging="360"/>
      </w:pPr>
      <w:rPr>
        <w:rFonts w:ascii="Symbol" w:hAnsi="Symbol" w:hint="default"/>
      </w:rPr>
    </w:lvl>
    <w:lvl w:ilvl="4" w:tplc="ABBCCB74">
      <w:start w:val="1"/>
      <w:numFmt w:val="bullet"/>
      <w:lvlText w:val="o"/>
      <w:lvlJc w:val="left"/>
      <w:pPr>
        <w:ind w:left="3600" w:hanging="360"/>
      </w:pPr>
      <w:rPr>
        <w:rFonts w:ascii="Courier New" w:hAnsi="Courier New" w:hint="default"/>
      </w:rPr>
    </w:lvl>
    <w:lvl w:ilvl="5" w:tplc="9AA08312">
      <w:start w:val="1"/>
      <w:numFmt w:val="bullet"/>
      <w:lvlText w:val=""/>
      <w:lvlJc w:val="left"/>
      <w:pPr>
        <w:ind w:left="4320" w:hanging="360"/>
      </w:pPr>
      <w:rPr>
        <w:rFonts w:ascii="Wingdings" w:hAnsi="Wingdings" w:hint="default"/>
      </w:rPr>
    </w:lvl>
    <w:lvl w:ilvl="6" w:tplc="B73AD908">
      <w:start w:val="1"/>
      <w:numFmt w:val="bullet"/>
      <w:lvlText w:val=""/>
      <w:lvlJc w:val="left"/>
      <w:pPr>
        <w:ind w:left="5040" w:hanging="360"/>
      </w:pPr>
      <w:rPr>
        <w:rFonts w:ascii="Symbol" w:hAnsi="Symbol" w:hint="default"/>
      </w:rPr>
    </w:lvl>
    <w:lvl w:ilvl="7" w:tplc="9C8A0890">
      <w:start w:val="1"/>
      <w:numFmt w:val="bullet"/>
      <w:lvlText w:val="o"/>
      <w:lvlJc w:val="left"/>
      <w:pPr>
        <w:ind w:left="5760" w:hanging="360"/>
      </w:pPr>
      <w:rPr>
        <w:rFonts w:ascii="Courier New" w:hAnsi="Courier New" w:hint="default"/>
      </w:rPr>
    </w:lvl>
    <w:lvl w:ilvl="8" w:tplc="F49CA1DC">
      <w:start w:val="1"/>
      <w:numFmt w:val="bullet"/>
      <w:lvlText w:val=""/>
      <w:lvlJc w:val="left"/>
      <w:pPr>
        <w:ind w:left="6480" w:hanging="360"/>
      </w:pPr>
      <w:rPr>
        <w:rFonts w:ascii="Wingdings" w:hAnsi="Wingdings" w:hint="default"/>
      </w:rPr>
    </w:lvl>
  </w:abstractNum>
  <w:abstractNum w:abstractNumId="5" w15:restartNumberingAfterBreak="0">
    <w:nsid w:val="0D6F22CE"/>
    <w:multiLevelType w:val="hybridMultilevel"/>
    <w:tmpl w:val="A5F8A4B4"/>
    <w:lvl w:ilvl="0" w:tplc="1C7AC322">
      <w:start w:val="3"/>
      <w:numFmt w:val="decimal"/>
      <w:lvlText w:val="%1."/>
      <w:lvlJc w:val="left"/>
      <w:pPr>
        <w:ind w:left="720" w:hanging="360"/>
      </w:pPr>
    </w:lvl>
    <w:lvl w:ilvl="1" w:tplc="6FE2C658">
      <w:start w:val="1"/>
      <w:numFmt w:val="lowerLetter"/>
      <w:lvlText w:val="%2."/>
      <w:lvlJc w:val="left"/>
      <w:pPr>
        <w:ind w:left="1440" w:hanging="360"/>
      </w:pPr>
    </w:lvl>
    <w:lvl w:ilvl="2" w:tplc="D3D05106">
      <w:start w:val="1"/>
      <w:numFmt w:val="lowerRoman"/>
      <w:lvlText w:val="%3."/>
      <w:lvlJc w:val="right"/>
      <w:pPr>
        <w:ind w:left="2160" w:hanging="180"/>
      </w:pPr>
    </w:lvl>
    <w:lvl w:ilvl="3" w:tplc="C1B6FCEC">
      <w:start w:val="1"/>
      <w:numFmt w:val="decimal"/>
      <w:lvlText w:val="%4."/>
      <w:lvlJc w:val="left"/>
      <w:pPr>
        <w:ind w:left="2880" w:hanging="360"/>
      </w:pPr>
    </w:lvl>
    <w:lvl w:ilvl="4" w:tplc="A686FCF2">
      <w:start w:val="1"/>
      <w:numFmt w:val="lowerLetter"/>
      <w:lvlText w:val="%5."/>
      <w:lvlJc w:val="left"/>
      <w:pPr>
        <w:ind w:left="3600" w:hanging="360"/>
      </w:pPr>
    </w:lvl>
    <w:lvl w:ilvl="5" w:tplc="621E9FEE">
      <w:start w:val="1"/>
      <w:numFmt w:val="lowerRoman"/>
      <w:lvlText w:val="%6."/>
      <w:lvlJc w:val="right"/>
      <w:pPr>
        <w:ind w:left="4320" w:hanging="180"/>
      </w:pPr>
    </w:lvl>
    <w:lvl w:ilvl="6" w:tplc="FC6EA01E">
      <w:start w:val="1"/>
      <w:numFmt w:val="decimal"/>
      <w:lvlText w:val="%7."/>
      <w:lvlJc w:val="left"/>
      <w:pPr>
        <w:ind w:left="5040" w:hanging="360"/>
      </w:pPr>
    </w:lvl>
    <w:lvl w:ilvl="7" w:tplc="2842DD5E">
      <w:start w:val="1"/>
      <w:numFmt w:val="lowerLetter"/>
      <w:lvlText w:val="%8."/>
      <w:lvlJc w:val="left"/>
      <w:pPr>
        <w:ind w:left="5760" w:hanging="360"/>
      </w:pPr>
    </w:lvl>
    <w:lvl w:ilvl="8" w:tplc="22F0D1DA">
      <w:start w:val="1"/>
      <w:numFmt w:val="lowerRoman"/>
      <w:lvlText w:val="%9."/>
      <w:lvlJc w:val="right"/>
      <w:pPr>
        <w:ind w:left="6480" w:hanging="180"/>
      </w:pPr>
    </w:lvl>
  </w:abstractNum>
  <w:abstractNum w:abstractNumId="6" w15:restartNumberingAfterBreak="0">
    <w:nsid w:val="0E29EF54"/>
    <w:multiLevelType w:val="hybridMultilevel"/>
    <w:tmpl w:val="0FEE958A"/>
    <w:lvl w:ilvl="0" w:tplc="32A8A4F4">
      <w:start w:val="1"/>
      <w:numFmt w:val="bullet"/>
      <w:lvlText w:val=""/>
      <w:lvlJc w:val="left"/>
      <w:pPr>
        <w:ind w:left="720" w:hanging="360"/>
      </w:pPr>
      <w:rPr>
        <w:rFonts w:ascii="Symbol" w:hAnsi="Symbol" w:hint="default"/>
      </w:rPr>
    </w:lvl>
    <w:lvl w:ilvl="1" w:tplc="CEFACAE6">
      <w:start w:val="1"/>
      <w:numFmt w:val="bullet"/>
      <w:lvlText w:val="o"/>
      <w:lvlJc w:val="left"/>
      <w:pPr>
        <w:ind w:left="1440" w:hanging="360"/>
      </w:pPr>
      <w:rPr>
        <w:rFonts w:ascii="Courier New" w:hAnsi="Courier New" w:hint="default"/>
      </w:rPr>
    </w:lvl>
    <w:lvl w:ilvl="2" w:tplc="96B2BF22">
      <w:start w:val="1"/>
      <w:numFmt w:val="bullet"/>
      <w:lvlText w:val=""/>
      <w:lvlJc w:val="left"/>
      <w:pPr>
        <w:ind w:left="2160" w:hanging="360"/>
      </w:pPr>
      <w:rPr>
        <w:rFonts w:ascii="Wingdings" w:hAnsi="Wingdings" w:hint="default"/>
      </w:rPr>
    </w:lvl>
    <w:lvl w:ilvl="3" w:tplc="27485E42">
      <w:start w:val="1"/>
      <w:numFmt w:val="bullet"/>
      <w:lvlText w:val=""/>
      <w:lvlJc w:val="left"/>
      <w:pPr>
        <w:ind w:left="2880" w:hanging="360"/>
      </w:pPr>
      <w:rPr>
        <w:rFonts w:ascii="Symbol" w:hAnsi="Symbol" w:hint="default"/>
      </w:rPr>
    </w:lvl>
    <w:lvl w:ilvl="4" w:tplc="70586138">
      <w:start w:val="1"/>
      <w:numFmt w:val="bullet"/>
      <w:lvlText w:val="o"/>
      <w:lvlJc w:val="left"/>
      <w:pPr>
        <w:ind w:left="3600" w:hanging="360"/>
      </w:pPr>
      <w:rPr>
        <w:rFonts w:ascii="Courier New" w:hAnsi="Courier New" w:hint="default"/>
      </w:rPr>
    </w:lvl>
    <w:lvl w:ilvl="5" w:tplc="2BB2C466">
      <w:start w:val="1"/>
      <w:numFmt w:val="bullet"/>
      <w:lvlText w:val=""/>
      <w:lvlJc w:val="left"/>
      <w:pPr>
        <w:ind w:left="4320" w:hanging="360"/>
      </w:pPr>
      <w:rPr>
        <w:rFonts w:ascii="Wingdings" w:hAnsi="Wingdings" w:hint="default"/>
      </w:rPr>
    </w:lvl>
    <w:lvl w:ilvl="6" w:tplc="07F499F2">
      <w:start w:val="1"/>
      <w:numFmt w:val="bullet"/>
      <w:lvlText w:val=""/>
      <w:lvlJc w:val="left"/>
      <w:pPr>
        <w:ind w:left="5040" w:hanging="360"/>
      </w:pPr>
      <w:rPr>
        <w:rFonts w:ascii="Symbol" w:hAnsi="Symbol" w:hint="default"/>
      </w:rPr>
    </w:lvl>
    <w:lvl w:ilvl="7" w:tplc="54DCD02A">
      <w:start w:val="1"/>
      <w:numFmt w:val="bullet"/>
      <w:lvlText w:val="o"/>
      <w:lvlJc w:val="left"/>
      <w:pPr>
        <w:ind w:left="5760" w:hanging="360"/>
      </w:pPr>
      <w:rPr>
        <w:rFonts w:ascii="Courier New" w:hAnsi="Courier New" w:hint="default"/>
      </w:rPr>
    </w:lvl>
    <w:lvl w:ilvl="8" w:tplc="6A7A2456">
      <w:start w:val="1"/>
      <w:numFmt w:val="bullet"/>
      <w:lvlText w:val=""/>
      <w:lvlJc w:val="left"/>
      <w:pPr>
        <w:ind w:left="6480" w:hanging="360"/>
      </w:pPr>
      <w:rPr>
        <w:rFonts w:ascii="Wingdings" w:hAnsi="Wingdings" w:hint="default"/>
      </w:rPr>
    </w:lvl>
  </w:abstractNum>
  <w:abstractNum w:abstractNumId="7" w15:restartNumberingAfterBreak="0">
    <w:nsid w:val="0FF7BBAA"/>
    <w:multiLevelType w:val="hybridMultilevel"/>
    <w:tmpl w:val="5874B612"/>
    <w:lvl w:ilvl="0" w:tplc="3E24752E">
      <w:start w:val="1"/>
      <w:numFmt w:val="bullet"/>
      <w:lvlText w:val=""/>
      <w:lvlJc w:val="left"/>
      <w:pPr>
        <w:ind w:left="720" w:hanging="360"/>
      </w:pPr>
      <w:rPr>
        <w:rFonts w:ascii="Symbol" w:hAnsi="Symbol" w:hint="default"/>
      </w:rPr>
    </w:lvl>
    <w:lvl w:ilvl="1" w:tplc="DF204D5E">
      <w:start w:val="1"/>
      <w:numFmt w:val="bullet"/>
      <w:lvlText w:val="o"/>
      <w:lvlJc w:val="left"/>
      <w:pPr>
        <w:ind w:left="1440" w:hanging="360"/>
      </w:pPr>
      <w:rPr>
        <w:rFonts w:ascii="Courier New" w:hAnsi="Courier New" w:hint="default"/>
      </w:rPr>
    </w:lvl>
    <w:lvl w:ilvl="2" w:tplc="9FA02EBA">
      <w:start w:val="1"/>
      <w:numFmt w:val="bullet"/>
      <w:lvlText w:val=""/>
      <w:lvlJc w:val="left"/>
      <w:pPr>
        <w:ind w:left="2160" w:hanging="360"/>
      </w:pPr>
      <w:rPr>
        <w:rFonts w:ascii="Wingdings" w:hAnsi="Wingdings" w:hint="default"/>
      </w:rPr>
    </w:lvl>
    <w:lvl w:ilvl="3" w:tplc="155CBF32">
      <w:start w:val="1"/>
      <w:numFmt w:val="bullet"/>
      <w:lvlText w:val=""/>
      <w:lvlJc w:val="left"/>
      <w:pPr>
        <w:ind w:left="2880" w:hanging="360"/>
      </w:pPr>
      <w:rPr>
        <w:rFonts w:ascii="Symbol" w:hAnsi="Symbol" w:hint="default"/>
      </w:rPr>
    </w:lvl>
    <w:lvl w:ilvl="4" w:tplc="6A802868">
      <w:start w:val="1"/>
      <w:numFmt w:val="bullet"/>
      <w:lvlText w:val="o"/>
      <w:lvlJc w:val="left"/>
      <w:pPr>
        <w:ind w:left="3600" w:hanging="360"/>
      </w:pPr>
      <w:rPr>
        <w:rFonts w:ascii="Courier New" w:hAnsi="Courier New" w:hint="default"/>
      </w:rPr>
    </w:lvl>
    <w:lvl w:ilvl="5" w:tplc="97449B0E">
      <w:start w:val="1"/>
      <w:numFmt w:val="bullet"/>
      <w:lvlText w:val=""/>
      <w:lvlJc w:val="left"/>
      <w:pPr>
        <w:ind w:left="4320" w:hanging="360"/>
      </w:pPr>
      <w:rPr>
        <w:rFonts w:ascii="Wingdings" w:hAnsi="Wingdings" w:hint="default"/>
      </w:rPr>
    </w:lvl>
    <w:lvl w:ilvl="6" w:tplc="F60E32BA">
      <w:start w:val="1"/>
      <w:numFmt w:val="bullet"/>
      <w:lvlText w:val=""/>
      <w:lvlJc w:val="left"/>
      <w:pPr>
        <w:ind w:left="5040" w:hanging="360"/>
      </w:pPr>
      <w:rPr>
        <w:rFonts w:ascii="Symbol" w:hAnsi="Symbol" w:hint="default"/>
      </w:rPr>
    </w:lvl>
    <w:lvl w:ilvl="7" w:tplc="59B62E5C">
      <w:start w:val="1"/>
      <w:numFmt w:val="bullet"/>
      <w:lvlText w:val="o"/>
      <w:lvlJc w:val="left"/>
      <w:pPr>
        <w:ind w:left="5760" w:hanging="360"/>
      </w:pPr>
      <w:rPr>
        <w:rFonts w:ascii="Courier New" w:hAnsi="Courier New" w:hint="default"/>
      </w:rPr>
    </w:lvl>
    <w:lvl w:ilvl="8" w:tplc="DDCEE55E">
      <w:start w:val="1"/>
      <w:numFmt w:val="bullet"/>
      <w:lvlText w:val=""/>
      <w:lvlJc w:val="left"/>
      <w:pPr>
        <w:ind w:left="6480" w:hanging="360"/>
      </w:pPr>
      <w:rPr>
        <w:rFonts w:ascii="Wingdings" w:hAnsi="Wingdings" w:hint="default"/>
      </w:rPr>
    </w:lvl>
  </w:abstractNum>
  <w:abstractNum w:abstractNumId="8" w15:restartNumberingAfterBreak="0">
    <w:nsid w:val="1087B70A"/>
    <w:multiLevelType w:val="hybridMultilevel"/>
    <w:tmpl w:val="FFFFFFFF"/>
    <w:lvl w:ilvl="0" w:tplc="2E22448C">
      <w:start w:val="1"/>
      <w:numFmt w:val="bullet"/>
      <w:lvlText w:val=""/>
      <w:lvlJc w:val="left"/>
      <w:pPr>
        <w:ind w:left="720" w:hanging="360"/>
      </w:pPr>
      <w:rPr>
        <w:rFonts w:ascii="Symbol" w:hAnsi="Symbol" w:hint="default"/>
      </w:rPr>
    </w:lvl>
    <w:lvl w:ilvl="1" w:tplc="0F5216E6">
      <w:start w:val="1"/>
      <w:numFmt w:val="bullet"/>
      <w:lvlText w:val="o"/>
      <w:lvlJc w:val="left"/>
      <w:pPr>
        <w:ind w:left="1440" w:hanging="360"/>
      </w:pPr>
      <w:rPr>
        <w:rFonts w:ascii="Courier New" w:hAnsi="Courier New" w:hint="default"/>
      </w:rPr>
    </w:lvl>
    <w:lvl w:ilvl="2" w:tplc="CEA65310">
      <w:start w:val="1"/>
      <w:numFmt w:val="bullet"/>
      <w:lvlText w:val=""/>
      <w:lvlJc w:val="left"/>
      <w:pPr>
        <w:ind w:left="2160" w:hanging="360"/>
      </w:pPr>
      <w:rPr>
        <w:rFonts w:ascii="Wingdings" w:hAnsi="Wingdings" w:hint="default"/>
      </w:rPr>
    </w:lvl>
    <w:lvl w:ilvl="3" w:tplc="28362C74">
      <w:start w:val="1"/>
      <w:numFmt w:val="bullet"/>
      <w:lvlText w:val=""/>
      <w:lvlJc w:val="left"/>
      <w:pPr>
        <w:ind w:left="2880" w:hanging="360"/>
      </w:pPr>
      <w:rPr>
        <w:rFonts w:ascii="Symbol" w:hAnsi="Symbol" w:hint="default"/>
      </w:rPr>
    </w:lvl>
    <w:lvl w:ilvl="4" w:tplc="D9C61112">
      <w:start w:val="1"/>
      <w:numFmt w:val="bullet"/>
      <w:lvlText w:val="o"/>
      <w:lvlJc w:val="left"/>
      <w:pPr>
        <w:ind w:left="3600" w:hanging="360"/>
      </w:pPr>
      <w:rPr>
        <w:rFonts w:ascii="Courier New" w:hAnsi="Courier New" w:hint="default"/>
      </w:rPr>
    </w:lvl>
    <w:lvl w:ilvl="5" w:tplc="3A646FC8">
      <w:start w:val="1"/>
      <w:numFmt w:val="bullet"/>
      <w:lvlText w:val=""/>
      <w:lvlJc w:val="left"/>
      <w:pPr>
        <w:ind w:left="4320" w:hanging="360"/>
      </w:pPr>
      <w:rPr>
        <w:rFonts w:ascii="Wingdings" w:hAnsi="Wingdings" w:hint="default"/>
      </w:rPr>
    </w:lvl>
    <w:lvl w:ilvl="6" w:tplc="AC6299C6">
      <w:start w:val="1"/>
      <w:numFmt w:val="bullet"/>
      <w:lvlText w:val=""/>
      <w:lvlJc w:val="left"/>
      <w:pPr>
        <w:ind w:left="5040" w:hanging="360"/>
      </w:pPr>
      <w:rPr>
        <w:rFonts w:ascii="Symbol" w:hAnsi="Symbol" w:hint="default"/>
      </w:rPr>
    </w:lvl>
    <w:lvl w:ilvl="7" w:tplc="C930ECBE">
      <w:start w:val="1"/>
      <w:numFmt w:val="bullet"/>
      <w:lvlText w:val="o"/>
      <w:lvlJc w:val="left"/>
      <w:pPr>
        <w:ind w:left="5760" w:hanging="360"/>
      </w:pPr>
      <w:rPr>
        <w:rFonts w:ascii="Courier New" w:hAnsi="Courier New" w:hint="default"/>
      </w:rPr>
    </w:lvl>
    <w:lvl w:ilvl="8" w:tplc="EAA094EA">
      <w:start w:val="1"/>
      <w:numFmt w:val="bullet"/>
      <w:lvlText w:val=""/>
      <w:lvlJc w:val="left"/>
      <w:pPr>
        <w:ind w:left="6480" w:hanging="360"/>
      </w:pPr>
      <w:rPr>
        <w:rFonts w:ascii="Wingdings" w:hAnsi="Wingdings" w:hint="default"/>
      </w:rPr>
    </w:lvl>
  </w:abstractNum>
  <w:abstractNum w:abstractNumId="9" w15:restartNumberingAfterBreak="0">
    <w:nsid w:val="110CCA8B"/>
    <w:multiLevelType w:val="hybridMultilevel"/>
    <w:tmpl w:val="BB3433E4"/>
    <w:lvl w:ilvl="0" w:tplc="0C0A28C4">
      <w:start w:val="1"/>
      <w:numFmt w:val="bullet"/>
      <w:lvlText w:val=""/>
      <w:lvlJc w:val="left"/>
      <w:pPr>
        <w:ind w:left="720" w:hanging="360"/>
      </w:pPr>
      <w:rPr>
        <w:rFonts w:ascii="Symbol" w:hAnsi="Symbol" w:hint="default"/>
      </w:rPr>
    </w:lvl>
    <w:lvl w:ilvl="1" w:tplc="5A3E7658">
      <w:start w:val="1"/>
      <w:numFmt w:val="bullet"/>
      <w:lvlText w:val="o"/>
      <w:lvlJc w:val="left"/>
      <w:pPr>
        <w:ind w:left="1440" w:hanging="360"/>
      </w:pPr>
      <w:rPr>
        <w:rFonts w:ascii="Courier New" w:hAnsi="Courier New" w:hint="default"/>
      </w:rPr>
    </w:lvl>
    <w:lvl w:ilvl="2" w:tplc="A9CA2EE6">
      <w:start w:val="1"/>
      <w:numFmt w:val="bullet"/>
      <w:lvlText w:val=""/>
      <w:lvlJc w:val="left"/>
      <w:pPr>
        <w:ind w:left="2160" w:hanging="360"/>
      </w:pPr>
      <w:rPr>
        <w:rFonts w:ascii="Wingdings" w:hAnsi="Wingdings" w:hint="default"/>
      </w:rPr>
    </w:lvl>
    <w:lvl w:ilvl="3" w:tplc="BB181A54">
      <w:start w:val="1"/>
      <w:numFmt w:val="bullet"/>
      <w:lvlText w:val=""/>
      <w:lvlJc w:val="left"/>
      <w:pPr>
        <w:ind w:left="2880" w:hanging="360"/>
      </w:pPr>
      <w:rPr>
        <w:rFonts w:ascii="Symbol" w:hAnsi="Symbol" w:hint="default"/>
      </w:rPr>
    </w:lvl>
    <w:lvl w:ilvl="4" w:tplc="73B8DF2A">
      <w:start w:val="1"/>
      <w:numFmt w:val="bullet"/>
      <w:lvlText w:val="o"/>
      <w:lvlJc w:val="left"/>
      <w:pPr>
        <w:ind w:left="3600" w:hanging="360"/>
      </w:pPr>
      <w:rPr>
        <w:rFonts w:ascii="Courier New" w:hAnsi="Courier New" w:hint="default"/>
      </w:rPr>
    </w:lvl>
    <w:lvl w:ilvl="5" w:tplc="F6B4F2FC">
      <w:start w:val="1"/>
      <w:numFmt w:val="bullet"/>
      <w:lvlText w:val=""/>
      <w:lvlJc w:val="left"/>
      <w:pPr>
        <w:ind w:left="4320" w:hanging="360"/>
      </w:pPr>
      <w:rPr>
        <w:rFonts w:ascii="Wingdings" w:hAnsi="Wingdings" w:hint="default"/>
      </w:rPr>
    </w:lvl>
    <w:lvl w:ilvl="6" w:tplc="63309EE4">
      <w:start w:val="1"/>
      <w:numFmt w:val="bullet"/>
      <w:lvlText w:val=""/>
      <w:lvlJc w:val="left"/>
      <w:pPr>
        <w:ind w:left="5040" w:hanging="360"/>
      </w:pPr>
      <w:rPr>
        <w:rFonts w:ascii="Symbol" w:hAnsi="Symbol" w:hint="default"/>
      </w:rPr>
    </w:lvl>
    <w:lvl w:ilvl="7" w:tplc="2A0A39B4">
      <w:start w:val="1"/>
      <w:numFmt w:val="bullet"/>
      <w:lvlText w:val="o"/>
      <w:lvlJc w:val="left"/>
      <w:pPr>
        <w:ind w:left="5760" w:hanging="360"/>
      </w:pPr>
      <w:rPr>
        <w:rFonts w:ascii="Courier New" w:hAnsi="Courier New" w:hint="default"/>
      </w:rPr>
    </w:lvl>
    <w:lvl w:ilvl="8" w:tplc="F9C2106E">
      <w:start w:val="1"/>
      <w:numFmt w:val="bullet"/>
      <w:lvlText w:val=""/>
      <w:lvlJc w:val="left"/>
      <w:pPr>
        <w:ind w:left="6480" w:hanging="360"/>
      </w:pPr>
      <w:rPr>
        <w:rFonts w:ascii="Wingdings" w:hAnsi="Wingdings" w:hint="default"/>
      </w:rPr>
    </w:lvl>
  </w:abstractNum>
  <w:abstractNum w:abstractNumId="10" w15:restartNumberingAfterBreak="0">
    <w:nsid w:val="1147E6AA"/>
    <w:multiLevelType w:val="hybridMultilevel"/>
    <w:tmpl w:val="747C12D8"/>
    <w:lvl w:ilvl="0" w:tplc="2CBA52A2">
      <w:start w:val="1"/>
      <w:numFmt w:val="bullet"/>
      <w:lvlText w:val=""/>
      <w:lvlJc w:val="left"/>
      <w:pPr>
        <w:ind w:left="720" w:hanging="360"/>
      </w:pPr>
      <w:rPr>
        <w:rFonts w:ascii="Symbol" w:hAnsi="Symbol" w:hint="default"/>
      </w:rPr>
    </w:lvl>
    <w:lvl w:ilvl="1" w:tplc="657CAE02">
      <w:start w:val="1"/>
      <w:numFmt w:val="bullet"/>
      <w:lvlText w:val="o"/>
      <w:lvlJc w:val="left"/>
      <w:pPr>
        <w:ind w:left="1440" w:hanging="360"/>
      </w:pPr>
      <w:rPr>
        <w:rFonts w:ascii="Courier New" w:hAnsi="Courier New" w:hint="default"/>
      </w:rPr>
    </w:lvl>
    <w:lvl w:ilvl="2" w:tplc="F650E1E8">
      <w:start w:val="1"/>
      <w:numFmt w:val="bullet"/>
      <w:lvlText w:val=""/>
      <w:lvlJc w:val="left"/>
      <w:pPr>
        <w:ind w:left="2160" w:hanging="360"/>
      </w:pPr>
      <w:rPr>
        <w:rFonts w:ascii="Wingdings" w:hAnsi="Wingdings" w:hint="default"/>
      </w:rPr>
    </w:lvl>
    <w:lvl w:ilvl="3" w:tplc="27A43220">
      <w:start w:val="1"/>
      <w:numFmt w:val="bullet"/>
      <w:lvlText w:val=""/>
      <w:lvlJc w:val="left"/>
      <w:pPr>
        <w:ind w:left="2880" w:hanging="360"/>
      </w:pPr>
      <w:rPr>
        <w:rFonts w:ascii="Symbol" w:hAnsi="Symbol" w:hint="default"/>
      </w:rPr>
    </w:lvl>
    <w:lvl w:ilvl="4" w:tplc="4ABC67DA">
      <w:start w:val="1"/>
      <w:numFmt w:val="bullet"/>
      <w:lvlText w:val="o"/>
      <w:lvlJc w:val="left"/>
      <w:pPr>
        <w:ind w:left="3600" w:hanging="360"/>
      </w:pPr>
      <w:rPr>
        <w:rFonts w:ascii="Courier New" w:hAnsi="Courier New" w:hint="default"/>
      </w:rPr>
    </w:lvl>
    <w:lvl w:ilvl="5" w:tplc="6FF68C58">
      <w:start w:val="1"/>
      <w:numFmt w:val="bullet"/>
      <w:lvlText w:val=""/>
      <w:lvlJc w:val="left"/>
      <w:pPr>
        <w:ind w:left="4320" w:hanging="360"/>
      </w:pPr>
      <w:rPr>
        <w:rFonts w:ascii="Wingdings" w:hAnsi="Wingdings" w:hint="default"/>
      </w:rPr>
    </w:lvl>
    <w:lvl w:ilvl="6" w:tplc="B29EFD2C">
      <w:start w:val="1"/>
      <w:numFmt w:val="bullet"/>
      <w:lvlText w:val=""/>
      <w:lvlJc w:val="left"/>
      <w:pPr>
        <w:ind w:left="5040" w:hanging="360"/>
      </w:pPr>
      <w:rPr>
        <w:rFonts w:ascii="Symbol" w:hAnsi="Symbol" w:hint="default"/>
      </w:rPr>
    </w:lvl>
    <w:lvl w:ilvl="7" w:tplc="06A8A026">
      <w:start w:val="1"/>
      <w:numFmt w:val="bullet"/>
      <w:lvlText w:val="o"/>
      <w:lvlJc w:val="left"/>
      <w:pPr>
        <w:ind w:left="5760" w:hanging="360"/>
      </w:pPr>
      <w:rPr>
        <w:rFonts w:ascii="Courier New" w:hAnsi="Courier New" w:hint="default"/>
      </w:rPr>
    </w:lvl>
    <w:lvl w:ilvl="8" w:tplc="725CD17A">
      <w:start w:val="1"/>
      <w:numFmt w:val="bullet"/>
      <w:lvlText w:val=""/>
      <w:lvlJc w:val="left"/>
      <w:pPr>
        <w:ind w:left="6480" w:hanging="360"/>
      </w:pPr>
      <w:rPr>
        <w:rFonts w:ascii="Wingdings" w:hAnsi="Wingdings" w:hint="default"/>
      </w:rPr>
    </w:lvl>
  </w:abstractNum>
  <w:abstractNum w:abstractNumId="11" w15:restartNumberingAfterBreak="0">
    <w:nsid w:val="15A6F435"/>
    <w:multiLevelType w:val="hybridMultilevel"/>
    <w:tmpl w:val="FFFFFFFF"/>
    <w:lvl w:ilvl="0" w:tplc="6182359A">
      <w:start w:val="1"/>
      <w:numFmt w:val="lowerLetter"/>
      <w:lvlText w:val="a)"/>
      <w:lvlJc w:val="left"/>
      <w:pPr>
        <w:ind w:left="720" w:hanging="360"/>
      </w:pPr>
    </w:lvl>
    <w:lvl w:ilvl="1" w:tplc="E6062208">
      <w:start w:val="1"/>
      <w:numFmt w:val="lowerLetter"/>
      <w:lvlText w:val="%2."/>
      <w:lvlJc w:val="left"/>
      <w:pPr>
        <w:ind w:left="1440" w:hanging="360"/>
      </w:pPr>
    </w:lvl>
    <w:lvl w:ilvl="2" w:tplc="EF623046">
      <w:start w:val="1"/>
      <w:numFmt w:val="lowerRoman"/>
      <w:lvlText w:val="%3."/>
      <w:lvlJc w:val="right"/>
      <w:pPr>
        <w:ind w:left="2160" w:hanging="180"/>
      </w:pPr>
    </w:lvl>
    <w:lvl w:ilvl="3" w:tplc="5E928DCC">
      <w:start w:val="1"/>
      <w:numFmt w:val="decimal"/>
      <w:lvlText w:val="%4."/>
      <w:lvlJc w:val="left"/>
      <w:pPr>
        <w:ind w:left="2880" w:hanging="360"/>
      </w:pPr>
    </w:lvl>
    <w:lvl w:ilvl="4" w:tplc="370C51EE">
      <w:start w:val="1"/>
      <w:numFmt w:val="lowerLetter"/>
      <w:lvlText w:val="%5."/>
      <w:lvlJc w:val="left"/>
      <w:pPr>
        <w:ind w:left="3600" w:hanging="360"/>
      </w:pPr>
    </w:lvl>
    <w:lvl w:ilvl="5" w:tplc="90FCAA4A">
      <w:start w:val="1"/>
      <w:numFmt w:val="lowerRoman"/>
      <w:lvlText w:val="%6."/>
      <w:lvlJc w:val="right"/>
      <w:pPr>
        <w:ind w:left="4320" w:hanging="180"/>
      </w:pPr>
    </w:lvl>
    <w:lvl w:ilvl="6" w:tplc="5022A81C">
      <w:start w:val="1"/>
      <w:numFmt w:val="decimal"/>
      <w:lvlText w:val="%7."/>
      <w:lvlJc w:val="left"/>
      <w:pPr>
        <w:ind w:left="5040" w:hanging="360"/>
      </w:pPr>
    </w:lvl>
    <w:lvl w:ilvl="7" w:tplc="DA34B32E">
      <w:start w:val="1"/>
      <w:numFmt w:val="lowerLetter"/>
      <w:lvlText w:val="%8."/>
      <w:lvlJc w:val="left"/>
      <w:pPr>
        <w:ind w:left="5760" w:hanging="360"/>
      </w:pPr>
    </w:lvl>
    <w:lvl w:ilvl="8" w:tplc="7E88BF00">
      <w:start w:val="1"/>
      <w:numFmt w:val="lowerRoman"/>
      <w:lvlText w:val="%9."/>
      <w:lvlJc w:val="right"/>
      <w:pPr>
        <w:ind w:left="6480" w:hanging="180"/>
      </w:pPr>
    </w:lvl>
  </w:abstractNum>
  <w:abstractNum w:abstractNumId="12" w15:restartNumberingAfterBreak="0">
    <w:nsid w:val="16BF8EE2"/>
    <w:multiLevelType w:val="hybridMultilevel"/>
    <w:tmpl w:val="E65283C8"/>
    <w:lvl w:ilvl="0" w:tplc="1E725F72">
      <w:start w:val="2"/>
      <w:numFmt w:val="decimal"/>
      <w:lvlText w:val="%1."/>
      <w:lvlJc w:val="left"/>
      <w:pPr>
        <w:ind w:left="720" w:hanging="360"/>
      </w:pPr>
    </w:lvl>
    <w:lvl w:ilvl="1" w:tplc="0E400428">
      <w:start w:val="1"/>
      <w:numFmt w:val="lowerLetter"/>
      <w:lvlText w:val="%2."/>
      <w:lvlJc w:val="left"/>
      <w:pPr>
        <w:ind w:left="1440" w:hanging="360"/>
      </w:pPr>
    </w:lvl>
    <w:lvl w:ilvl="2" w:tplc="DEB8C0C8">
      <w:start w:val="1"/>
      <w:numFmt w:val="lowerRoman"/>
      <w:lvlText w:val="%3."/>
      <w:lvlJc w:val="right"/>
      <w:pPr>
        <w:ind w:left="2160" w:hanging="180"/>
      </w:pPr>
    </w:lvl>
    <w:lvl w:ilvl="3" w:tplc="381E6364">
      <w:start w:val="1"/>
      <w:numFmt w:val="decimal"/>
      <w:lvlText w:val="%4."/>
      <w:lvlJc w:val="left"/>
      <w:pPr>
        <w:ind w:left="2880" w:hanging="360"/>
      </w:pPr>
    </w:lvl>
    <w:lvl w:ilvl="4" w:tplc="8EF48E70">
      <w:start w:val="1"/>
      <w:numFmt w:val="lowerLetter"/>
      <w:lvlText w:val="%5."/>
      <w:lvlJc w:val="left"/>
      <w:pPr>
        <w:ind w:left="3600" w:hanging="360"/>
      </w:pPr>
    </w:lvl>
    <w:lvl w:ilvl="5" w:tplc="C964AA5E">
      <w:start w:val="1"/>
      <w:numFmt w:val="lowerRoman"/>
      <w:lvlText w:val="%6."/>
      <w:lvlJc w:val="right"/>
      <w:pPr>
        <w:ind w:left="4320" w:hanging="180"/>
      </w:pPr>
    </w:lvl>
    <w:lvl w:ilvl="6" w:tplc="6688D80A">
      <w:start w:val="1"/>
      <w:numFmt w:val="decimal"/>
      <w:lvlText w:val="%7."/>
      <w:lvlJc w:val="left"/>
      <w:pPr>
        <w:ind w:left="5040" w:hanging="360"/>
      </w:pPr>
    </w:lvl>
    <w:lvl w:ilvl="7" w:tplc="B25E6A96">
      <w:start w:val="1"/>
      <w:numFmt w:val="lowerLetter"/>
      <w:lvlText w:val="%8."/>
      <w:lvlJc w:val="left"/>
      <w:pPr>
        <w:ind w:left="5760" w:hanging="360"/>
      </w:pPr>
    </w:lvl>
    <w:lvl w:ilvl="8" w:tplc="5AC253CC">
      <w:start w:val="1"/>
      <w:numFmt w:val="lowerRoman"/>
      <w:lvlText w:val="%9."/>
      <w:lvlJc w:val="right"/>
      <w:pPr>
        <w:ind w:left="6480" w:hanging="180"/>
      </w:pPr>
    </w:lvl>
  </w:abstractNum>
  <w:abstractNum w:abstractNumId="13" w15:restartNumberingAfterBreak="0">
    <w:nsid w:val="1835A13A"/>
    <w:multiLevelType w:val="hybridMultilevel"/>
    <w:tmpl w:val="FDA682FC"/>
    <w:lvl w:ilvl="0" w:tplc="8EDACB8C">
      <w:start w:val="1"/>
      <w:numFmt w:val="bullet"/>
      <w:lvlText w:val=""/>
      <w:lvlJc w:val="left"/>
      <w:pPr>
        <w:ind w:left="720" w:hanging="360"/>
      </w:pPr>
      <w:rPr>
        <w:rFonts w:ascii="Symbol" w:hAnsi="Symbol" w:hint="default"/>
      </w:rPr>
    </w:lvl>
    <w:lvl w:ilvl="1" w:tplc="723C0B20">
      <w:start w:val="1"/>
      <w:numFmt w:val="bullet"/>
      <w:lvlText w:val="o"/>
      <w:lvlJc w:val="left"/>
      <w:pPr>
        <w:ind w:left="1440" w:hanging="360"/>
      </w:pPr>
      <w:rPr>
        <w:rFonts w:ascii="Courier New" w:hAnsi="Courier New" w:hint="default"/>
      </w:rPr>
    </w:lvl>
    <w:lvl w:ilvl="2" w:tplc="0ED44CF6">
      <w:start w:val="1"/>
      <w:numFmt w:val="bullet"/>
      <w:lvlText w:val=""/>
      <w:lvlJc w:val="left"/>
      <w:pPr>
        <w:ind w:left="2160" w:hanging="360"/>
      </w:pPr>
      <w:rPr>
        <w:rFonts w:ascii="Wingdings" w:hAnsi="Wingdings" w:hint="default"/>
      </w:rPr>
    </w:lvl>
    <w:lvl w:ilvl="3" w:tplc="DD1C3E32">
      <w:start w:val="1"/>
      <w:numFmt w:val="bullet"/>
      <w:lvlText w:val=""/>
      <w:lvlJc w:val="left"/>
      <w:pPr>
        <w:ind w:left="2880" w:hanging="360"/>
      </w:pPr>
      <w:rPr>
        <w:rFonts w:ascii="Symbol" w:hAnsi="Symbol" w:hint="default"/>
      </w:rPr>
    </w:lvl>
    <w:lvl w:ilvl="4" w:tplc="6E4847E6">
      <w:start w:val="1"/>
      <w:numFmt w:val="bullet"/>
      <w:lvlText w:val="o"/>
      <w:lvlJc w:val="left"/>
      <w:pPr>
        <w:ind w:left="3600" w:hanging="360"/>
      </w:pPr>
      <w:rPr>
        <w:rFonts w:ascii="Courier New" w:hAnsi="Courier New" w:hint="default"/>
      </w:rPr>
    </w:lvl>
    <w:lvl w:ilvl="5" w:tplc="9376AA9C">
      <w:start w:val="1"/>
      <w:numFmt w:val="bullet"/>
      <w:lvlText w:val=""/>
      <w:lvlJc w:val="left"/>
      <w:pPr>
        <w:ind w:left="4320" w:hanging="360"/>
      </w:pPr>
      <w:rPr>
        <w:rFonts w:ascii="Wingdings" w:hAnsi="Wingdings" w:hint="default"/>
      </w:rPr>
    </w:lvl>
    <w:lvl w:ilvl="6" w:tplc="D30AE54A">
      <w:start w:val="1"/>
      <w:numFmt w:val="bullet"/>
      <w:lvlText w:val=""/>
      <w:lvlJc w:val="left"/>
      <w:pPr>
        <w:ind w:left="5040" w:hanging="360"/>
      </w:pPr>
      <w:rPr>
        <w:rFonts w:ascii="Symbol" w:hAnsi="Symbol" w:hint="default"/>
      </w:rPr>
    </w:lvl>
    <w:lvl w:ilvl="7" w:tplc="EE4EE5AC">
      <w:start w:val="1"/>
      <w:numFmt w:val="bullet"/>
      <w:lvlText w:val="o"/>
      <w:lvlJc w:val="left"/>
      <w:pPr>
        <w:ind w:left="5760" w:hanging="360"/>
      </w:pPr>
      <w:rPr>
        <w:rFonts w:ascii="Courier New" w:hAnsi="Courier New" w:hint="default"/>
      </w:rPr>
    </w:lvl>
    <w:lvl w:ilvl="8" w:tplc="9850D4EA">
      <w:start w:val="1"/>
      <w:numFmt w:val="bullet"/>
      <w:lvlText w:val=""/>
      <w:lvlJc w:val="left"/>
      <w:pPr>
        <w:ind w:left="6480" w:hanging="360"/>
      </w:pPr>
      <w:rPr>
        <w:rFonts w:ascii="Wingdings" w:hAnsi="Wingdings" w:hint="default"/>
      </w:rPr>
    </w:lvl>
  </w:abstractNum>
  <w:abstractNum w:abstractNumId="14" w15:restartNumberingAfterBreak="0">
    <w:nsid w:val="18374E1A"/>
    <w:multiLevelType w:val="hybridMultilevel"/>
    <w:tmpl w:val="66541A06"/>
    <w:lvl w:ilvl="0" w:tplc="97FAF870">
      <w:start w:val="1"/>
      <w:numFmt w:val="decimal"/>
      <w:lvlText w:val="%1."/>
      <w:lvlJc w:val="left"/>
      <w:pPr>
        <w:ind w:left="720" w:hanging="360"/>
      </w:pPr>
    </w:lvl>
    <w:lvl w:ilvl="1" w:tplc="633C7FF0">
      <w:start w:val="1"/>
      <w:numFmt w:val="lowerLetter"/>
      <w:lvlText w:val="%2."/>
      <w:lvlJc w:val="left"/>
      <w:pPr>
        <w:ind w:left="1440" w:hanging="360"/>
      </w:pPr>
    </w:lvl>
    <w:lvl w:ilvl="2" w:tplc="C0564376">
      <w:start w:val="1"/>
      <w:numFmt w:val="lowerRoman"/>
      <w:lvlText w:val="%3."/>
      <w:lvlJc w:val="right"/>
      <w:pPr>
        <w:ind w:left="2160" w:hanging="180"/>
      </w:pPr>
    </w:lvl>
    <w:lvl w:ilvl="3" w:tplc="58CC21A2">
      <w:start w:val="1"/>
      <w:numFmt w:val="decimal"/>
      <w:lvlText w:val="%4."/>
      <w:lvlJc w:val="left"/>
      <w:pPr>
        <w:ind w:left="2880" w:hanging="360"/>
      </w:pPr>
    </w:lvl>
    <w:lvl w:ilvl="4" w:tplc="A9C81072">
      <w:start w:val="1"/>
      <w:numFmt w:val="lowerLetter"/>
      <w:lvlText w:val="%5."/>
      <w:lvlJc w:val="left"/>
      <w:pPr>
        <w:ind w:left="3600" w:hanging="360"/>
      </w:pPr>
    </w:lvl>
    <w:lvl w:ilvl="5" w:tplc="263ADA80">
      <w:start w:val="1"/>
      <w:numFmt w:val="lowerRoman"/>
      <w:lvlText w:val="%6."/>
      <w:lvlJc w:val="right"/>
      <w:pPr>
        <w:ind w:left="4320" w:hanging="180"/>
      </w:pPr>
    </w:lvl>
    <w:lvl w:ilvl="6" w:tplc="E7CC37FA">
      <w:start w:val="1"/>
      <w:numFmt w:val="decimal"/>
      <w:lvlText w:val="%7."/>
      <w:lvlJc w:val="left"/>
      <w:pPr>
        <w:ind w:left="5040" w:hanging="360"/>
      </w:pPr>
    </w:lvl>
    <w:lvl w:ilvl="7" w:tplc="E0105E8E">
      <w:start w:val="1"/>
      <w:numFmt w:val="lowerLetter"/>
      <w:lvlText w:val="%8."/>
      <w:lvlJc w:val="left"/>
      <w:pPr>
        <w:ind w:left="5760" w:hanging="360"/>
      </w:pPr>
    </w:lvl>
    <w:lvl w:ilvl="8" w:tplc="C1B83DD0">
      <w:start w:val="1"/>
      <w:numFmt w:val="lowerRoman"/>
      <w:lvlText w:val="%9."/>
      <w:lvlJc w:val="right"/>
      <w:pPr>
        <w:ind w:left="6480" w:hanging="180"/>
      </w:pPr>
    </w:lvl>
  </w:abstractNum>
  <w:abstractNum w:abstractNumId="15" w15:restartNumberingAfterBreak="0">
    <w:nsid w:val="1A9C347E"/>
    <w:multiLevelType w:val="hybridMultilevel"/>
    <w:tmpl w:val="FFFFFFFF"/>
    <w:lvl w:ilvl="0" w:tplc="91866258">
      <w:start w:val="1"/>
      <w:numFmt w:val="decimal"/>
      <w:lvlText w:val="1)"/>
      <w:lvlJc w:val="left"/>
      <w:pPr>
        <w:ind w:left="720" w:hanging="360"/>
      </w:pPr>
    </w:lvl>
    <w:lvl w:ilvl="1" w:tplc="399A11A8">
      <w:start w:val="1"/>
      <w:numFmt w:val="lowerLetter"/>
      <w:lvlText w:val="%2."/>
      <w:lvlJc w:val="left"/>
      <w:pPr>
        <w:ind w:left="1440" w:hanging="360"/>
      </w:pPr>
    </w:lvl>
    <w:lvl w:ilvl="2" w:tplc="9702C840">
      <w:start w:val="1"/>
      <w:numFmt w:val="lowerRoman"/>
      <w:lvlText w:val="%3."/>
      <w:lvlJc w:val="right"/>
      <w:pPr>
        <w:ind w:left="2160" w:hanging="180"/>
      </w:pPr>
    </w:lvl>
    <w:lvl w:ilvl="3" w:tplc="D2C8C5B0">
      <w:start w:val="1"/>
      <w:numFmt w:val="decimal"/>
      <w:lvlText w:val="%4."/>
      <w:lvlJc w:val="left"/>
      <w:pPr>
        <w:ind w:left="2880" w:hanging="360"/>
      </w:pPr>
    </w:lvl>
    <w:lvl w:ilvl="4" w:tplc="8D02175C">
      <w:start w:val="1"/>
      <w:numFmt w:val="lowerLetter"/>
      <w:lvlText w:val="%5."/>
      <w:lvlJc w:val="left"/>
      <w:pPr>
        <w:ind w:left="3600" w:hanging="360"/>
      </w:pPr>
    </w:lvl>
    <w:lvl w:ilvl="5" w:tplc="6CC6663A">
      <w:start w:val="1"/>
      <w:numFmt w:val="lowerRoman"/>
      <w:lvlText w:val="%6."/>
      <w:lvlJc w:val="right"/>
      <w:pPr>
        <w:ind w:left="4320" w:hanging="180"/>
      </w:pPr>
    </w:lvl>
    <w:lvl w:ilvl="6" w:tplc="505C53B4">
      <w:start w:val="1"/>
      <w:numFmt w:val="decimal"/>
      <w:lvlText w:val="%7."/>
      <w:lvlJc w:val="left"/>
      <w:pPr>
        <w:ind w:left="5040" w:hanging="360"/>
      </w:pPr>
    </w:lvl>
    <w:lvl w:ilvl="7" w:tplc="ADB2000C">
      <w:start w:val="1"/>
      <w:numFmt w:val="lowerLetter"/>
      <w:lvlText w:val="%8."/>
      <w:lvlJc w:val="left"/>
      <w:pPr>
        <w:ind w:left="5760" w:hanging="360"/>
      </w:pPr>
    </w:lvl>
    <w:lvl w:ilvl="8" w:tplc="0D5CFEFC">
      <w:start w:val="1"/>
      <w:numFmt w:val="lowerRoman"/>
      <w:lvlText w:val="%9."/>
      <w:lvlJc w:val="right"/>
      <w:pPr>
        <w:ind w:left="6480" w:hanging="180"/>
      </w:pPr>
    </w:lvl>
  </w:abstractNum>
  <w:abstractNum w:abstractNumId="16" w15:restartNumberingAfterBreak="0">
    <w:nsid w:val="1B0C24EB"/>
    <w:multiLevelType w:val="hybridMultilevel"/>
    <w:tmpl w:val="C8A893C4"/>
    <w:lvl w:ilvl="0" w:tplc="52BE9E6E">
      <w:start w:val="1"/>
      <w:numFmt w:val="bullet"/>
      <w:lvlText w:val=""/>
      <w:lvlJc w:val="left"/>
      <w:pPr>
        <w:ind w:left="720" w:hanging="360"/>
      </w:pPr>
      <w:rPr>
        <w:rFonts w:ascii="Symbol" w:hAnsi="Symbol" w:hint="default"/>
      </w:rPr>
    </w:lvl>
    <w:lvl w:ilvl="1" w:tplc="508EEAD8">
      <w:start w:val="1"/>
      <w:numFmt w:val="bullet"/>
      <w:lvlText w:val="o"/>
      <w:lvlJc w:val="left"/>
      <w:pPr>
        <w:ind w:left="1440" w:hanging="360"/>
      </w:pPr>
      <w:rPr>
        <w:rFonts w:ascii="Courier New" w:hAnsi="Courier New" w:hint="default"/>
      </w:rPr>
    </w:lvl>
    <w:lvl w:ilvl="2" w:tplc="E0FCC6A2">
      <w:start w:val="1"/>
      <w:numFmt w:val="bullet"/>
      <w:lvlText w:val=""/>
      <w:lvlJc w:val="left"/>
      <w:pPr>
        <w:ind w:left="2160" w:hanging="360"/>
      </w:pPr>
      <w:rPr>
        <w:rFonts w:ascii="Wingdings" w:hAnsi="Wingdings" w:hint="default"/>
      </w:rPr>
    </w:lvl>
    <w:lvl w:ilvl="3" w:tplc="B25AC612">
      <w:start w:val="1"/>
      <w:numFmt w:val="bullet"/>
      <w:lvlText w:val=""/>
      <w:lvlJc w:val="left"/>
      <w:pPr>
        <w:ind w:left="2880" w:hanging="360"/>
      </w:pPr>
      <w:rPr>
        <w:rFonts w:ascii="Symbol" w:hAnsi="Symbol" w:hint="default"/>
      </w:rPr>
    </w:lvl>
    <w:lvl w:ilvl="4" w:tplc="19A64D6E">
      <w:start w:val="1"/>
      <w:numFmt w:val="bullet"/>
      <w:lvlText w:val="o"/>
      <w:lvlJc w:val="left"/>
      <w:pPr>
        <w:ind w:left="3600" w:hanging="360"/>
      </w:pPr>
      <w:rPr>
        <w:rFonts w:ascii="Courier New" w:hAnsi="Courier New" w:hint="default"/>
      </w:rPr>
    </w:lvl>
    <w:lvl w:ilvl="5" w:tplc="09DA57D8">
      <w:start w:val="1"/>
      <w:numFmt w:val="bullet"/>
      <w:lvlText w:val=""/>
      <w:lvlJc w:val="left"/>
      <w:pPr>
        <w:ind w:left="4320" w:hanging="360"/>
      </w:pPr>
      <w:rPr>
        <w:rFonts w:ascii="Wingdings" w:hAnsi="Wingdings" w:hint="default"/>
      </w:rPr>
    </w:lvl>
    <w:lvl w:ilvl="6" w:tplc="7C0EBB74">
      <w:start w:val="1"/>
      <w:numFmt w:val="bullet"/>
      <w:lvlText w:val=""/>
      <w:lvlJc w:val="left"/>
      <w:pPr>
        <w:ind w:left="5040" w:hanging="360"/>
      </w:pPr>
      <w:rPr>
        <w:rFonts w:ascii="Symbol" w:hAnsi="Symbol" w:hint="default"/>
      </w:rPr>
    </w:lvl>
    <w:lvl w:ilvl="7" w:tplc="09E60C4E">
      <w:start w:val="1"/>
      <w:numFmt w:val="bullet"/>
      <w:lvlText w:val="o"/>
      <w:lvlJc w:val="left"/>
      <w:pPr>
        <w:ind w:left="5760" w:hanging="360"/>
      </w:pPr>
      <w:rPr>
        <w:rFonts w:ascii="Courier New" w:hAnsi="Courier New" w:hint="default"/>
      </w:rPr>
    </w:lvl>
    <w:lvl w:ilvl="8" w:tplc="8E664224">
      <w:start w:val="1"/>
      <w:numFmt w:val="bullet"/>
      <w:lvlText w:val=""/>
      <w:lvlJc w:val="left"/>
      <w:pPr>
        <w:ind w:left="6480" w:hanging="360"/>
      </w:pPr>
      <w:rPr>
        <w:rFonts w:ascii="Wingdings" w:hAnsi="Wingdings" w:hint="default"/>
      </w:rPr>
    </w:lvl>
  </w:abstractNum>
  <w:abstractNum w:abstractNumId="17" w15:restartNumberingAfterBreak="0">
    <w:nsid w:val="1C53587A"/>
    <w:multiLevelType w:val="hybridMultilevel"/>
    <w:tmpl w:val="2112F4E4"/>
    <w:lvl w:ilvl="0" w:tplc="9A76057A">
      <w:start w:val="1"/>
      <w:numFmt w:val="bullet"/>
      <w:lvlText w:val=""/>
      <w:lvlJc w:val="left"/>
      <w:pPr>
        <w:ind w:left="720" w:hanging="360"/>
      </w:pPr>
      <w:rPr>
        <w:rFonts w:ascii="Symbol" w:hAnsi="Symbol" w:hint="default"/>
      </w:rPr>
    </w:lvl>
    <w:lvl w:ilvl="1" w:tplc="5A420712">
      <w:start w:val="1"/>
      <w:numFmt w:val="bullet"/>
      <w:lvlText w:val="o"/>
      <w:lvlJc w:val="left"/>
      <w:pPr>
        <w:ind w:left="1440" w:hanging="360"/>
      </w:pPr>
      <w:rPr>
        <w:rFonts w:ascii="Courier New" w:hAnsi="Courier New" w:hint="default"/>
      </w:rPr>
    </w:lvl>
    <w:lvl w:ilvl="2" w:tplc="8362E4DE">
      <w:start w:val="1"/>
      <w:numFmt w:val="bullet"/>
      <w:lvlText w:val=""/>
      <w:lvlJc w:val="left"/>
      <w:pPr>
        <w:ind w:left="2160" w:hanging="360"/>
      </w:pPr>
      <w:rPr>
        <w:rFonts w:ascii="Wingdings" w:hAnsi="Wingdings" w:hint="default"/>
      </w:rPr>
    </w:lvl>
    <w:lvl w:ilvl="3" w:tplc="CC7C3116">
      <w:start w:val="1"/>
      <w:numFmt w:val="bullet"/>
      <w:lvlText w:val=""/>
      <w:lvlJc w:val="left"/>
      <w:pPr>
        <w:ind w:left="2880" w:hanging="360"/>
      </w:pPr>
      <w:rPr>
        <w:rFonts w:ascii="Symbol" w:hAnsi="Symbol" w:hint="default"/>
      </w:rPr>
    </w:lvl>
    <w:lvl w:ilvl="4" w:tplc="8B06E3C6">
      <w:start w:val="1"/>
      <w:numFmt w:val="bullet"/>
      <w:lvlText w:val="o"/>
      <w:lvlJc w:val="left"/>
      <w:pPr>
        <w:ind w:left="3600" w:hanging="360"/>
      </w:pPr>
      <w:rPr>
        <w:rFonts w:ascii="Courier New" w:hAnsi="Courier New" w:hint="default"/>
      </w:rPr>
    </w:lvl>
    <w:lvl w:ilvl="5" w:tplc="A5821F84">
      <w:start w:val="1"/>
      <w:numFmt w:val="bullet"/>
      <w:lvlText w:val=""/>
      <w:lvlJc w:val="left"/>
      <w:pPr>
        <w:ind w:left="4320" w:hanging="360"/>
      </w:pPr>
      <w:rPr>
        <w:rFonts w:ascii="Wingdings" w:hAnsi="Wingdings" w:hint="default"/>
      </w:rPr>
    </w:lvl>
    <w:lvl w:ilvl="6" w:tplc="865E304E">
      <w:start w:val="1"/>
      <w:numFmt w:val="bullet"/>
      <w:lvlText w:val=""/>
      <w:lvlJc w:val="left"/>
      <w:pPr>
        <w:ind w:left="5040" w:hanging="360"/>
      </w:pPr>
      <w:rPr>
        <w:rFonts w:ascii="Symbol" w:hAnsi="Symbol" w:hint="default"/>
      </w:rPr>
    </w:lvl>
    <w:lvl w:ilvl="7" w:tplc="A27C177E">
      <w:start w:val="1"/>
      <w:numFmt w:val="bullet"/>
      <w:lvlText w:val="o"/>
      <w:lvlJc w:val="left"/>
      <w:pPr>
        <w:ind w:left="5760" w:hanging="360"/>
      </w:pPr>
      <w:rPr>
        <w:rFonts w:ascii="Courier New" w:hAnsi="Courier New" w:hint="default"/>
      </w:rPr>
    </w:lvl>
    <w:lvl w:ilvl="8" w:tplc="9F261A18">
      <w:start w:val="1"/>
      <w:numFmt w:val="bullet"/>
      <w:lvlText w:val=""/>
      <w:lvlJc w:val="left"/>
      <w:pPr>
        <w:ind w:left="6480" w:hanging="360"/>
      </w:pPr>
      <w:rPr>
        <w:rFonts w:ascii="Wingdings" w:hAnsi="Wingdings" w:hint="default"/>
      </w:rPr>
    </w:lvl>
  </w:abstractNum>
  <w:abstractNum w:abstractNumId="18" w15:restartNumberingAfterBreak="0">
    <w:nsid w:val="1E0516F9"/>
    <w:multiLevelType w:val="hybridMultilevel"/>
    <w:tmpl w:val="EF46F60C"/>
    <w:lvl w:ilvl="0" w:tplc="B290C3B6">
      <w:start w:val="1"/>
      <w:numFmt w:val="bullet"/>
      <w:lvlText w:val=""/>
      <w:lvlJc w:val="left"/>
      <w:pPr>
        <w:ind w:left="720" w:hanging="360"/>
      </w:pPr>
      <w:rPr>
        <w:rFonts w:ascii="Symbol" w:hAnsi="Symbol" w:hint="default"/>
      </w:rPr>
    </w:lvl>
    <w:lvl w:ilvl="1" w:tplc="CD889770">
      <w:start w:val="1"/>
      <w:numFmt w:val="bullet"/>
      <w:lvlText w:val="o"/>
      <w:lvlJc w:val="left"/>
      <w:pPr>
        <w:ind w:left="1440" w:hanging="360"/>
      </w:pPr>
      <w:rPr>
        <w:rFonts w:ascii="Courier New" w:hAnsi="Courier New" w:hint="default"/>
      </w:rPr>
    </w:lvl>
    <w:lvl w:ilvl="2" w:tplc="14DA2E6E">
      <w:start w:val="1"/>
      <w:numFmt w:val="bullet"/>
      <w:lvlText w:val=""/>
      <w:lvlJc w:val="left"/>
      <w:pPr>
        <w:ind w:left="2160" w:hanging="360"/>
      </w:pPr>
      <w:rPr>
        <w:rFonts w:ascii="Wingdings" w:hAnsi="Wingdings" w:hint="default"/>
      </w:rPr>
    </w:lvl>
    <w:lvl w:ilvl="3" w:tplc="B55E7B5A">
      <w:start w:val="1"/>
      <w:numFmt w:val="bullet"/>
      <w:lvlText w:val=""/>
      <w:lvlJc w:val="left"/>
      <w:pPr>
        <w:ind w:left="2880" w:hanging="360"/>
      </w:pPr>
      <w:rPr>
        <w:rFonts w:ascii="Symbol" w:hAnsi="Symbol" w:hint="default"/>
      </w:rPr>
    </w:lvl>
    <w:lvl w:ilvl="4" w:tplc="C48EF9BC">
      <w:start w:val="1"/>
      <w:numFmt w:val="bullet"/>
      <w:lvlText w:val="o"/>
      <w:lvlJc w:val="left"/>
      <w:pPr>
        <w:ind w:left="3600" w:hanging="360"/>
      </w:pPr>
      <w:rPr>
        <w:rFonts w:ascii="Courier New" w:hAnsi="Courier New" w:hint="default"/>
      </w:rPr>
    </w:lvl>
    <w:lvl w:ilvl="5" w:tplc="3BEA00BE">
      <w:start w:val="1"/>
      <w:numFmt w:val="bullet"/>
      <w:lvlText w:val=""/>
      <w:lvlJc w:val="left"/>
      <w:pPr>
        <w:ind w:left="4320" w:hanging="360"/>
      </w:pPr>
      <w:rPr>
        <w:rFonts w:ascii="Wingdings" w:hAnsi="Wingdings" w:hint="default"/>
      </w:rPr>
    </w:lvl>
    <w:lvl w:ilvl="6" w:tplc="E13A1B46">
      <w:start w:val="1"/>
      <w:numFmt w:val="bullet"/>
      <w:lvlText w:val=""/>
      <w:lvlJc w:val="left"/>
      <w:pPr>
        <w:ind w:left="5040" w:hanging="360"/>
      </w:pPr>
      <w:rPr>
        <w:rFonts w:ascii="Symbol" w:hAnsi="Symbol" w:hint="default"/>
      </w:rPr>
    </w:lvl>
    <w:lvl w:ilvl="7" w:tplc="95C29E54">
      <w:start w:val="1"/>
      <w:numFmt w:val="bullet"/>
      <w:lvlText w:val="o"/>
      <w:lvlJc w:val="left"/>
      <w:pPr>
        <w:ind w:left="5760" w:hanging="360"/>
      </w:pPr>
      <w:rPr>
        <w:rFonts w:ascii="Courier New" w:hAnsi="Courier New" w:hint="default"/>
      </w:rPr>
    </w:lvl>
    <w:lvl w:ilvl="8" w:tplc="6C488A86">
      <w:start w:val="1"/>
      <w:numFmt w:val="bullet"/>
      <w:lvlText w:val=""/>
      <w:lvlJc w:val="left"/>
      <w:pPr>
        <w:ind w:left="6480" w:hanging="360"/>
      </w:pPr>
      <w:rPr>
        <w:rFonts w:ascii="Wingdings" w:hAnsi="Wingdings" w:hint="default"/>
      </w:rPr>
    </w:lvl>
  </w:abstractNum>
  <w:abstractNum w:abstractNumId="19" w15:restartNumberingAfterBreak="0">
    <w:nsid w:val="21917265"/>
    <w:multiLevelType w:val="hybridMultilevel"/>
    <w:tmpl w:val="D83C1568"/>
    <w:lvl w:ilvl="0" w:tplc="04090017">
      <w:start w:val="1"/>
      <w:numFmt w:val="low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65A027"/>
    <w:multiLevelType w:val="hybridMultilevel"/>
    <w:tmpl w:val="00AC3B88"/>
    <w:lvl w:ilvl="0" w:tplc="30662E8A">
      <w:start w:val="1"/>
      <w:numFmt w:val="bullet"/>
      <w:lvlText w:val=""/>
      <w:lvlJc w:val="left"/>
      <w:pPr>
        <w:ind w:left="720" w:hanging="360"/>
      </w:pPr>
      <w:rPr>
        <w:rFonts w:ascii="Symbol" w:hAnsi="Symbol" w:hint="default"/>
      </w:rPr>
    </w:lvl>
    <w:lvl w:ilvl="1" w:tplc="C6D42B10">
      <w:start w:val="1"/>
      <w:numFmt w:val="bullet"/>
      <w:lvlText w:val="o"/>
      <w:lvlJc w:val="left"/>
      <w:pPr>
        <w:ind w:left="1440" w:hanging="360"/>
      </w:pPr>
      <w:rPr>
        <w:rFonts w:ascii="Courier New" w:hAnsi="Courier New" w:hint="default"/>
      </w:rPr>
    </w:lvl>
    <w:lvl w:ilvl="2" w:tplc="89667B74">
      <w:start w:val="1"/>
      <w:numFmt w:val="bullet"/>
      <w:lvlText w:val=""/>
      <w:lvlJc w:val="left"/>
      <w:pPr>
        <w:ind w:left="2160" w:hanging="360"/>
      </w:pPr>
      <w:rPr>
        <w:rFonts w:ascii="Wingdings" w:hAnsi="Wingdings" w:hint="default"/>
      </w:rPr>
    </w:lvl>
    <w:lvl w:ilvl="3" w:tplc="78B89330">
      <w:start w:val="1"/>
      <w:numFmt w:val="bullet"/>
      <w:lvlText w:val=""/>
      <w:lvlJc w:val="left"/>
      <w:pPr>
        <w:ind w:left="2880" w:hanging="360"/>
      </w:pPr>
      <w:rPr>
        <w:rFonts w:ascii="Symbol" w:hAnsi="Symbol" w:hint="default"/>
      </w:rPr>
    </w:lvl>
    <w:lvl w:ilvl="4" w:tplc="252C5530">
      <w:start w:val="1"/>
      <w:numFmt w:val="bullet"/>
      <w:lvlText w:val="o"/>
      <w:lvlJc w:val="left"/>
      <w:pPr>
        <w:ind w:left="3600" w:hanging="360"/>
      </w:pPr>
      <w:rPr>
        <w:rFonts w:ascii="Courier New" w:hAnsi="Courier New" w:hint="default"/>
      </w:rPr>
    </w:lvl>
    <w:lvl w:ilvl="5" w:tplc="7C984A9C">
      <w:start w:val="1"/>
      <w:numFmt w:val="bullet"/>
      <w:lvlText w:val=""/>
      <w:lvlJc w:val="left"/>
      <w:pPr>
        <w:ind w:left="4320" w:hanging="360"/>
      </w:pPr>
      <w:rPr>
        <w:rFonts w:ascii="Wingdings" w:hAnsi="Wingdings" w:hint="default"/>
      </w:rPr>
    </w:lvl>
    <w:lvl w:ilvl="6" w:tplc="AF6A0ACC">
      <w:start w:val="1"/>
      <w:numFmt w:val="bullet"/>
      <w:lvlText w:val=""/>
      <w:lvlJc w:val="left"/>
      <w:pPr>
        <w:ind w:left="5040" w:hanging="360"/>
      </w:pPr>
      <w:rPr>
        <w:rFonts w:ascii="Symbol" w:hAnsi="Symbol" w:hint="default"/>
      </w:rPr>
    </w:lvl>
    <w:lvl w:ilvl="7" w:tplc="8F703E62">
      <w:start w:val="1"/>
      <w:numFmt w:val="bullet"/>
      <w:lvlText w:val="o"/>
      <w:lvlJc w:val="left"/>
      <w:pPr>
        <w:ind w:left="5760" w:hanging="360"/>
      </w:pPr>
      <w:rPr>
        <w:rFonts w:ascii="Courier New" w:hAnsi="Courier New" w:hint="default"/>
      </w:rPr>
    </w:lvl>
    <w:lvl w:ilvl="8" w:tplc="B0868054">
      <w:start w:val="1"/>
      <w:numFmt w:val="bullet"/>
      <w:lvlText w:val=""/>
      <w:lvlJc w:val="left"/>
      <w:pPr>
        <w:ind w:left="6480" w:hanging="360"/>
      </w:pPr>
      <w:rPr>
        <w:rFonts w:ascii="Wingdings" w:hAnsi="Wingdings" w:hint="default"/>
      </w:rPr>
    </w:lvl>
  </w:abstractNum>
  <w:abstractNum w:abstractNumId="21" w15:restartNumberingAfterBreak="0">
    <w:nsid w:val="25C73A72"/>
    <w:multiLevelType w:val="hybridMultilevel"/>
    <w:tmpl w:val="37D08DE4"/>
    <w:lvl w:ilvl="0" w:tplc="DC424924">
      <w:start w:val="1"/>
      <w:numFmt w:val="decimal"/>
      <w:lvlText w:val="%1."/>
      <w:lvlJc w:val="left"/>
      <w:pPr>
        <w:ind w:left="720" w:hanging="360"/>
      </w:pPr>
    </w:lvl>
    <w:lvl w:ilvl="1" w:tplc="824AF728">
      <w:start w:val="1"/>
      <w:numFmt w:val="lowerLetter"/>
      <w:lvlText w:val="%2."/>
      <w:lvlJc w:val="left"/>
      <w:pPr>
        <w:ind w:left="1440" w:hanging="360"/>
      </w:pPr>
    </w:lvl>
    <w:lvl w:ilvl="2" w:tplc="65CA8B8A">
      <w:start w:val="1"/>
      <w:numFmt w:val="lowerRoman"/>
      <w:lvlText w:val="%3."/>
      <w:lvlJc w:val="right"/>
      <w:pPr>
        <w:ind w:left="2160" w:hanging="180"/>
      </w:pPr>
    </w:lvl>
    <w:lvl w:ilvl="3" w:tplc="9E6E58FA">
      <w:start w:val="1"/>
      <w:numFmt w:val="decimal"/>
      <w:lvlText w:val="%4."/>
      <w:lvlJc w:val="left"/>
      <w:pPr>
        <w:ind w:left="2880" w:hanging="360"/>
      </w:pPr>
    </w:lvl>
    <w:lvl w:ilvl="4" w:tplc="D7A0CBE2">
      <w:start w:val="1"/>
      <w:numFmt w:val="lowerLetter"/>
      <w:lvlText w:val="%5."/>
      <w:lvlJc w:val="left"/>
      <w:pPr>
        <w:ind w:left="3600" w:hanging="360"/>
      </w:pPr>
    </w:lvl>
    <w:lvl w:ilvl="5" w:tplc="2A34537E">
      <w:start w:val="1"/>
      <w:numFmt w:val="lowerRoman"/>
      <w:lvlText w:val="%6."/>
      <w:lvlJc w:val="right"/>
      <w:pPr>
        <w:ind w:left="4320" w:hanging="180"/>
      </w:pPr>
    </w:lvl>
    <w:lvl w:ilvl="6" w:tplc="A33258E2">
      <w:start w:val="1"/>
      <w:numFmt w:val="decimal"/>
      <w:lvlText w:val="%7."/>
      <w:lvlJc w:val="left"/>
      <w:pPr>
        <w:ind w:left="5040" w:hanging="360"/>
      </w:pPr>
    </w:lvl>
    <w:lvl w:ilvl="7" w:tplc="63BCBF4E">
      <w:start w:val="1"/>
      <w:numFmt w:val="lowerLetter"/>
      <w:lvlText w:val="%8."/>
      <w:lvlJc w:val="left"/>
      <w:pPr>
        <w:ind w:left="5760" w:hanging="360"/>
      </w:pPr>
    </w:lvl>
    <w:lvl w:ilvl="8" w:tplc="BDF4BB36">
      <w:start w:val="1"/>
      <w:numFmt w:val="lowerRoman"/>
      <w:lvlText w:val="%9."/>
      <w:lvlJc w:val="right"/>
      <w:pPr>
        <w:ind w:left="6480" w:hanging="180"/>
      </w:pPr>
    </w:lvl>
  </w:abstractNum>
  <w:abstractNum w:abstractNumId="22" w15:restartNumberingAfterBreak="0">
    <w:nsid w:val="26C06ED6"/>
    <w:multiLevelType w:val="hybridMultilevel"/>
    <w:tmpl w:val="4546FEE4"/>
    <w:lvl w:ilvl="0" w:tplc="3024255A">
      <w:start w:val="3"/>
      <w:numFmt w:val="decimal"/>
      <w:lvlText w:val="%1."/>
      <w:lvlJc w:val="left"/>
      <w:pPr>
        <w:ind w:left="720" w:hanging="360"/>
      </w:pPr>
    </w:lvl>
    <w:lvl w:ilvl="1" w:tplc="70001164">
      <w:start w:val="1"/>
      <w:numFmt w:val="lowerLetter"/>
      <w:lvlText w:val="%2."/>
      <w:lvlJc w:val="left"/>
      <w:pPr>
        <w:ind w:left="1440" w:hanging="360"/>
      </w:pPr>
    </w:lvl>
    <w:lvl w:ilvl="2" w:tplc="91BA21E6">
      <w:start w:val="1"/>
      <w:numFmt w:val="lowerRoman"/>
      <w:lvlText w:val="%3."/>
      <w:lvlJc w:val="right"/>
      <w:pPr>
        <w:ind w:left="2160" w:hanging="180"/>
      </w:pPr>
    </w:lvl>
    <w:lvl w:ilvl="3" w:tplc="DB946E06">
      <w:start w:val="1"/>
      <w:numFmt w:val="decimal"/>
      <w:lvlText w:val="%4."/>
      <w:lvlJc w:val="left"/>
      <w:pPr>
        <w:ind w:left="2880" w:hanging="360"/>
      </w:pPr>
    </w:lvl>
    <w:lvl w:ilvl="4" w:tplc="3B4C5D1E">
      <w:start w:val="1"/>
      <w:numFmt w:val="lowerLetter"/>
      <w:lvlText w:val="%5."/>
      <w:lvlJc w:val="left"/>
      <w:pPr>
        <w:ind w:left="3600" w:hanging="360"/>
      </w:pPr>
    </w:lvl>
    <w:lvl w:ilvl="5" w:tplc="B6AA0BFA">
      <w:start w:val="1"/>
      <w:numFmt w:val="lowerRoman"/>
      <w:lvlText w:val="%6."/>
      <w:lvlJc w:val="right"/>
      <w:pPr>
        <w:ind w:left="4320" w:hanging="180"/>
      </w:pPr>
    </w:lvl>
    <w:lvl w:ilvl="6" w:tplc="EAEE6392">
      <w:start w:val="1"/>
      <w:numFmt w:val="decimal"/>
      <w:lvlText w:val="%7."/>
      <w:lvlJc w:val="left"/>
      <w:pPr>
        <w:ind w:left="5040" w:hanging="360"/>
      </w:pPr>
    </w:lvl>
    <w:lvl w:ilvl="7" w:tplc="38FC97B6">
      <w:start w:val="1"/>
      <w:numFmt w:val="lowerLetter"/>
      <w:lvlText w:val="%8."/>
      <w:lvlJc w:val="left"/>
      <w:pPr>
        <w:ind w:left="5760" w:hanging="360"/>
      </w:pPr>
    </w:lvl>
    <w:lvl w:ilvl="8" w:tplc="C4CC3956">
      <w:start w:val="1"/>
      <w:numFmt w:val="lowerRoman"/>
      <w:lvlText w:val="%9."/>
      <w:lvlJc w:val="right"/>
      <w:pPr>
        <w:ind w:left="6480" w:hanging="180"/>
      </w:pPr>
    </w:lvl>
  </w:abstractNum>
  <w:abstractNum w:abstractNumId="23" w15:restartNumberingAfterBreak="0">
    <w:nsid w:val="27748593"/>
    <w:multiLevelType w:val="hybridMultilevel"/>
    <w:tmpl w:val="FFFFFFFF"/>
    <w:lvl w:ilvl="0" w:tplc="531EF644">
      <w:start w:val="3"/>
      <w:numFmt w:val="decimal"/>
      <w:lvlText w:val="%1."/>
      <w:lvlJc w:val="left"/>
      <w:pPr>
        <w:ind w:left="720" w:hanging="360"/>
      </w:pPr>
    </w:lvl>
    <w:lvl w:ilvl="1" w:tplc="137A729A">
      <w:start w:val="1"/>
      <w:numFmt w:val="lowerLetter"/>
      <w:lvlText w:val="%2."/>
      <w:lvlJc w:val="left"/>
      <w:pPr>
        <w:ind w:left="1440" w:hanging="360"/>
      </w:pPr>
    </w:lvl>
    <w:lvl w:ilvl="2" w:tplc="F0F0BC54">
      <w:start w:val="1"/>
      <w:numFmt w:val="lowerRoman"/>
      <w:lvlText w:val="%3."/>
      <w:lvlJc w:val="right"/>
      <w:pPr>
        <w:ind w:left="2160" w:hanging="180"/>
      </w:pPr>
    </w:lvl>
    <w:lvl w:ilvl="3" w:tplc="8744B628">
      <w:start w:val="1"/>
      <w:numFmt w:val="decimal"/>
      <w:lvlText w:val="%4."/>
      <w:lvlJc w:val="left"/>
      <w:pPr>
        <w:ind w:left="2880" w:hanging="360"/>
      </w:pPr>
    </w:lvl>
    <w:lvl w:ilvl="4" w:tplc="9046594E">
      <w:start w:val="1"/>
      <w:numFmt w:val="lowerLetter"/>
      <w:lvlText w:val="%5."/>
      <w:lvlJc w:val="left"/>
      <w:pPr>
        <w:ind w:left="3600" w:hanging="360"/>
      </w:pPr>
    </w:lvl>
    <w:lvl w:ilvl="5" w:tplc="A17C9410">
      <w:start w:val="1"/>
      <w:numFmt w:val="lowerRoman"/>
      <w:lvlText w:val="%6."/>
      <w:lvlJc w:val="right"/>
      <w:pPr>
        <w:ind w:left="4320" w:hanging="180"/>
      </w:pPr>
    </w:lvl>
    <w:lvl w:ilvl="6" w:tplc="CF78E98C">
      <w:start w:val="1"/>
      <w:numFmt w:val="decimal"/>
      <w:lvlText w:val="%7."/>
      <w:lvlJc w:val="left"/>
      <w:pPr>
        <w:ind w:left="5040" w:hanging="360"/>
      </w:pPr>
    </w:lvl>
    <w:lvl w:ilvl="7" w:tplc="406002AE">
      <w:start w:val="1"/>
      <w:numFmt w:val="lowerLetter"/>
      <w:lvlText w:val="%8."/>
      <w:lvlJc w:val="left"/>
      <w:pPr>
        <w:ind w:left="5760" w:hanging="360"/>
      </w:pPr>
    </w:lvl>
    <w:lvl w:ilvl="8" w:tplc="47CCEFF8">
      <w:start w:val="1"/>
      <w:numFmt w:val="lowerRoman"/>
      <w:lvlText w:val="%9."/>
      <w:lvlJc w:val="right"/>
      <w:pPr>
        <w:ind w:left="6480" w:hanging="180"/>
      </w:pPr>
    </w:lvl>
  </w:abstractNum>
  <w:abstractNum w:abstractNumId="24" w15:restartNumberingAfterBreak="0">
    <w:nsid w:val="27A590EE"/>
    <w:multiLevelType w:val="hybridMultilevel"/>
    <w:tmpl w:val="FFFFFFFF"/>
    <w:lvl w:ilvl="0" w:tplc="7C66E50C">
      <w:start w:val="1"/>
      <w:numFmt w:val="decimal"/>
      <w:lvlText w:val="%1."/>
      <w:lvlJc w:val="left"/>
      <w:pPr>
        <w:ind w:left="720" w:hanging="360"/>
      </w:pPr>
    </w:lvl>
    <w:lvl w:ilvl="1" w:tplc="A8CAF084">
      <w:start w:val="1"/>
      <w:numFmt w:val="lowerLetter"/>
      <w:lvlText w:val="%2."/>
      <w:lvlJc w:val="left"/>
      <w:pPr>
        <w:ind w:left="1440" w:hanging="360"/>
      </w:pPr>
    </w:lvl>
    <w:lvl w:ilvl="2" w:tplc="A3FEEE12">
      <w:start w:val="1"/>
      <w:numFmt w:val="lowerRoman"/>
      <w:lvlText w:val="%3."/>
      <w:lvlJc w:val="right"/>
      <w:pPr>
        <w:ind w:left="2160" w:hanging="180"/>
      </w:pPr>
    </w:lvl>
    <w:lvl w:ilvl="3" w:tplc="D7B01D02">
      <w:start w:val="1"/>
      <w:numFmt w:val="decimal"/>
      <w:lvlText w:val="%4."/>
      <w:lvlJc w:val="left"/>
      <w:pPr>
        <w:ind w:left="2880" w:hanging="360"/>
      </w:pPr>
    </w:lvl>
    <w:lvl w:ilvl="4" w:tplc="1E1A23D2">
      <w:start w:val="1"/>
      <w:numFmt w:val="lowerLetter"/>
      <w:lvlText w:val="%5."/>
      <w:lvlJc w:val="left"/>
      <w:pPr>
        <w:ind w:left="3600" w:hanging="360"/>
      </w:pPr>
    </w:lvl>
    <w:lvl w:ilvl="5" w:tplc="9E105046">
      <w:start w:val="1"/>
      <w:numFmt w:val="lowerRoman"/>
      <w:lvlText w:val="%6."/>
      <w:lvlJc w:val="right"/>
      <w:pPr>
        <w:ind w:left="4320" w:hanging="180"/>
      </w:pPr>
    </w:lvl>
    <w:lvl w:ilvl="6" w:tplc="21E4B4C6">
      <w:start w:val="1"/>
      <w:numFmt w:val="decimal"/>
      <w:lvlText w:val="%7."/>
      <w:lvlJc w:val="left"/>
      <w:pPr>
        <w:ind w:left="5040" w:hanging="360"/>
      </w:pPr>
    </w:lvl>
    <w:lvl w:ilvl="7" w:tplc="BFD6EACE">
      <w:start w:val="1"/>
      <w:numFmt w:val="lowerLetter"/>
      <w:lvlText w:val="%8."/>
      <w:lvlJc w:val="left"/>
      <w:pPr>
        <w:ind w:left="5760" w:hanging="360"/>
      </w:pPr>
    </w:lvl>
    <w:lvl w:ilvl="8" w:tplc="84B6D38A">
      <w:start w:val="1"/>
      <w:numFmt w:val="lowerRoman"/>
      <w:lvlText w:val="%9."/>
      <w:lvlJc w:val="right"/>
      <w:pPr>
        <w:ind w:left="6480" w:hanging="180"/>
      </w:pPr>
    </w:lvl>
  </w:abstractNum>
  <w:abstractNum w:abstractNumId="25" w15:restartNumberingAfterBreak="0">
    <w:nsid w:val="294A0FE3"/>
    <w:multiLevelType w:val="hybridMultilevel"/>
    <w:tmpl w:val="DC5E83BE"/>
    <w:lvl w:ilvl="0" w:tplc="B4EEA0CE">
      <w:start w:val="1"/>
      <w:numFmt w:val="decimal"/>
      <w:lvlText w:val="%1."/>
      <w:lvlJc w:val="left"/>
      <w:pPr>
        <w:ind w:left="720" w:hanging="360"/>
      </w:pPr>
    </w:lvl>
    <w:lvl w:ilvl="1" w:tplc="948AE292">
      <w:start w:val="1"/>
      <w:numFmt w:val="lowerLetter"/>
      <w:lvlText w:val="%2."/>
      <w:lvlJc w:val="left"/>
      <w:pPr>
        <w:ind w:left="1440" w:hanging="360"/>
      </w:pPr>
    </w:lvl>
    <w:lvl w:ilvl="2" w:tplc="A7BAFF0C">
      <w:start w:val="1"/>
      <w:numFmt w:val="lowerRoman"/>
      <w:lvlText w:val="%3."/>
      <w:lvlJc w:val="right"/>
      <w:pPr>
        <w:ind w:left="2160" w:hanging="180"/>
      </w:pPr>
    </w:lvl>
    <w:lvl w:ilvl="3" w:tplc="0B448A52">
      <w:start w:val="1"/>
      <w:numFmt w:val="decimal"/>
      <w:lvlText w:val="%4."/>
      <w:lvlJc w:val="left"/>
      <w:pPr>
        <w:ind w:left="2880" w:hanging="360"/>
      </w:pPr>
    </w:lvl>
    <w:lvl w:ilvl="4" w:tplc="12C46DAC">
      <w:start w:val="1"/>
      <w:numFmt w:val="lowerLetter"/>
      <w:lvlText w:val="%5."/>
      <w:lvlJc w:val="left"/>
      <w:pPr>
        <w:ind w:left="3600" w:hanging="360"/>
      </w:pPr>
    </w:lvl>
    <w:lvl w:ilvl="5" w:tplc="BF5CBFA8">
      <w:start w:val="1"/>
      <w:numFmt w:val="lowerRoman"/>
      <w:lvlText w:val="%6."/>
      <w:lvlJc w:val="right"/>
      <w:pPr>
        <w:ind w:left="4320" w:hanging="180"/>
      </w:pPr>
    </w:lvl>
    <w:lvl w:ilvl="6" w:tplc="25B4D042">
      <w:start w:val="1"/>
      <w:numFmt w:val="decimal"/>
      <w:lvlText w:val="%7."/>
      <w:lvlJc w:val="left"/>
      <w:pPr>
        <w:ind w:left="5040" w:hanging="360"/>
      </w:pPr>
    </w:lvl>
    <w:lvl w:ilvl="7" w:tplc="3522A294">
      <w:start w:val="1"/>
      <w:numFmt w:val="lowerLetter"/>
      <w:lvlText w:val="%8."/>
      <w:lvlJc w:val="left"/>
      <w:pPr>
        <w:ind w:left="5760" w:hanging="360"/>
      </w:pPr>
    </w:lvl>
    <w:lvl w:ilvl="8" w:tplc="A2E4A2C6">
      <w:start w:val="1"/>
      <w:numFmt w:val="lowerRoman"/>
      <w:lvlText w:val="%9."/>
      <w:lvlJc w:val="right"/>
      <w:pPr>
        <w:ind w:left="6480" w:hanging="180"/>
      </w:pPr>
    </w:lvl>
  </w:abstractNum>
  <w:abstractNum w:abstractNumId="26" w15:restartNumberingAfterBreak="0">
    <w:nsid w:val="2AAE6BE5"/>
    <w:multiLevelType w:val="hybridMultilevel"/>
    <w:tmpl w:val="7CF2DFBC"/>
    <w:lvl w:ilvl="0" w:tplc="CCE62FA2">
      <w:start w:val="2"/>
      <w:numFmt w:val="decimal"/>
      <w:lvlText w:val="%1."/>
      <w:lvlJc w:val="left"/>
      <w:pPr>
        <w:ind w:left="720" w:hanging="360"/>
      </w:pPr>
    </w:lvl>
    <w:lvl w:ilvl="1" w:tplc="CFDCE7E8">
      <w:start w:val="1"/>
      <w:numFmt w:val="lowerLetter"/>
      <w:lvlText w:val="%2."/>
      <w:lvlJc w:val="left"/>
      <w:pPr>
        <w:ind w:left="1440" w:hanging="360"/>
      </w:pPr>
    </w:lvl>
    <w:lvl w:ilvl="2" w:tplc="5D32E578">
      <w:start w:val="1"/>
      <w:numFmt w:val="lowerRoman"/>
      <w:lvlText w:val="%3."/>
      <w:lvlJc w:val="right"/>
      <w:pPr>
        <w:ind w:left="2160" w:hanging="180"/>
      </w:pPr>
    </w:lvl>
    <w:lvl w:ilvl="3" w:tplc="EB34E3AA">
      <w:start w:val="1"/>
      <w:numFmt w:val="decimal"/>
      <w:lvlText w:val="%4."/>
      <w:lvlJc w:val="left"/>
      <w:pPr>
        <w:ind w:left="2880" w:hanging="360"/>
      </w:pPr>
    </w:lvl>
    <w:lvl w:ilvl="4" w:tplc="96D4E5FE">
      <w:start w:val="1"/>
      <w:numFmt w:val="lowerLetter"/>
      <w:lvlText w:val="%5."/>
      <w:lvlJc w:val="left"/>
      <w:pPr>
        <w:ind w:left="3600" w:hanging="360"/>
      </w:pPr>
    </w:lvl>
    <w:lvl w:ilvl="5" w:tplc="C02E14AE">
      <w:start w:val="1"/>
      <w:numFmt w:val="lowerRoman"/>
      <w:lvlText w:val="%6."/>
      <w:lvlJc w:val="right"/>
      <w:pPr>
        <w:ind w:left="4320" w:hanging="180"/>
      </w:pPr>
    </w:lvl>
    <w:lvl w:ilvl="6" w:tplc="BE148D56">
      <w:start w:val="1"/>
      <w:numFmt w:val="decimal"/>
      <w:lvlText w:val="%7."/>
      <w:lvlJc w:val="left"/>
      <w:pPr>
        <w:ind w:left="5040" w:hanging="360"/>
      </w:pPr>
    </w:lvl>
    <w:lvl w:ilvl="7" w:tplc="8A6E1D94">
      <w:start w:val="1"/>
      <w:numFmt w:val="lowerLetter"/>
      <w:lvlText w:val="%8."/>
      <w:lvlJc w:val="left"/>
      <w:pPr>
        <w:ind w:left="5760" w:hanging="360"/>
      </w:pPr>
    </w:lvl>
    <w:lvl w:ilvl="8" w:tplc="0C9AE21C">
      <w:start w:val="1"/>
      <w:numFmt w:val="lowerRoman"/>
      <w:lvlText w:val="%9."/>
      <w:lvlJc w:val="right"/>
      <w:pPr>
        <w:ind w:left="6480" w:hanging="180"/>
      </w:pPr>
    </w:lvl>
  </w:abstractNum>
  <w:abstractNum w:abstractNumId="27" w15:restartNumberingAfterBreak="0">
    <w:nsid w:val="2CCDBF11"/>
    <w:multiLevelType w:val="hybridMultilevel"/>
    <w:tmpl w:val="25BAC218"/>
    <w:lvl w:ilvl="0" w:tplc="9AD09E4E">
      <w:start w:val="1"/>
      <w:numFmt w:val="bullet"/>
      <w:lvlText w:val=""/>
      <w:lvlJc w:val="left"/>
      <w:pPr>
        <w:ind w:left="720" w:hanging="360"/>
      </w:pPr>
      <w:rPr>
        <w:rFonts w:ascii="Symbol" w:hAnsi="Symbol" w:hint="default"/>
      </w:rPr>
    </w:lvl>
    <w:lvl w:ilvl="1" w:tplc="8EA2535A">
      <w:start w:val="1"/>
      <w:numFmt w:val="bullet"/>
      <w:lvlText w:val="o"/>
      <w:lvlJc w:val="left"/>
      <w:pPr>
        <w:ind w:left="1440" w:hanging="360"/>
      </w:pPr>
      <w:rPr>
        <w:rFonts w:ascii="Courier New" w:hAnsi="Courier New" w:hint="default"/>
      </w:rPr>
    </w:lvl>
    <w:lvl w:ilvl="2" w:tplc="179E6262">
      <w:start w:val="1"/>
      <w:numFmt w:val="bullet"/>
      <w:lvlText w:val=""/>
      <w:lvlJc w:val="left"/>
      <w:pPr>
        <w:ind w:left="2160" w:hanging="360"/>
      </w:pPr>
      <w:rPr>
        <w:rFonts w:ascii="Wingdings" w:hAnsi="Wingdings" w:hint="default"/>
      </w:rPr>
    </w:lvl>
    <w:lvl w:ilvl="3" w:tplc="B9988D88">
      <w:start w:val="1"/>
      <w:numFmt w:val="bullet"/>
      <w:lvlText w:val=""/>
      <w:lvlJc w:val="left"/>
      <w:pPr>
        <w:ind w:left="2880" w:hanging="360"/>
      </w:pPr>
      <w:rPr>
        <w:rFonts w:ascii="Symbol" w:hAnsi="Symbol" w:hint="default"/>
      </w:rPr>
    </w:lvl>
    <w:lvl w:ilvl="4" w:tplc="3EA6B0B8">
      <w:start w:val="1"/>
      <w:numFmt w:val="bullet"/>
      <w:lvlText w:val="o"/>
      <w:lvlJc w:val="left"/>
      <w:pPr>
        <w:ind w:left="3600" w:hanging="360"/>
      </w:pPr>
      <w:rPr>
        <w:rFonts w:ascii="Courier New" w:hAnsi="Courier New" w:hint="default"/>
      </w:rPr>
    </w:lvl>
    <w:lvl w:ilvl="5" w:tplc="1E82C686">
      <w:start w:val="1"/>
      <w:numFmt w:val="bullet"/>
      <w:lvlText w:val=""/>
      <w:lvlJc w:val="left"/>
      <w:pPr>
        <w:ind w:left="4320" w:hanging="360"/>
      </w:pPr>
      <w:rPr>
        <w:rFonts w:ascii="Wingdings" w:hAnsi="Wingdings" w:hint="default"/>
      </w:rPr>
    </w:lvl>
    <w:lvl w:ilvl="6" w:tplc="B472E69C">
      <w:start w:val="1"/>
      <w:numFmt w:val="bullet"/>
      <w:lvlText w:val=""/>
      <w:lvlJc w:val="left"/>
      <w:pPr>
        <w:ind w:left="5040" w:hanging="360"/>
      </w:pPr>
      <w:rPr>
        <w:rFonts w:ascii="Symbol" w:hAnsi="Symbol" w:hint="default"/>
      </w:rPr>
    </w:lvl>
    <w:lvl w:ilvl="7" w:tplc="8BD85C78">
      <w:start w:val="1"/>
      <w:numFmt w:val="bullet"/>
      <w:lvlText w:val="o"/>
      <w:lvlJc w:val="left"/>
      <w:pPr>
        <w:ind w:left="5760" w:hanging="360"/>
      </w:pPr>
      <w:rPr>
        <w:rFonts w:ascii="Courier New" w:hAnsi="Courier New" w:hint="default"/>
      </w:rPr>
    </w:lvl>
    <w:lvl w:ilvl="8" w:tplc="BDAE6F6E">
      <w:start w:val="1"/>
      <w:numFmt w:val="bullet"/>
      <w:lvlText w:val=""/>
      <w:lvlJc w:val="left"/>
      <w:pPr>
        <w:ind w:left="6480" w:hanging="360"/>
      </w:pPr>
      <w:rPr>
        <w:rFonts w:ascii="Wingdings" w:hAnsi="Wingdings" w:hint="default"/>
      </w:rPr>
    </w:lvl>
  </w:abstractNum>
  <w:abstractNum w:abstractNumId="28" w15:restartNumberingAfterBreak="0">
    <w:nsid w:val="2CD64E35"/>
    <w:multiLevelType w:val="hybridMultilevel"/>
    <w:tmpl w:val="FFFFFFFF"/>
    <w:lvl w:ilvl="0" w:tplc="450C6840">
      <w:start w:val="4"/>
      <w:numFmt w:val="lowerLetter"/>
      <w:lvlText w:val="%1."/>
      <w:lvlJc w:val="left"/>
      <w:pPr>
        <w:ind w:left="720" w:hanging="360"/>
      </w:pPr>
    </w:lvl>
    <w:lvl w:ilvl="1" w:tplc="FFF86BB2">
      <w:start w:val="1"/>
      <w:numFmt w:val="lowerLetter"/>
      <w:lvlText w:val="%2."/>
      <w:lvlJc w:val="left"/>
      <w:pPr>
        <w:ind w:left="1440" w:hanging="360"/>
      </w:pPr>
    </w:lvl>
    <w:lvl w:ilvl="2" w:tplc="1674DCD0">
      <w:start w:val="1"/>
      <w:numFmt w:val="lowerRoman"/>
      <w:lvlText w:val="%3."/>
      <w:lvlJc w:val="right"/>
      <w:pPr>
        <w:ind w:left="2160" w:hanging="180"/>
      </w:pPr>
    </w:lvl>
    <w:lvl w:ilvl="3" w:tplc="AC7CA25E">
      <w:start w:val="1"/>
      <w:numFmt w:val="decimal"/>
      <w:lvlText w:val="%4."/>
      <w:lvlJc w:val="left"/>
      <w:pPr>
        <w:ind w:left="2880" w:hanging="360"/>
      </w:pPr>
    </w:lvl>
    <w:lvl w:ilvl="4" w:tplc="6BC00734">
      <w:start w:val="1"/>
      <w:numFmt w:val="lowerLetter"/>
      <w:lvlText w:val="%5."/>
      <w:lvlJc w:val="left"/>
      <w:pPr>
        <w:ind w:left="3600" w:hanging="360"/>
      </w:pPr>
    </w:lvl>
    <w:lvl w:ilvl="5" w:tplc="8EBC4AEC">
      <w:start w:val="1"/>
      <w:numFmt w:val="lowerRoman"/>
      <w:lvlText w:val="%6."/>
      <w:lvlJc w:val="right"/>
      <w:pPr>
        <w:ind w:left="4320" w:hanging="180"/>
      </w:pPr>
    </w:lvl>
    <w:lvl w:ilvl="6" w:tplc="A0926DD6">
      <w:start w:val="1"/>
      <w:numFmt w:val="decimal"/>
      <w:lvlText w:val="%7."/>
      <w:lvlJc w:val="left"/>
      <w:pPr>
        <w:ind w:left="5040" w:hanging="360"/>
      </w:pPr>
    </w:lvl>
    <w:lvl w:ilvl="7" w:tplc="0C0A3418">
      <w:start w:val="1"/>
      <w:numFmt w:val="lowerLetter"/>
      <w:lvlText w:val="%8."/>
      <w:lvlJc w:val="left"/>
      <w:pPr>
        <w:ind w:left="5760" w:hanging="360"/>
      </w:pPr>
    </w:lvl>
    <w:lvl w:ilvl="8" w:tplc="FAAE807E">
      <w:start w:val="1"/>
      <w:numFmt w:val="lowerRoman"/>
      <w:lvlText w:val="%9."/>
      <w:lvlJc w:val="right"/>
      <w:pPr>
        <w:ind w:left="6480" w:hanging="180"/>
      </w:pPr>
    </w:lvl>
  </w:abstractNum>
  <w:abstractNum w:abstractNumId="29" w15:restartNumberingAfterBreak="0">
    <w:nsid w:val="301E3CC5"/>
    <w:multiLevelType w:val="hybridMultilevel"/>
    <w:tmpl w:val="5A060936"/>
    <w:lvl w:ilvl="0" w:tplc="C9C87BFC">
      <w:start w:val="1"/>
      <w:numFmt w:val="bullet"/>
      <w:lvlText w:val=""/>
      <w:lvlJc w:val="left"/>
      <w:pPr>
        <w:ind w:left="720" w:hanging="360"/>
      </w:pPr>
      <w:rPr>
        <w:rFonts w:ascii="Symbol" w:hAnsi="Symbol" w:hint="default"/>
      </w:rPr>
    </w:lvl>
    <w:lvl w:ilvl="1" w:tplc="D2B046DE">
      <w:start w:val="1"/>
      <w:numFmt w:val="bullet"/>
      <w:lvlText w:val="o"/>
      <w:lvlJc w:val="left"/>
      <w:pPr>
        <w:ind w:left="1440" w:hanging="360"/>
      </w:pPr>
      <w:rPr>
        <w:rFonts w:ascii="Courier New" w:hAnsi="Courier New" w:hint="default"/>
      </w:rPr>
    </w:lvl>
    <w:lvl w:ilvl="2" w:tplc="297CF1D4">
      <w:start w:val="1"/>
      <w:numFmt w:val="bullet"/>
      <w:lvlText w:val=""/>
      <w:lvlJc w:val="left"/>
      <w:pPr>
        <w:ind w:left="2160" w:hanging="360"/>
      </w:pPr>
      <w:rPr>
        <w:rFonts w:ascii="Wingdings" w:hAnsi="Wingdings" w:hint="default"/>
      </w:rPr>
    </w:lvl>
    <w:lvl w:ilvl="3" w:tplc="F48426E6">
      <w:start w:val="1"/>
      <w:numFmt w:val="bullet"/>
      <w:lvlText w:val=""/>
      <w:lvlJc w:val="left"/>
      <w:pPr>
        <w:ind w:left="2880" w:hanging="360"/>
      </w:pPr>
      <w:rPr>
        <w:rFonts w:ascii="Symbol" w:hAnsi="Symbol" w:hint="default"/>
      </w:rPr>
    </w:lvl>
    <w:lvl w:ilvl="4" w:tplc="CD4EE200">
      <w:start w:val="1"/>
      <w:numFmt w:val="bullet"/>
      <w:lvlText w:val="o"/>
      <w:lvlJc w:val="left"/>
      <w:pPr>
        <w:ind w:left="3600" w:hanging="360"/>
      </w:pPr>
      <w:rPr>
        <w:rFonts w:ascii="Courier New" w:hAnsi="Courier New" w:hint="default"/>
      </w:rPr>
    </w:lvl>
    <w:lvl w:ilvl="5" w:tplc="C6E833AE">
      <w:start w:val="1"/>
      <w:numFmt w:val="bullet"/>
      <w:lvlText w:val=""/>
      <w:lvlJc w:val="left"/>
      <w:pPr>
        <w:ind w:left="4320" w:hanging="360"/>
      </w:pPr>
      <w:rPr>
        <w:rFonts w:ascii="Wingdings" w:hAnsi="Wingdings" w:hint="default"/>
      </w:rPr>
    </w:lvl>
    <w:lvl w:ilvl="6" w:tplc="06AA1730">
      <w:start w:val="1"/>
      <w:numFmt w:val="bullet"/>
      <w:lvlText w:val=""/>
      <w:lvlJc w:val="left"/>
      <w:pPr>
        <w:ind w:left="5040" w:hanging="360"/>
      </w:pPr>
      <w:rPr>
        <w:rFonts w:ascii="Symbol" w:hAnsi="Symbol" w:hint="default"/>
      </w:rPr>
    </w:lvl>
    <w:lvl w:ilvl="7" w:tplc="F824172C">
      <w:start w:val="1"/>
      <w:numFmt w:val="bullet"/>
      <w:lvlText w:val="o"/>
      <w:lvlJc w:val="left"/>
      <w:pPr>
        <w:ind w:left="5760" w:hanging="360"/>
      </w:pPr>
      <w:rPr>
        <w:rFonts w:ascii="Courier New" w:hAnsi="Courier New" w:hint="default"/>
      </w:rPr>
    </w:lvl>
    <w:lvl w:ilvl="8" w:tplc="3740DDDC">
      <w:start w:val="1"/>
      <w:numFmt w:val="bullet"/>
      <w:lvlText w:val=""/>
      <w:lvlJc w:val="left"/>
      <w:pPr>
        <w:ind w:left="6480" w:hanging="360"/>
      </w:pPr>
      <w:rPr>
        <w:rFonts w:ascii="Wingdings" w:hAnsi="Wingdings" w:hint="default"/>
      </w:rPr>
    </w:lvl>
  </w:abstractNum>
  <w:abstractNum w:abstractNumId="30" w15:restartNumberingAfterBreak="0">
    <w:nsid w:val="349948AA"/>
    <w:multiLevelType w:val="hybridMultilevel"/>
    <w:tmpl w:val="EAE4F52A"/>
    <w:lvl w:ilvl="0" w:tplc="0DFAA2AE">
      <w:start w:val="1"/>
      <w:numFmt w:val="lowerLetter"/>
      <w:lvlText w:val="%1."/>
      <w:lvlJc w:val="left"/>
      <w:pPr>
        <w:ind w:left="720" w:hanging="360"/>
      </w:pPr>
    </w:lvl>
    <w:lvl w:ilvl="1" w:tplc="6ECC25B6">
      <w:start w:val="1"/>
      <w:numFmt w:val="lowerLetter"/>
      <w:lvlText w:val="%2."/>
      <w:lvlJc w:val="left"/>
      <w:pPr>
        <w:ind w:left="1440" w:hanging="360"/>
      </w:pPr>
    </w:lvl>
    <w:lvl w:ilvl="2" w:tplc="2DE040E2">
      <w:start w:val="1"/>
      <w:numFmt w:val="lowerRoman"/>
      <w:lvlText w:val="%3."/>
      <w:lvlJc w:val="right"/>
      <w:pPr>
        <w:ind w:left="2160" w:hanging="180"/>
      </w:pPr>
    </w:lvl>
    <w:lvl w:ilvl="3" w:tplc="748C77FE">
      <w:start w:val="1"/>
      <w:numFmt w:val="decimal"/>
      <w:lvlText w:val="%4."/>
      <w:lvlJc w:val="left"/>
      <w:pPr>
        <w:ind w:left="2880" w:hanging="360"/>
      </w:pPr>
    </w:lvl>
    <w:lvl w:ilvl="4" w:tplc="C0FAE54A">
      <w:start w:val="1"/>
      <w:numFmt w:val="lowerLetter"/>
      <w:lvlText w:val="%5."/>
      <w:lvlJc w:val="left"/>
      <w:pPr>
        <w:ind w:left="3600" w:hanging="360"/>
      </w:pPr>
    </w:lvl>
    <w:lvl w:ilvl="5" w:tplc="C708054E">
      <w:start w:val="1"/>
      <w:numFmt w:val="lowerRoman"/>
      <w:lvlText w:val="%6."/>
      <w:lvlJc w:val="right"/>
      <w:pPr>
        <w:ind w:left="4320" w:hanging="180"/>
      </w:pPr>
    </w:lvl>
    <w:lvl w:ilvl="6" w:tplc="F8DA7A7C">
      <w:start w:val="1"/>
      <w:numFmt w:val="decimal"/>
      <w:lvlText w:val="%7."/>
      <w:lvlJc w:val="left"/>
      <w:pPr>
        <w:ind w:left="5040" w:hanging="360"/>
      </w:pPr>
    </w:lvl>
    <w:lvl w:ilvl="7" w:tplc="5C467D70">
      <w:start w:val="1"/>
      <w:numFmt w:val="lowerLetter"/>
      <w:lvlText w:val="%8."/>
      <w:lvlJc w:val="left"/>
      <w:pPr>
        <w:ind w:left="5760" w:hanging="360"/>
      </w:pPr>
    </w:lvl>
    <w:lvl w:ilvl="8" w:tplc="9E1E5886">
      <w:start w:val="1"/>
      <w:numFmt w:val="lowerRoman"/>
      <w:lvlText w:val="%9."/>
      <w:lvlJc w:val="right"/>
      <w:pPr>
        <w:ind w:left="6480" w:hanging="180"/>
      </w:pPr>
    </w:lvl>
  </w:abstractNum>
  <w:abstractNum w:abstractNumId="31" w15:restartNumberingAfterBreak="0">
    <w:nsid w:val="34AA1D21"/>
    <w:multiLevelType w:val="hybridMultilevel"/>
    <w:tmpl w:val="515224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8D859C"/>
    <w:multiLevelType w:val="hybridMultilevel"/>
    <w:tmpl w:val="25187F4A"/>
    <w:lvl w:ilvl="0" w:tplc="C952D100">
      <w:start w:val="1"/>
      <w:numFmt w:val="bullet"/>
      <w:lvlText w:val=""/>
      <w:lvlJc w:val="left"/>
      <w:pPr>
        <w:ind w:left="720" w:hanging="360"/>
      </w:pPr>
      <w:rPr>
        <w:rFonts w:ascii="Symbol" w:hAnsi="Symbol" w:hint="default"/>
      </w:rPr>
    </w:lvl>
    <w:lvl w:ilvl="1" w:tplc="A13C111A">
      <w:start w:val="1"/>
      <w:numFmt w:val="bullet"/>
      <w:lvlText w:val="o"/>
      <w:lvlJc w:val="left"/>
      <w:pPr>
        <w:ind w:left="1440" w:hanging="360"/>
      </w:pPr>
      <w:rPr>
        <w:rFonts w:ascii="Courier New" w:hAnsi="Courier New" w:hint="default"/>
      </w:rPr>
    </w:lvl>
    <w:lvl w:ilvl="2" w:tplc="6F3CBD74">
      <w:start w:val="1"/>
      <w:numFmt w:val="bullet"/>
      <w:lvlText w:val=""/>
      <w:lvlJc w:val="left"/>
      <w:pPr>
        <w:ind w:left="2160" w:hanging="360"/>
      </w:pPr>
      <w:rPr>
        <w:rFonts w:ascii="Wingdings" w:hAnsi="Wingdings" w:hint="default"/>
      </w:rPr>
    </w:lvl>
    <w:lvl w:ilvl="3" w:tplc="A1A6022C">
      <w:start w:val="1"/>
      <w:numFmt w:val="bullet"/>
      <w:lvlText w:val=""/>
      <w:lvlJc w:val="left"/>
      <w:pPr>
        <w:ind w:left="2880" w:hanging="360"/>
      </w:pPr>
      <w:rPr>
        <w:rFonts w:ascii="Symbol" w:hAnsi="Symbol" w:hint="default"/>
      </w:rPr>
    </w:lvl>
    <w:lvl w:ilvl="4" w:tplc="8EE8C3FE">
      <w:start w:val="1"/>
      <w:numFmt w:val="bullet"/>
      <w:lvlText w:val="o"/>
      <w:lvlJc w:val="left"/>
      <w:pPr>
        <w:ind w:left="3600" w:hanging="360"/>
      </w:pPr>
      <w:rPr>
        <w:rFonts w:ascii="Courier New" w:hAnsi="Courier New" w:hint="default"/>
      </w:rPr>
    </w:lvl>
    <w:lvl w:ilvl="5" w:tplc="763420EA">
      <w:start w:val="1"/>
      <w:numFmt w:val="bullet"/>
      <w:lvlText w:val=""/>
      <w:lvlJc w:val="left"/>
      <w:pPr>
        <w:ind w:left="4320" w:hanging="360"/>
      </w:pPr>
      <w:rPr>
        <w:rFonts w:ascii="Wingdings" w:hAnsi="Wingdings" w:hint="default"/>
      </w:rPr>
    </w:lvl>
    <w:lvl w:ilvl="6" w:tplc="1BE6B468">
      <w:start w:val="1"/>
      <w:numFmt w:val="bullet"/>
      <w:lvlText w:val=""/>
      <w:lvlJc w:val="left"/>
      <w:pPr>
        <w:ind w:left="5040" w:hanging="360"/>
      </w:pPr>
      <w:rPr>
        <w:rFonts w:ascii="Symbol" w:hAnsi="Symbol" w:hint="default"/>
      </w:rPr>
    </w:lvl>
    <w:lvl w:ilvl="7" w:tplc="B10469AE">
      <w:start w:val="1"/>
      <w:numFmt w:val="bullet"/>
      <w:lvlText w:val="o"/>
      <w:lvlJc w:val="left"/>
      <w:pPr>
        <w:ind w:left="5760" w:hanging="360"/>
      </w:pPr>
      <w:rPr>
        <w:rFonts w:ascii="Courier New" w:hAnsi="Courier New" w:hint="default"/>
      </w:rPr>
    </w:lvl>
    <w:lvl w:ilvl="8" w:tplc="96AE34F0">
      <w:start w:val="1"/>
      <w:numFmt w:val="bullet"/>
      <w:lvlText w:val=""/>
      <w:lvlJc w:val="left"/>
      <w:pPr>
        <w:ind w:left="6480" w:hanging="360"/>
      </w:pPr>
      <w:rPr>
        <w:rFonts w:ascii="Wingdings" w:hAnsi="Wingdings" w:hint="default"/>
      </w:rPr>
    </w:lvl>
  </w:abstractNum>
  <w:abstractNum w:abstractNumId="33" w15:restartNumberingAfterBreak="0">
    <w:nsid w:val="391EC20D"/>
    <w:multiLevelType w:val="hybridMultilevel"/>
    <w:tmpl w:val="0FDEFBB6"/>
    <w:lvl w:ilvl="0" w:tplc="0D20D240">
      <w:start w:val="1"/>
      <w:numFmt w:val="bullet"/>
      <w:lvlText w:val="·"/>
      <w:lvlJc w:val="left"/>
      <w:pPr>
        <w:ind w:left="720" w:hanging="360"/>
      </w:pPr>
      <w:rPr>
        <w:rFonts w:ascii="Symbol" w:hAnsi="Symbol" w:hint="default"/>
      </w:rPr>
    </w:lvl>
    <w:lvl w:ilvl="1" w:tplc="A04E7E1E">
      <w:start w:val="1"/>
      <w:numFmt w:val="bullet"/>
      <w:lvlText w:val="o"/>
      <w:lvlJc w:val="left"/>
      <w:pPr>
        <w:ind w:left="1440" w:hanging="360"/>
      </w:pPr>
      <w:rPr>
        <w:rFonts w:ascii="Courier New" w:hAnsi="Courier New" w:hint="default"/>
      </w:rPr>
    </w:lvl>
    <w:lvl w:ilvl="2" w:tplc="BC06D1FA">
      <w:start w:val="1"/>
      <w:numFmt w:val="bullet"/>
      <w:lvlText w:val=""/>
      <w:lvlJc w:val="left"/>
      <w:pPr>
        <w:ind w:left="2160" w:hanging="360"/>
      </w:pPr>
      <w:rPr>
        <w:rFonts w:ascii="Wingdings" w:hAnsi="Wingdings" w:hint="default"/>
      </w:rPr>
    </w:lvl>
    <w:lvl w:ilvl="3" w:tplc="F23A284C">
      <w:start w:val="1"/>
      <w:numFmt w:val="bullet"/>
      <w:lvlText w:val=""/>
      <w:lvlJc w:val="left"/>
      <w:pPr>
        <w:ind w:left="2880" w:hanging="360"/>
      </w:pPr>
      <w:rPr>
        <w:rFonts w:ascii="Symbol" w:hAnsi="Symbol" w:hint="default"/>
      </w:rPr>
    </w:lvl>
    <w:lvl w:ilvl="4" w:tplc="63229932">
      <w:start w:val="1"/>
      <w:numFmt w:val="bullet"/>
      <w:lvlText w:val="o"/>
      <w:lvlJc w:val="left"/>
      <w:pPr>
        <w:ind w:left="3600" w:hanging="360"/>
      </w:pPr>
      <w:rPr>
        <w:rFonts w:ascii="Courier New" w:hAnsi="Courier New" w:hint="default"/>
      </w:rPr>
    </w:lvl>
    <w:lvl w:ilvl="5" w:tplc="95881E6A">
      <w:start w:val="1"/>
      <w:numFmt w:val="bullet"/>
      <w:lvlText w:val=""/>
      <w:lvlJc w:val="left"/>
      <w:pPr>
        <w:ind w:left="4320" w:hanging="360"/>
      </w:pPr>
      <w:rPr>
        <w:rFonts w:ascii="Wingdings" w:hAnsi="Wingdings" w:hint="default"/>
      </w:rPr>
    </w:lvl>
    <w:lvl w:ilvl="6" w:tplc="30CA2330">
      <w:start w:val="1"/>
      <w:numFmt w:val="bullet"/>
      <w:lvlText w:val=""/>
      <w:lvlJc w:val="left"/>
      <w:pPr>
        <w:ind w:left="5040" w:hanging="360"/>
      </w:pPr>
      <w:rPr>
        <w:rFonts w:ascii="Symbol" w:hAnsi="Symbol" w:hint="default"/>
      </w:rPr>
    </w:lvl>
    <w:lvl w:ilvl="7" w:tplc="481AA014">
      <w:start w:val="1"/>
      <w:numFmt w:val="bullet"/>
      <w:lvlText w:val="o"/>
      <w:lvlJc w:val="left"/>
      <w:pPr>
        <w:ind w:left="5760" w:hanging="360"/>
      </w:pPr>
      <w:rPr>
        <w:rFonts w:ascii="Courier New" w:hAnsi="Courier New" w:hint="default"/>
      </w:rPr>
    </w:lvl>
    <w:lvl w:ilvl="8" w:tplc="B43284E6">
      <w:start w:val="1"/>
      <w:numFmt w:val="bullet"/>
      <w:lvlText w:val=""/>
      <w:lvlJc w:val="left"/>
      <w:pPr>
        <w:ind w:left="6480" w:hanging="360"/>
      </w:pPr>
      <w:rPr>
        <w:rFonts w:ascii="Wingdings" w:hAnsi="Wingdings" w:hint="default"/>
      </w:rPr>
    </w:lvl>
  </w:abstractNum>
  <w:abstractNum w:abstractNumId="34" w15:restartNumberingAfterBreak="0">
    <w:nsid w:val="3A7274C2"/>
    <w:multiLevelType w:val="hybridMultilevel"/>
    <w:tmpl w:val="6D167750"/>
    <w:lvl w:ilvl="0" w:tplc="6764F5C6">
      <w:start w:val="1"/>
      <w:numFmt w:val="lowerLetter"/>
      <w:lvlText w:val="%1)"/>
      <w:lvlJc w:val="left"/>
      <w:pPr>
        <w:ind w:left="644"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3E066F27"/>
    <w:multiLevelType w:val="hybridMultilevel"/>
    <w:tmpl w:val="C4440CEC"/>
    <w:lvl w:ilvl="0" w:tplc="3DD6839A">
      <w:start w:val="1"/>
      <w:numFmt w:val="bullet"/>
      <w:lvlText w:val=""/>
      <w:lvlJc w:val="left"/>
      <w:pPr>
        <w:ind w:left="720" w:hanging="360"/>
      </w:pPr>
      <w:rPr>
        <w:rFonts w:ascii="Symbol" w:hAnsi="Symbol" w:hint="default"/>
      </w:rPr>
    </w:lvl>
    <w:lvl w:ilvl="1" w:tplc="527A7DD8">
      <w:start w:val="1"/>
      <w:numFmt w:val="bullet"/>
      <w:lvlText w:val="o"/>
      <w:lvlJc w:val="left"/>
      <w:pPr>
        <w:ind w:left="1440" w:hanging="360"/>
      </w:pPr>
      <w:rPr>
        <w:rFonts w:ascii="Courier New" w:hAnsi="Courier New" w:hint="default"/>
      </w:rPr>
    </w:lvl>
    <w:lvl w:ilvl="2" w:tplc="4EE4FE14">
      <w:start w:val="1"/>
      <w:numFmt w:val="bullet"/>
      <w:lvlText w:val=""/>
      <w:lvlJc w:val="left"/>
      <w:pPr>
        <w:ind w:left="2160" w:hanging="360"/>
      </w:pPr>
      <w:rPr>
        <w:rFonts w:ascii="Wingdings" w:hAnsi="Wingdings" w:hint="default"/>
      </w:rPr>
    </w:lvl>
    <w:lvl w:ilvl="3" w:tplc="DB6AF924">
      <w:start w:val="1"/>
      <w:numFmt w:val="bullet"/>
      <w:lvlText w:val=""/>
      <w:lvlJc w:val="left"/>
      <w:pPr>
        <w:ind w:left="2880" w:hanging="360"/>
      </w:pPr>
      <w:rPr>
        <w:rFonts w:ascii="Symbol" w:hAnsi="Symbol" w:hint="default"/>
      </w:rPr>
    </w:lvl>
    <w:lvl w:ilvl="4" w:tplc="7166D430">
      <w:start w:val="1"/>
      <w:numFmt w:val="bullet"/>
      <w:lvlText w:val="o"/>
      <w:lvlJc w:val="left"/>
      <w:pPr>
        <w:ind w:left="3600" w:hanging="360"/>
      </w:pPr>
      <w:rPr>
        <w:rFonts w:ascii="Courier New" w:hAnsi="Courier New" w:hint="default"/>
      </w:rPr>
    </w:lvl>
    <w:lvl w:ilvl="5" w:tplc="C82237E6">
      <w:start w:val="1"/>
      <w:numFmt w:val="bullet"/>
      <w:lvlText w:val=""/>
      <w:lvlJc w:val="left"/>
      <w:pPr>
        <w:ind w:left="4320" w:hanging="360"/>
      </w:pPr>
      <w:rPr>
        <w:rFonts w:ascii="Wingdings" w:hAnsi="Wingdings" w:hint="default"/>
      </w:rPr>
    </w:lvl>
    <w:lvl w:ilvl="6" w:tplc="BD4CA182">
      <w:start w:val="1"/>
      <w:numFmt w:val="bullet"/>
      <w:lvlText w:val=""/>
      <w:lvlJc w:val="left"/>
      <w:pPr>
        <w:ind w:left="5040" w:hanging="360"/>
      </w:pPr>
      <w:rPr>
        <w:rFonts w:ascii="Symbol" w:hAnsi="Symbol" w:hint="default"/>
      </w:rPr>
    </w:lvl>
    <w:lvl w:ilvl="7" w:tplc="69D696CE">
      <w:start w:val="1"/>
      <w:numFmt w:val="bullet"/>
      <w:lvlText w:val="o"/>
      <w:lvlJc w:val="left"/>
      <w:pPr>
        <w:ind w:left="5760" w:hanging="360"/>
      </w:pPr>
      <w:rPr>
        <w:rFonts w:ascii="Courier New" w:hAnsi="Courier New" w:hint="default"/>
      </w:rPr>
    </w:lvl>
    <w:lvl w:ilvl="8" w:tplc="D70684CA">
      <w:start w:val="1"/>
      <w:numFmt w:val="bullet"/>
      <w:lvlText w:val=""/>
      <w:lvlJc w:val="left"/>
      <w:pPr>
        <w:ind w:left="6480" w:hanging="360"/>
      </w:pPr>
      <w:rPr>
        <w:rFonts w:ascii="Wingdings" w:hAnsi="Wingdings" w:hint="default"/>
      </w:rPr>
    </w:lvl>
  </w:abstractNum>
  <w:abstractNum w:abstractNumId="36" w15:restartNumberingAfterBreak="0">
    <w:nsid w:val="44A6E5C3"/>
    <w:multiLevelType w:val="hybridMultilevel"/>
    <w:tmpl w:val="6658AAAE"/>
    <w:lvl w:ilvl="0" w:tplc="5DEEF04A">
      <w:start w:val="1"/>
      <w:numFmt w:val="bullet"/>
      <w:lvlText w:val=""/>
      <w:lvlJc w:val="left"/>
      <w:pPr>
        <w:ind w:left="720" w:hanging="360"/>
      </w:pPr>
      <w:rPr>
        <w:rFonts w:ascii="Symbol" w:hAnsi="Symbol" w:hint="default"/>
      </w:rPr>
    </w:lvl>
    <w:lvl w:ilvl="1" w:tplc="F95CC192">
      <w:start w:val="1"/>
      <w:numFmt w:val="bullet"/>
      <w:lvlText w:val="o"/>
      <w:lvlJc w:val="left"/>
      <w:pPr>
        <w:ind w:left="1440" w:hanging="360"/>
      </w:pPr>
      <w:rPr>
        <w:rFonts w:ascii="Courier New" w:hAnsi="Courier New" w:hint="default"/>
      </w:rPr>
    </w:lvl>
    <w:lvl w:ilvl="2" w:tplc="705268EE">
      <w:start w:val="1"/>
      <w:numFmt w:val="bullet"/>
      <w:lvlText w:val=""/>
      <w:lvlJc w:val="left"/>
      <w:pPr>
        <w:ind w:left="2160" w:hanging="360"/>
      </w:pPr>
      <w:rPr>
        <w:rFonts w:ascii="Wingdings" w:hAnsi="Wingdings" w:hint="default"/>
      </w:rPr>
    </w:lvl>
    <w:lvl w:ilvl="3" w:tplc="E1284F72">
      <w:start w:val="1"/>
      <w:numFmt w:val="bullet"/>
      <w:lvlText w:val=""/>
      <w:lvlJc w:val="left"/>
      <w:pPr>
        <w:ind w:left="2880" w:hanging="360"/>
      </w:pPr>
      <w:rPr>
        <w:rFonts w:ascii="Symbol" w:hAnsi="Symbol" w:hint="default"/>
      </w:rPr>
    </w:lvl>
    <w:lvl w:ilvl="4" w:tplc="42FAC922">
      <w:start w:val="1"/>
      <w:numFmt w:val="bullet"/>
      <w:lvlText w:val="o"/>
      <w:lvlJc w:val="left"/>
      <w:pPr>
        <w:ind w:left="3600" w:hanging="360"/>
      </w:pPr>
      <w:rPr>
        <w:rFonts w:ascii="Courier New" w:hAnsi="Courier New" w:hint="default"/>
      </w:rPr>
    </w:lvl>
    <w:lvl w:ilvl="5" w:tplc="AF389068">
      <w:start w:val="1"/>
      <w:numFmt w:val="bullet"/>
      <w:lvlText w:val=""/>
      <w:lvlJc w:val="left"/>
      <w:pPr>
        <w:ind w:left="4320" w:hanging="360"/>
      </w:pPr>
      <w:rPr>
        <w:rFonts w:ascii="Wingdings" w:hAnsi="Wingdings" w:hint="default"/>
      </w:rPr>
    </w:lvl>
    <w:lvl w:ilvl="6" w:tplc="5CC2E246">
      <w:start w:val="1"/>
      <w:numFmt w:val="bullet"/>
      <w:lvlText w:val=""/>
      <w:lvlJc w:val="left"/>
      <w:pPr>
        <w:ind w:left="5040" w:hanging="360"/>
      </w:pPr>
      <w:rPr>
        <w:rFonts w:ascii="Symbol" w:hAnsi="Symbol" w:hint="default"/>
      </w:rPr>
    </w:lvl>
    <w:lvl w:ilvl="7" w:tplc="4DA06380">
      <w:start w:val="1"/>
      <w:numFmt w:val="bullet"/>
      <w:lvlText w:val="o"/>
      <w:lvlJc w:val="left"/>
      <w:pPr>
        <w:ind w:left="5760" w:hanging="360"/>
      </w:pPr>
      <w:rPr>
        <w:rFonts w:ascii="Courier New" w:hAnsi="Courier New" w:hint="default"/>
      </w:rPr>
    </w:lvl>
    <w:lvl w:ilvl="8" w:tplc="C5B2C28E">
      <w:start w:val="1"/>
      <w:numFmt w:val="bullet"/>
      <w:lvlText w:val=""/>
      <w:lvlJc w:val="left"/>
      <w:pPr>
        <w:ind w:left="6480" w:hanging="360"/>
      </w:pPr>
      <w:rPr>
        <w:rFonts w:ascii="Wingdings" w:hAnsi="Wingdings" w:hint="default"/>
      </w:rPr>
    </w:lvl>
  </w:abstractNum>
  <w:abstractNum w:abstractNumId="37" w15:restartNumberingAfterBreak="0">
    <w:nsid w:val="45FB4692"/>
    <w:multiLevelType w:val="hybridMultilevel"/>
    <w:tmpl w:val="FFFFFFFF"/>
    <w:lvl w:ilvl="0" w:tplc="9A6A73EA">
      <w:start w:val="2"/>
      <w:numFmt w:val="decimal"/>
      <w:lvlText w:val="%1."/>
      <w:lvlJc w:val="left"/>
      <w:pPr>
        <w:ind w:left="720" w:hanging="360"/>
      </w:pPr>
    </w:lvl>
    <w:lvl w:ilvl="1" w:tplc="5536942C">
      <w:start w:val="1"/>
      <w:numFmt w:val="lowerLetter"/>
      <w:lvlText w:val="%2."/>
      <w:lvlJc w:val="left"/>
      <w:pPr>
        <w:ind w:left="1440" w:hanging="360"/>
      </w:pPr>
    </w:lvl>
    <w:lvl w:ilvl="2" w:tplc="C5A614EE">
      <w:start w:val="1"/>
      <w:numFmt w:val="lowerRoman"/>
      <w:lvlText w:val="%3."/>
      <w:lvlJc w:val="right"/>
      <w:pPr>
        <w:ind w:left="2160" w:hanging="180"/>
      </w:pPr>
    </w:lvl>
    <w:lvl w:ilvl="3" w:tplc="6DD27FE4">
      <w:start w:val="1"/>
      <w:numFmt w:val="decimal"/>
      <w:lvlText w:val="%4."/>
      <w:lvlJc w:val="left"/>
      <w:pPr>
        <w:ind w:left="2880" w:hanging="360"/>
      </w:pPr>
    </w:lvl>
    <w:lvl w:ilvl="4" w:tplc="C1F8CF34">
      <w:start w:val="1"/>
      <w:numFmt w:val="lowerLetter"/>
      <w:lvlText w:val="%5."/>
      <w:lvlJc w:val="left"/>
      <w:pPr>
        <w:ind w:left="3600" w:hanging="360"/>
      </w:pPr>
    </w:lvl>
    <w:lvl w:ilvl="5" w:tplc="A8264E08">
      <w:start w:val="1"/>
      <w:numFmt w:val="lowerRoman"/>
      <w:lvlText w:val="%6."/>
      <w:lvlJc w:val="right"/>
      <w:pPr>
        <w:ind w:left="4320" w:hanging="180"/>
      </w:pPr>
    </w:lvl>
    <w:lvl w:ilvl="6" w:tplc="0D6A0F8E">
      <w:start w:val="1"/>
      <w:numFmt w:val="decimal"/>
      <w:lvlText w:val="%7."/>
      <w:lvlJc w:val="left"/>
      <w:pPr>
        <w:ind w:left="5040" w:hanging="360"/>
      </w:pPr>
    </w:lvl>
    <w:lvl w:ilvl="7" w:tplc="17743272">
      <w:start w:val="1"/>
      <w:numFmt w:val="lowerLetter"/>
      <w:lvlText w:val="%8."/>
      <w:lvlJc w:val="left"/>
      <w:pPr>
        <w:ind w:left="5760" w:hanging="360"/>
      </w:pPr>
    </w:lvl>
    <w:lvl w:ilvl="8" w:tplc="BCA6AC16">
      <w:start w:val="1"/>
      <w:numFmt w:val="lowerRoman"/>
      <w:lvlText w:val="%9."/>
      <w:lvlJc w:val="right"/>
      <w:pPr>
        <w:ind w:left="6480" w:hanging="180"/>
      </w:pPr>
    </w:lvl>
  </w:abstractNum>
  <w:abstractNum w:abstractNumId="38" w15:restartNumberingAfterBreak="0">
    <w:nsid w:val="48A43EE5"/>
    <w:multiLevelType w:val="hybridMultilevel"/>
    <w:tmpl w:val="FFFFFFFF"/>
    <w:lvl w:ilvl="0" w:tplc="29A62E00">
      <w:start w:val="1"/>
      <w:numFmt w:val="bullet"/>
      <w:lvlText w:val=""/>
      <w:lvlJc w:val="left"/>
      <w:pPr>
        <w:ind w:left="720" w:hanging="360"/>
      </w:pPr>
      <w:rPr>
        <w:rFonts w:ascii="Symbol" w:hAnsi="Symbol" w:hint="default"/>
      </w:rPr>
    </w:lvl>
    <w:lvl w:ilvl="1" w:tplc="1A50B0DE">
      <w:start w:val="1"/>
      <w:numFmt w:val="bullet"/>
      <w:lvlText w:val="o"/>
      <w:lvlJc w:val="left"/>
      <w:pPr>
        <w:ind w:left="1440" w:hanging="360"/>
      </w:pPr>
      <w:rPr>
        <w:rFonts w:ascii="Courier New" w:hAnsi="Courier New" w:hint="default"/>
      </w:rPr>
    </w:lvl>
    <w:lvl w:ilvl="2" w:tplc="D1543760">
      <w:start w:val="1"/>
      <w:numFmt w:val="bullet"/>
      <w:lvlText w:val=""/>
      <w:lvlJc w:val="left"/>
      <w:pPr>
        <w:ind w:left="2160" w:hanging="360"/>
      </w:pPr>
      <w:rPr>
        <w:rFonts w:ascii="Wingdings" w:hAnsi="Wingdings" w:hint="default"/>
      </w:rPr>
    </w:lvl>
    <w:lvl w:ilvl="3" w:tplc="B7ACCB10">
      <w:start w:val="1"/>
      <w:numFmt w:val="bullet"/>
      <w:lvlText w:val=""/>
      <w:lvlJc w:val="left"/>
      <w:pPr>
        <w:ind w:left="2880" w:hanging="360"/>
      </w:pPr>
      <w:rPr>
        <w:rFonts w:ascii="Symbol" w:hAnsi="Symbol" w:hint="default"/>
      </w:rPr>
    </w:lvl>
    <w:lvl w:ilvl="4" w:tplc="C742C816">
      <w:start w:val="1"/>
      <w:numFmt w:val="bullet"/>
      <w:lvlText w:val="o"/>
      <w:lvlJc w:val="left"/>
      <w:pPr>
        <w:ind w:left="3600" w:hanging="360"/>
      </w:pPr>
      <w:rPr>
        <w:rFonts w:ascii="Courier New" w:hAnsi="Courier New" w:hint="default"/>
      </w:rPr>
    </w:lvl>
    <w:lvl w:ilvl="5" w:tplc="662050D6">
      <w:start w:val="1"/>
      <w:numFmt w:val="bullet"/>
      <w:lvlText w:val=""/>
      <w:lvlJc w:val="left"/>
      <w:pPr>
        <w:ind w:left="4320" w:hanging="360"/>
      </w:pPr>
      <w:rPr>
        <w:rFonts w:ascii="Wingdings" w:hAnsi="Wingdings" w:hint="default"/>
      </w:rPr>
    </w:lvl>
    <w:lvl w:ilvl="6" w:tplc="990E5D14">
      <w:start w:val="1"/>
      <w:numFmt w:val="bullet"/>
      <w:lvlText w:val=""/>
      <w:lvlJc w:val="left"/>
      <w:pPr>
        <w:ind w:left="5040" w:hanging="360"/>
      </w:pPr>
      <w:rPr>
        <w:rFonts w:ascii="Symbol" w:hAnsi="Symbol" w:hint="default"/>
      </w:rPr>
    </w:lvl>
    <w:lvl w:ilvl="7" w:tplc="4BE27526">
      <w:start w:val="1"/>
      <w:numFmt w:val="bullet"/>
      <w:lvlText w:val="o"/>
      <w:lvlJc w:val="left"/>
      <w:pPr>
        <w:ind w:left="5760" w:hanging="360"/>
      </w:pPr>
      <w:rPr>
        <w:rFonts w:ascii="Courier New" w:hAnsi="Courier New" w:hint="default"/>
      </w:rPr>
    </w:lvl>
    <w:lvl w:ilvl="8" w:tplc="CA9C5F98">
      <w:start w:val="1"/>
      <w:numFmt w:val="bullet"/>
      <w:lvlText w:val=""/>
      <w:lvlJc w:val="left"/>
      <w:pPr>
        <w:ind w:left="6480" w:hanging="360"/>
      </w:pPr>
      <w:rPr>
        <w:rFonts w:ascii="Wingdings" w:hAnsi="Wingdings" w:hint="default"/>
      </w:rPr>
    </w:lvl>
  </w:abstractNum>
  <w:abstractNum w:abstractNumId="39" w15:restartNumberingAfterBreak="0">
    <w:nsid w:val="48B93B71"/>
    <w:multiLevelType w:val="hybridMultilevel"/>
    <w:tmpl w:val="DDEC68EE"/>
    <w:lvl w:ilvl="0" w:tplc="E0B4D698">
      <w:start w:val="1"/>
      <w:numFmt w:val="bullet"/>
      <w:lvlText w:val=""/>
      <w:lvlJc w:val="left"/>
      <w:pPr>
        <w:ind w:left="720" w:hanging="360"/>
      </w:pPr>
      <w:rPr>
        <w:rFonts w:ascii="Symbol" w:hAnsi="Symbol" w:hint="default"/>
      </w:rPr>
    </w:lvl>
    <w:lvl w:ilvl="1" w:tplc="1C0ECA12">
      <w:start w:val="1"/>
      <w:numFmt w:val="bullet"/>
      <w:lvlText w:val="o"/>
      <w:lvlJc w:val="left"/>
      <w:pPr>
        <w:ind w:left="1440" w:hanging="360"/>
      </w:pPr>
      <w:rPr>
        <w:rFonts w:ascii="Courier New" w:hAnsi="Courier New" w:hint="default"/>
      </w:rPr>
    </w:lvl>
    <w:lvl w:ilvl="2" w:tplc="C2AA7980">
      <w:start w:val="1"/>
      <w:numFmt w:val="bullet"/>
      <w:lvlText w:val=""/>
      <w:lvlJc w:val="left"/>
      <w:pPr>
        <w:ind w:left="2160" w:hanging="360"/>
      </w:pPr>
      <w:rPr>
        <w:rFonts w:ascii="Wingdings" w:hAnsi="Wingdings" w:hint="default"/>
      </w:rPr>
    </w:lvl>
    <w:lvl w:ilvl="3" w:tplc="7E7023C2">
      <w:start w:val="1"/>
      <w:numFmt w:val="bullet"/>
      <w:lvlText w:val=""/>
      <w:lvlJc w:val="left"/>
      <w:pPr>
        <w:ind w:left="2880" w:hanging="360"/>
      </w:pPr>
      <w:rPr>
        <w:rFonts w:ascii="Symbol" w:hAnsi="Symbol" w:hint="default"/>
      </w:rPr>
    </w:lvl>
    <w:lvl w:ilvl="4" w:tplc="1554B488">
      <w:start w:val="1"/>
      <w:numFmt w:val="bullet"/>
      <w:lvlText w:val="o"/>
      <w:lvlJc w:val="left"/>
      <w:pPr>
        <w:ind w:left="3600" w:hanging="360"/>
      </w:pPr>
      <w:rPr>
        <w:rFonts w:ascii="Courier New" w:hAnsi="Courier New" w:hint="default"/>
      </w:rPr>
    </w:lvl>
    <w:lvl w:ilvl="5" w:tplc="6C660518">
      <w:start w:val="1"/>
      <w:numFmt w:val="bullet"/>
      <w:lvlText w:val=""/>
      <w:lvlJc w:val="left"/>
      <w:pPr>
        <w:ind w:left="4320" w:hanging="360"/>
      </w:pPr>
      <w:rPr>
        <w:rFonts w:ascii="Wingdings" w:hAnsi="Wingdings" w:hint="default"/>
      </w:rPr>
    </w:lvl>
    <w:lvl w:ilvl="6" w:tplc="D4ECEC1C">
      <w:start w:val="1"/>
      <w:numFmt w:val="bullet"/>
      <w:lvlText w:val=""/>
      <w:lvlJc w:val="left"/>
      <w:pPr>
        <w:ind w:left="5040" w:hanging="360"/>
      </w:pPr>
      <w:rPr>
        <w:rFonts w:ascii="Symbol" w:hAnsi="Symbol" w:hint="default"/>
      </w:rPr>
    </w:lvl>
    <w:lvl w:ilvl="7" w:tplc="844E4C0C">
      <w:start w:val="1"/>
      <w:numFmt w:val="bullet"/>
      <w:lvlText w:val="o"/>
      <w:lvlJc w:val="left"/>
      <w:pPr>
        <w:ind w:left="5760" w:hanging="360"/>
      </w:pPr>
      <w:rPr>
        <w:rFonts w:ascii="Courier New" w:hAnsi="Courier New" w:hint="default"/>
      </w:rPr>
    </w:lvl>
    <w:lvl w:ilvl="8" w:tplc="CE40F8CC">
      <w:start w:val="1"/>
      <w:numFmt w:val="bullet"/>
      <w:lvlText w:val=""/>
      <w:lvlJc w:val="left"/>
      <w:pPr>
        <w:ind w:left="6480" w:hanging="360"/>
      </w:pPr>
      <w:rPr>
        <w:rFonts w:ascii="Wingdings" w:hAnsi="Wingdings" w:hint="default"/>
      </w:rPr>
    </w:lvl>
  </w:abstractNum>
  <w:abstractNum w:abstractNumId="40" w15:restartNumberingAfterBreak="0">
    <w:nsid w:val="4AC97424"/>
    <w:multiLevelType w:val="hybridMultilevel"/>
    <w:tmpl w:val="FFFFFFFF"/>
    <w:lvl w:ilvl="0" w:tplc="833AE864">
      <w:start w:val="3"/>
      <w:numFmt w:val="decimal"/>
      <w:lvlText w:val="%1."/>
      <w:lvlJc w:val="left"/>
      <w:pPr>
        <w:ind w:left="720" w:hanging="360"/>
      </w:pPr>
    </w:lvl>
    <w:lvl w:ilvl="1" w:tplc="EB0CDA10">
      <w:start w:val="1"/>
      <w:numFmt w:val="lowerLetter"/>
      <w:lvlText w:val="%2."/>
      <w:lvlJc w:val="left"/>
      <w:pPr>
        <w:ind w:left="1440" w:hanging="360"/>
      </w:pPr>
    </w:lvl>
    <w:lvl w:ilvl="2" w:tplc="1514024A">
      <w:start w:val="1"/>
      <w:numFmt w:val="lowerRoman"/>
      <w:lvlText w:val="%3."/>
      <w:lvlJc w:val="right"/>
      <w:pPr>
        <w:ind w:left="2160" w:hanging="180"/>
      </w:pPr>
    </w:lvl>
    <w:lvl w:ilvl="3" w:tplc="431CE2EA">
      <w:start w:val="1"/>
      <w:numFmt w:val="decimal"/>
      <w:lvlText w:val="%4."/>
      <w:lvlJc w:val="left"/>
      <w:pPr>
        <w:ind w:left="2880" w:hanging="360"/>
      </w:pPr>
    </w:lvl>
    <w:lvl w:ilvl="4" w:tplc="A8266846">
      <w:start w:val="1"/>
      <w:numFmt w:val="lowerLetter"/>
      <w:lvlText w:val="%5."/>
      <w:lvlJc w:val="left"/>
      <w:pPr>
        <w:ind w:left="3600" w:hanging="360"/>
      </w:pPr>
    </w:lvl>
    <w:lvl w:ilvl="5" w:tplc="BE1011A2">
      <w:start w:val="1"/>
      <w:numFmt w:val="lowerRoman"/>
      <w:lvlText w:val="%6."/>
      <w:lvlJc w:val="right"/>
      <w:pPr>
        <w:ind w:left="4320" w:hanging="180"/>
      </w:pPr>
    </w:lvl>
    <w:lvl w:ilvl="6" w:tplc="EEE0C9D0">
      <w:start w:val="1"/>
      <w:numFmt w:val="decimal"/>
      <w:lvlText w:val="%7."/>
      <w:lvlJc w:val="left"/>
      <w:pPr>
        <w:ind w:left="5040" w:hanging="360"/>
      </w:pPr>
    </w:lvl>
    <w:lvl w:ilvl="7" w:tplc="A7E2262A">
      <w:start w:val="1"/>
      <w:numFmt w:val="lowerLetter"/>
      <w:lvlText w:val="%8."/>
      <w:lvlJc w:val="left"/>
      <w:pPr>
        <w:ind w:left="5760" w:hanging="360"/>
      </w:pPr>
    </w:lvl>
    <w:lvl w:ilvl="8" w:tplc="70F0441A">
      <w:start w:val="1"/>
      <w:numFmt w:val="lowerRoman"/>
      <w:lvlText w:val="%9."/>
      <w:lvlJc w:val="right"/>
      <w:pPr>
        <w:ind w:left="6480" w:hanging="180"/>
      </w:pPr>
    </w:lvl>
  </w:abstractNum>
  <w:abstractNum w:abstractNumId="41" w15:restartNumberingAfterBreak="0">
    <w:nsid w:val="4B469671"/>
    <w:multiLevelType w:val="hybridMultilevel"/>
    <w:tmpl w:val="C57E2960"/>
    <w:lvl w:ilvl="0" w:tplc="D2D00E20">
      <w:start w:val="1"/>
      <w:numFmt w:val="bullet"/>
      <w:lvlText w:val=""/>
      <w:lvlJc w:val="left"/>
      <w:pPr>
        <w:ind w:left="720" w:hanging="360"/>
      </w:pPr>
      <w:rPr>
        <w:rFonts w:ascii="Symbol" w:hAnsi="Symbol" w:hint="default"/>
      </w:rPr>
    </w:lvl>
    <w:lvl w:ilvl="1" w:tplc="26482012">
      <w:start w:val="1"/>
      <w:numFmt w:val="bullet"/>
      <w:lvlText w:val="o"/>
      <w:lvlJc w:val="left"/>
      <w:pPr>
        <w:ind w:left="1440" w:hanging="360"/>
      </w:pPr>
      <w:rPr>
        <w:rFonts w:ascii="Courier New" w:hAnsi="Courier New" w:hint="default"/>
      </w:rPr>
    </w:lvl>
    <w:lvl w:ilvl="2" w:tplc="A4E0D694">
      <w:start w:val="1"/>
      <w:numFmt w:val="bullet"/>
      <w:lvlText w:val=""/>
      <w:lvlJc w:val="left"/>
      <w:pPr>
        <w:ind w:left="2160" w:hanging="360"/>
      </w:pPr>
      <w:rPr>
        <w:rFonts w:ascii="Wingdings" w:hAnsi="Wingdings" w:hint="default"/>
      </w:rPr>
    </w:lvl>
    <w:lvl w:ilvl="3" w:tplc="6C66DBFC">
      <w:start w:val="1"/>
      <w:numFmt w:val="bullet"/>
      <w:lvlText w:val=""/>
      <w:lvlJc w:val="left"/>
      <w:pPr>
        <w:ind w:left="2880" w:hanging="360"/>
      </w:pPr>
      <w:rPr>
        <w:rFonts w:ascii="Symbol" w:hAnsi="Symbol" w:hint="default"/>
      </w:rPr>
    </w:lvl>
    <w:lvl w:ilvl="4" w:tplc="FC06FF5A">
      <w:start w:val="1"/>
      <w:numFmt w:val="bullet"/>
      <w:lvlText w:val="o"/>
      <w:lvlJc w:val="left"/>
      <w:pPr>
        <w:ind w:left="3600" w:hanging="360"/>
      </w:pPr>
      <w:rPr>
        <w:rFonts w:ascii="Courier New" w:hAnsi="Courier New" w:hint="default"/>
      </w:rPr>
    </w:lvl>
    <w:lvl w:ilvl="5" w:tplc="CB3086C8">
      <w:start w:val="1"/>
      <w:numFmt w:val="bullet"/>
      <w:lvlText w:val=""/>
      <w:lvlJc w:val="left"/>
      <w:pPr>
        <w:ind w:left="4320" w:hanging="360"/>
      </w:pPr>
      <w:rPr>
        <w:rFonts w:ascii="Wingdings" w:hAnsi="Wingdings" w:hint="default"/>
      </w:rPr>
    </w:lvl>
    <w:lvl w:ilvl="6" w:tplc="0E0C3C58">
      <w:start w:val="1"/>
      <w:numFmt w:val="bullet"/>
      <w:lvlText w:val=""/>
      <w:lvlJc w:val="left"/>
      <w:pPr>
        <w:ind w:left="5040" w:hanging="360"/>
      </w:pPr>
      <w:rPr>
        <w:rFonts w:ascii="Symbol" w:hAnsi="Symbol" w:hint="default"/>
      </w:rPr>
    </w:lvl>
    <w:lvl w:ilvl="7" w:tplc="621A1830">
      <w:start w:val="1"/>
      <w:numFmt w:val="bullet"/>
      <w:lvlText w:val="o"/>
      <w:lvlJc w:val="left"/>
      <w:pPr>
        <w:ind w:left="5760" w:hanging="360"/>
      </w:pPr>
      <w:rPr>
        <w:rFonts w:ascii="Courier New" w:hAnsi="Courier New" w:hint="default"/>
      </w:rPr>
    </w:lvl>
    <w:lvl w:ilvl="8" w:tplc="60B8E0EC">
      <w:start w:val="1"/>
      <w:numFmt w:val="bullet"/>
      <w:lvlText w:val=""/>
      <w:lvlJc w:val="left"/>
      <w:pPr>
        <w:ind w:left="6480" w:hanging="360"/>
      </w:pPr>
      <w:rPr>
        <w:rFonts w:ascii="Wingdings" w:hAnsi="Wingdings" w:hint="default"/>
      </w:rPr>
    </w:lvl>
  </w:abstractNum>
  <w:abstractNum w:abstractNumId="42" w15:restartNumberingAfterBreak="0">
    <w:nsid w:val="4BFB2385"/>
    <w:multiLevelType w:val="hybridMultilevel"/>
    <w:tmpl w:val="42F41F1A"/>
    <w:lvl w:ilvl="0" w:tplc="07F6E2E0">
      <w:start w:val="1"/>
      <w:numFmt w:val="lowerLetter"/>
      <w:lvlText w:val="%1)"/>
      <w:lvlJc w:val="left"/>
      <w:pPr>
        <w:ind w:left="720" w:hanging="360"/>
      </w:pPr>
      <w:rPr>
        <w:rFonts w:ascii="Calibri" w:eastAsia="Calibri"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4A4F28"/>
    <w:multiLevelType w:val="hybridMultilevel"/>
    <w:tmpl w:val="FFFFFFFF"/>
    <w:lvl w:ilvl="0" w:tplc="1DCA0E26">
      <w:start w:val="2"/>
      <w:numFmt w:val="decimal"/>
      <w:lvlText w:val="%1."/>
      <w:lvlJc w:val="left"/>
      <w:pPr>
        <w:ind w:left="720" w:hanging="360"/>
      </w:pPr>
    </w:lvl>
    <w:lvl w:ilvl="1" w:tplc="07F001A0">
      <w:start w:val="1"/>
      <w:numFmt w:val="lowerLetter"/>
      <w:lvlText w:val="%2."/>
      <w:lvlJc w:val="left"/>
      <w:pPr>
        <w:ind w:left="1440" w:hanging="360"/>
      </w:pPr>
    </w:lvl>
    <w:lvl w:ilvl="2" w:tplc="B646297A">
      <w:start w:val="1"/>
      <w:numFmt w:val="lowerRoman"/>
      <w:lvlText w:val="%3."/>
      <w:lvlJc w:val="right"/>
      <w:pPr>
        <w:ind w:left="2160" w:hanging="180"/>
      </w:pPr>
    </w:lvl>
    <w:lvl w:ilvl="3" w:tplc="9D58B7F8">
      <w:start w:val="1"/>
      <w:numFmt w:val="decimal"/>
      <w:lvlText w:val="%4."/>
      <w:lvlJc w:val="left"/>
      <w:pPr>
        <w:ind w:left="2880" w:hanging="360"/>
      </w:pPr>
    </w:lvl>
    <w:lvl w:ilvl="4" w:tplc="5388030E">
      <w:start w:val="1"/>
      <w:numFmt w:val="lowerLetter"/>
      <w:lvlText w:val="%5."/>
      <w:lvlJc w:val="left"/>
      <w:pPr>
        <w:ind w:left="3600" w:hanging="360"/>
      </w:pPr>
    </w:lvl>
    <w:lvl w:ilvl="5" w:tplc="87F082C0">
      <w:start w:val="1"/>
      <w:numFmt w:val="lowerRoman"/>
      <w:lvlText w:val="%6."/>
      <w:lvlJc w:val="right"/>
      <w:pPr>
        <w:ind w:left="4320" w:hanging="180"/>
      </w:pPr>
    </w:lvl>
    <w:lvl w:ilvl="6" w:tplc="96BE67F0">
      <w:start w:val="1"/>
      <w:numFmt w:val="decimal"/>
      <w:lvlText w:val="%7."/>
      <w:lvlJc w:val="left"/>
      <w:pPr>
        <w:ind w:left="5040" w:hanging="360"/>
      </w:pPr>
    </w:lvl>
    <w:lvl w:ilvl="7" w:tplc="D182E3F8">
      <w:start w:val="1"/>
      <w:numFmt w:val="lowerLetter"/>
      <w:lvlText w:val="%8."/>
      <w:lvlJc w:val="left"/>
      <w:pPr>
        <w:ind w:left="5760" w:hanging="360"/>
      </w:pPr>
    </w:lvl>
    <w:lvl w:ilvl="8" w:tplc="659EBBC0">
      <w:start w:val="1"/>
      <w:numFmt w:val="lowerRoman"/>
      <w:lvlText w:val="%9."/>
      <w:lvlJc w:val="right"/>
      <w:pPr>
        <w:ind w:left="6480" w:hanging="180"/>
      </w:pPr>
    </w:lvl>
  </w:abstractNum>
  <w:abstractNum w:abstractNumId="44" w15:restartNumberingAfterBreak="0">
    <w:nsid w:val="4FE28A3C"/>
    <w:multiLevelType w:val="hybridMultilevel"/>
    <w:tmpl w:val="FFFFFFFF"/>
    <w:lvl w:ilvl="0" w:tplc="F17E08C2">
      <w:start w:val="3"/>
      <w:numFmt w:val="decimal"/>
      <w:lvlText w:val="%1."/>
      <w:lvlJc w:val="left"/>
      <w:pPr>
        <w:ind w:left="720" w:hanging="360"/>
      </w:pPr>
    </w:lvl>
    <w:lvl w:ilvl="1" w:tplc="7EA2ACF4">
      <w:start w:val="1"/>
      <w:numFmt w:val="lowerLetter"/>
      <w:lvlText w:val="%2."/>
      <w:lvlJc w:val="left"/>
      <w:pPr>
        <w:ind w:left="1440" w:hanging="360"/>
      </w:pPr>
    </w:lvl>
    <w:lvl w:ilvl="2" w:tplc="A72A8672">
      <w:start w:val="1"/>
      <w:numFmt w:val="lowerRoman"/>
      <w:lvlText w:val="%3."/>
      <w:lvlJc w:val="right"/>
      <w:pPr>
        <w:ind w:left="2160" w:hanging="180"/>
      </w:pPr>
    </w:lvl>
    <w:lvl w:ilvl="3" w:tplc="3DFC48AA">
      <w:start w:val="1"/>
      <w:numFmt w:val="decimal"/>
      <w:lvlText w:val="%4."/>
      <w:lvlJc w:val="left"/>
      <w:pPr>
        <w:ind w:left="2880" w:hanging="360"/>
      </w:pPr>
    </w:lvl>
    <w:lvl w:ilvl="4" w:tplc="2EE8DD5E">
      <w:start w:val="1"/>
      <w:numFmt w:val="lowerLetter"/>
      <w:lvlText w:val="%5."/>
      <w:lvlJc w:val="left"/>
      <w:pPr>
        <w:ind w:left="3600" w:hanging="360"/>
      </w:pPr>
    </w:lvl>
    <w:lvl w:ilvl="5" w:tplc="F9D29232">
      <w:start w:val="1"/>
      <w:numFmt w:val="lowerRoman"/>
      <w:lvlText w:val="%6."/>
      <w:lvlJc w:val="right"/>
      <w:pPr>
        <w:ind w:left="4320" w:hanging="180"/>
      </w:pPr>
    </w:lvl>
    <w:lvl w:ilvl="6" w:tplc="01FEBA3C">
      <w:start w:val="1"/>
      <w:numFmt w:val="decimal"/>
      <w:lvlText w:val="%7."/>
      <w:lvlJc w:val="left"/>
      <w:pPr>
        <w:ind w:left="5040" w:hanging="360"/>
      </w:pPr>
    </w:lvl>
    <w:lvl w:ilvl="7" w:tplc="0E6822AA">
      <w:start w:val="1"/>
      <w:numFmt w:val="lowerLetter"/>
      <w:lvlText w:val="%8."/>
      <w:lvlJc w:val="left"/>
      <w:pPr>
        <w:ind w:left="5760" w:hanging="360"/>
      </w:pPr>
    </w:lvl>
    <w:lvl w:ilvl="8" w:tplc="2F483ED2">
      <w:start w:val="1"/>
      <w:numFmt w:val="lowerRoman"/>
      <w:lvlText w:val="%9."/>
      <w:lvlJc w:val="right"/>
      <w:pPr>
        <w:ind w:left="6480" w:hanging="180"/>
      </w:pPr>
    </w:lvl>
  </w:abstractNum>
  <w:abstractNum w:abstractNumId="45" w15:restartNumberingAfterBreak="0">
    <w:nsid w:val="5397A177"/>
    <w:multiLevelType w:val="hybridMultilevel"/>
    <w:tmpl w:val="85A81F32"/>
    <w:lvl w:ilvl="0" w:tplc="26EEBBA4">
      <w:start w:val="2"/>
      <w:numFmt w:val="decimal"/>
      <w:lvlText w:val="%1."/>
      <w:lvlJc w:val="left"/>
      <w:pPr>
        <w:ind w:left="720" w:hanging="360"/>
      </w:pPr>
    </w:lvl>
    <w:lvl w:ilvl="1" w:tplc="36F60DFA">
      <w:start w:val="1"/>
      <w:numFmt w:val="lowerLetter"/>
      <w:lvlText w:val="%2."/>
      <w:lvlJc w:val="left"/>
      <w:pPr>
        <w:ind w:left="1440" w:hanging="360"/>
      </w:pPr>
    </w:lvl>
    <w:lvl w:ilvl="2" w:tplc="AC62AFBC">
      <w:start w:val="1"/>
      <w:numFmt w:val="lowerRoman"/>
      <w:lvlText w:val="%3."/>
      <w:lvlJc w:val="right"/>
      <w:pPr>
        <w:ind w:left="2160" w:hanging="180"/>
      </w:pPr>
    </w:lvl>
    <w:lvl w:ilvl="3" w:tplc="53D0AED8">
      <w:start w:val="1"/>
      <w:numFmt w:val="decimal"/>
      <w:lvlText w:val="%4."/>
      <w:lvlJc w:val="left"/>
      <w:pPr>
        <w:ind w:left="2880" w:hanging="360"/>
      </w:pPr>
    </w:lvl>
    <w:lvl w:ilvl="4" w:tplc="1568B8D8">
      <w:start w:val="1"/>
      <w:numFmt w:val="lowerLetter"/>
      <w:lvlText w:val="%5."/>
      <w:lvlJc w:val="left"/>
      <w:pPr>
        <w:ind w:left="3600" w:hanging="360"/>
      </w:pPr>
    </w:lvl>
    <w:lvl w:ilvl="5" w:tplc="CA26B5B4">
      <w:start w:val="1"/>
      <w:numFmt w:val="lowerRoman"/>
      <w:lvlText w:val="%6."/>
      <w:lvlJc w:val="right"/>
      <w:pPr>
        <w:ind w:left="4320" w:hanging="180"/>
      </w:pPr>
    </w:lvl>
    <w:lvl w:ilvl="6" w:tplc="6A8AB962">
      <w:start w:val="1"/>
      <w:numFmt w:val="decimal"/>
      <w:lvlText w:val="%7."/>
      <w:lvlJc w:val="left"/>
      <w:pPr>
        <w:ind w:left="5040" w:hanging="360"/>
      </w:pPr>
    </w:lvl>
    <w:lvl w:ilvl="7" w:tplc="83B06544">
      <w:start w:val="1"/>
      <w:numFmt w:val="lowerLetter"/>
      <w:lvlText w:val="%8."/>
      <w:lvlJc w:val="left"/>
      <w:pPr>
        <w:ind w:left="5760" w:hanging="360"/>
      </w:pPr>
    </w:lvl>
    <w:lvl w:ilvl="8" w:tplc="7B5E657C">
      <w:start w:val="1"/>
      <w:numFmt w:val="lowerRoman"/>
      <w:lvlText w:val="%9."/>
      <w:lvlJc w:val="right"/>
      <w:pPr>
        <w:ind w:left="6480" w:hanging="180"/>
      </w:pPr>
    </w:lvl>
  </w:abstractNum>
  <w:abstractNum w:abstractNumId="46" w15:restartNumberingAfterBreak="0">
    <w:nsid w:val="5407775C"/>
    <w:multiLevelType w:val="hybridMultilevel"/>
    <w:tmpl w:val="829AC22A"/>
    <w:lvl w:ilvl="0" w:tplc="382C7158">
      <w:start w:val="1"/>
      <w:numFmt w:val="decimal"/>
      <w:lvlText w:val="%1."/>
      <w:lvlJc w:val="left"/>
      <w:pPr>
        <w:ind w:left="720" w:hanging="360"/>
      </w:pPr>
    </w:lvl>
    <w:lvl w:ilvl="1" w:tplc="C17E91C2">
      <w:start w:val="1"/>
      <w:numFmt w:val="lowerLetter"/>
      <w:lvlText w:val="%2."/>
      <w:lvlJc w:val="left"/>
      <w:pPr>
        <w:ind w:left="1440" w:hanging="360"/>
      </w:pPr>
    </w:lvl>
    <w:lvl w:ilvl="2" w:tplc="40F0C822">
      <w:start w:val="1"/>
      <w:numFmt w:val="lowerRoman"/>
      <w:lvlText w:val="%3."/>
      <w:lvlJc w:val="right"/>
      <w:pPr>
        <w:ind w:left="2160" w:hanging="180"/>
      </w:pPr>
    </w:lvl>
    <w:lvl w:ilvl="3" w:tplc="5F6E6ED0">
      <w:start w:val="1"/>
      <w:numFmt w:val="decimal"/>
      <w:lvlText w:val="%4."/>
      <w:lvlJc w:val="left"/>
      <w:pPr>
        <w:ind w:left="2880" w:hanging="360"/>
      </w:pPr>
    </w:lvl>
    <w:lvl w:ilvl="4" w:tplc="86D06592">
      <w:start w:val="1"/>
      <w:numFmt w:val="lowerLetter"/>
      <w:lvlText w:val="%5."/>
      <w:lvlJc w:val="left"/>
      <w:pPr>
        <w:ind w:left="3600" w:hanging="360"/>
      </w:pPr>
    </w:lvl>
    <w:lvl w:ilvl="5" w:tplc="F238F742">
      <w:start w:val="1"/>
      <w:numFmt w:val="lowerRoman"/>
      <w:lvlText w:val="%6."/>
      <w:lvlJc w:val="right"/>
      <w:pPr>
        <w:ind w:left="4320" w:hanging="180"/>
      </w:pPr>
    </w:lvl>
    <w:lvl w:ilvl="6" w:tplc="60A4EC80">
      <w:start w:val="1"/>
      <w:numFmt w:val="decimal"/>
      <w:lvlText w:val="%7."/>
      <w:lvlJc w:val="left"/>
      <w:pPr>
        <w:ind w:left="5040" w:hanging="360"/>
      </w:pPr>
    </w:lvl>
    <w:lvl w:ilvl="7" w:tplc="A1723D9E">
      <w:start w:val="1"/>
      <w:numFmt w:val="lowerLetter"/>
      <w:lvlText w:val="%8."/>
      <w:lvlJc w:val="left"/>
      <w:pPr>
        <w:ind w:left="5760" w:hanging="360"/>
      </w:pPr>
    </w:lvl>
    <w:lvl w:ilvl="8" w:tplc="452E4A0A">
      <w:start w:val="1"/>
      <w:numFmt w:val="lowerRoman"/>
      <w:lvlText w:val="%9."/>
      <w:lvlJc w:val="right"/>
      <w:pPr>
        <w:ind w:left="6480" w:hanging="180"/>
      </w:pPr>
    </w:lvl>
  </w:abstractNum>
  <w:abstractNum w:abstractNumId="47" w15:restartNumberingAfterBreak="0">
    <w:nsid w:val="54A0BE94"/>
    <w:multiLevelType w:val="hybridMultilevel"/>
    <w:tmpl w:val="7340DC60"/>
    <w:lvl w:ilvl="0" w:tplc="DFEAD946">
      <w:start w:val="1"/>
      <w:numFmt w:val="bullet"/>
      <w:lvlText w:val=""/>
      <w:lvlJc w:val="left"/>
      <w:pPr>
        <w:ind w:left="720" w:hanging="360"/>
      </w:pPr>
      <w:rPr>
        <w:rFonts w:ascii="Symbol" w:hAnsi="Symbol" w:hint="default"/>
      </w:rPr>
    </w:lvl>
    <w:lvl w:ilvl="1" w:tplc="098CB6E8">
      <w:start w:val="1"/>
      <w:numFmt w:val="bullet"/>
      <w:lvlText w:val="o"/>
      <w:lvlJc w:val="left"/>
      <w:pPr>
        <w:ind w:left="1440" w:hanging="360"/>
      </w:pPr>
      <w:rPr>
        <w:rFonts w:ascii="Courier New" w:hAnsi="Courier New" w:hint="default"/>
      </w:rPr>
    </w:lvl>
    <w:lvl w:ilvl="2" w:tplc="907A050E">
      <w:start w:val="1"/>
      <w:numFmt w:val="bullet"/>
      <w:lvlText w:val=""/>
      <w:lvlJc w:val="left"/>
      <w:pPr>
        <w:ind w:left="2160" w:hanging="360"/>
      </w:pPr>
      <w:rPr>
        <w:rFonts w:ascii="Wingdings" w:hAnsi="Wingdings" w:hint="default"/>
      </w:rPr>
    </w:lvl>
    <w:lvl w:ilvl="3" w:tplc="6D943560">
      <w:start w:val="1"/>
      <w:numFmt w:val="bullet"/>
      <w:lvlText w:val=""/>
      <w:lvlJc w:val="left"/>
      <w:pPr>
        <w:ind w:left="2880" w:hanging="360"/>
      </w:pPr>
      <w:rPr>
        <w:rFonts w:ascii="Symbol" w:hAnsi="Symbol" w:hint="default"/>
      </w:rPr>
    </w:lvl>
    <w:lvl w:ilvl="4" w:tplc="273C7906">
      <w:start w:val="1"/>
      <w:numFmt w:val="bullet"/>
      <w:lvlText w:val="o"/>
      <w:lvlJc w:val="left"/>
      <w:pPr>
        <w:ind w:left="3600" w:hanging="360"/>
      </w:pPr>
      <w:rPr>
        <w:rFonts w:ascii="Courier New" w:hAnsi="Courier New" w:hint="default"/>
      </w:rPr>
    </w:lvl>
    <w:lvl w:ilvl="5" w:tplc="7D407612">
      <w:start w:val="1"/>
      <w:numFmt w:val="bullet"/>
      <w:lvlText w:val=""/>
      <w:lvlJc w:val="left"/>
      <w:pPr>
        <w:ind w:left="4320" w:hanging="360"/>
      </w:pPr>
      <w:rPr>
        <w:rFonts w:ascii="Wingdings" w:hAnsi="Wingdings" w:hint="default"/>
      </w:rPr>
    </w:lvl>
    <w:lvl w:ilvl="6" w:tplc="33E4396E">
      <w:start w:val="1"/>
      <w:numFmt w:val="bullet"/>
      <w:lvlText w:val=""/>
      <w:lvlJc w:val="left"/>
      <w:pPr>
        <w:ind w:left="5040" w:hanging="360"/>
      </w:pPr>
      <w:rPr>
        <w:rFonts w:ascii="Symbol" w:hAnsi="Symbol" w:hint="default"/>
      </w:rPr>
    </w:lvl>
    <w:lvl w:ilvl="7" w:tplc="9D9A870A">
      <w:start w:val="1"/>
      <w:numFmt w:val="bullet"/>
      <w:lvlText w:val="o"/>
      <w:lvlJc w:val="left"/>
      <w:pPr>
        <w:ind w:left="5760" w:hanging="360"/>
      </w:pPr>
      <w:rPr>
        <w:rFonts w:ascii="Courier New" w:hAnsi="Courier New" w:hint="default"/>
      </w:rPr>
    </w:lvl>
    <w:lvl w:ilvl="8" w:tplc="2228B8A0">
      <w:start w:val="1"/>
      <w:numFmt w:val="bullet"/>
      <w:lvlText w:val=""/>
      <w:lvlJc w:val="left"/>
      <w:pPr>
        <w:ind w:left="6480" w:hanging="360"/>
      </w:pPr>
      <w:rPr>
        <w:rFonts w:ascii="Wingdings" w:hAnsi="Wingdings" w:hint="default"/>
      </w:rPr>
    </w:lvl>
  </w:abstractNum>
  <w:abstractNum w:abstractNumId="48" w15:restartNumberingAfterBreak="0">
    <w:nsid w:val="5A29C7DB"/>
    <w:multiLevelType w:val="hybridMultilevel"/>
    <w:tmpl w:val="51A6A45C"/>
    <w:lvl w:ilvl="0" w:tplc="F7F2C35C">
      <w:start w:val="1"/>
      <w:numFmt w:val="bullet"/>
      <w:lvlText w:val="·"/>
      <w:lvlJc w:val="left"/>
      <w:pPr>
        <w:ind w:left="720" w:hanging="360"/>
      </w:pPr>
      <w:rPr>
        <w:rFonts w:ascii="Symbol" w:hAnsi="Symbol" w:hint="default"/>
      </w:rPr>
    </w:lvl>
    <w:lvl w:ilvl="1" w:tplc="171C11F2">
      <w:start w:val="1"/>
      <w:numFmt w:val="bullet"/>
      <w:lvlText w:val="o"/>
      <w:lvlJc w:val="left"/>
      <w:pPr>
        <w:ind w:left="1440" w:hanging="360"/>
      </w:pPr>
      <w:rPr>
        <w:rFonts w:ascii="Courier New" w:hAnsi="Courier New" w:hint="default"/>
      </w:rPr>
    </w:lvl>
    <w:lvl w:ilvl="2" w:tplc="F6C6C034">
      <w:start w:val="1"/>
      <w:numFmt w:val="bullet"/>
      <w:lvlText w:val=""/>
      <w:lvlJc w:val="left"/>
      <w:pPr>
        <w:ind w:left="2160" w:hanging="360"/>
      </w:pPr>
      <w:rPr>
        <w:rFonts w:ascii="Wingdings" w:hAnsi="Wingdings" w:hint="default"/>
      </w:rPr>
    </w:lvl>
    <w:lvl w:ilvl="3" w:tplc="FDD81260">
      <w:start w:val="1"/>
      <w:numFmt w:val="bullet"/>
      <w:lvlText w:val=""/>
      <w:lvlJc w:val="left"/>
      <w:pPr>
        <w:ind w:left="2880" w:hanging="360"/>
      </w:pPr>
      <w:rPr>
        <w:rFonts w:ascii="Symbol" w:hAnsi="Symbol" w:hint="default"/>
      </w:rPr>
    </w:lvl>
    <w:lvl w:ilvl="4" w:tplc="6EC28B50">
      <w:start w:val="1"/>
      <w:numFmt w:val="bullet"/>
      <w:lvlText w:val="o"/>
      <w:lvlJc w:val="left"/>
      <w:pPr>
        <w:ind w:left="3600" w:hanging="360"/>
      </w:pPr>
      <w:rPr>
        <w:rFonts w:ascii="Courier New" w:hAnsi="Courier New" w:hint="default"/>
      </w:rPr>
    </w:lvl>
    <w:lvl w:ilvl="5" w:tplc="FD809F76">
      <w:start w:val="1"/>
      <w:numFmt w:val="bullet"/>
      <w:lvlText w:val=""/>
      <w:lvlJc w:val="left"/>
      <w:pPr>
        <w:ind w:left="4320" w:hanging="360"/>
      </w:pPr>
      <w:rPr>
        <w:rFonts w:ascii="Wingdings" w:hAnsi="Wingdings" w:hint="default"/>
      </w:rPr>
    </w:lvl>
    <w:lvl w:ilvl="6" w:tplc="F490E43C">
      <w:start w:val="1"/>
      <w:numFmt w:val="bullet"/>
      <w:lvlText w:val=""/>
      <w:lvlJc w:val="left"/>
      <w:pPr>
        <w:ind w:left="5040" w:hanging="360"/>
      </w:pPr>
      <w:rPr>
        <w:rFonts w:ascii="Symbol" w:hAnsi="Symbol" w:hint="default"/>
      </w:rPr>
    </w:lvl>
    <w:lvl w:ilvl="7" w:tplc="58C847F8">
      <w:start w:val="1"/>
      <w:numFmt w:val="bullet"/>
      <w:lvlText w:val="o"/>
      <w:lvlJc w:val="left"/>
      <w:pPr>
        <w:ind w:left="5760" w:hanging="360"/>
      </w:pPr>
      <w:rPr>
        <w:rFonts w:ascii="Courier New" w:hAnsi="Courier New" w:hint="default"/>
      </w:rPr>
    </w:lvl>
    <w:lvl w:ilvl="8" w:tplc="826041E0">
      <w:start w:val="1"/>
      <w:numFmt w:val="bullet"/>
      <w:lvlText w:val=""/>
      <w:lvlJc w:val="left"/>
      <w:pPr>
        <w:ind w:left="6480" w:hanging="360"/>
      </w:pPr>
      <w:rPr>
        <w:rFonts w:ascii="Wingdings" w:hAnsi="Wingdings" w:hint="default"/>
      </w:rPr>
    </w:lvl>
  </w:abstractNum>
  <w:abstractNum w:abstractNumId="49" w15:restartNumberingAfterBreak="0">
    <w:nsid w:val="5B08B0CA"/>
    <w:multiLevelType w:val="hybridMultilevel"/>
    <w:tmpl w:val="C660E688"/>
    <w:lvl w:ilvl="0" w:tplc="84226F5E">
      <w:start w:val="4"/>
      <w:numFmt w:val="decimal"/>
      <w:lvlText w:val="%1."/>
      <w:lvlJc w:val="left"/>
      <w:pPr>
        <w:ind w:left="720" w:hanging="360"/>
      </w:pPr>
    </w:lvl>
    <w:lvl w:ilvl="1" w:tplc="D6A62A4A">
      <w:start w:val="1"/>
      <w:numFmt w:val="lowerLetter"/>
      <w:lvlText w:val="%2."/>
      <w:lvlJc w:val="left"/>
      <w:pPr>
        <w:ind w:left="1440" w:hanging="360"/>
      </w:pPr>
    </w:lvl>
    <w:lvl w:ilvl="2" w:tplc="CA48E1CE">
      <w:start w:val="1"/>
      <w:numFmt w:val="lowerRoman"/>
      <w:lvlText w:val="%3."/>
      <w:lvlJc w:val="right"/>
      <w:pPr>
        <w:ind w:left="2160" w:hanging="180"/>
      </w:pPr>
    </w:lvl>
    <w:lvl w:ilvl="3" w:tplc="2D2AF424">
      <w:start w:val="1"/>
      <w:numFmt w:val="decimal"/>
      <w:lvlText w:val="%4."/>
      <w:lvlJc w:val="left"/>
      <w:pPr>
        <w:ind w:left="2880" w:hanging="360"/>
      </w:pPr>
    </w:lvl>
    <w:lvl w:ilvl="4" w:tplc="927AD1A4">
      <w:start w:val="1"/>
      <w:numFmt w:val="lowerLetter"/>
      <w:lvlText w:val="%5."/>
      <w:lvlJc w:val="left"/>
      <w:pPr>
        <w:ind w:left="3600" w:hanging="360"/>
      </w:pPr>
    </w:lvl>
    <w:lvl w:ilvl="5" w:tplc="0598F93C">
      <w:start w:val="1"/>
      <w:numFmt w:val="lowerRoman"/>
      <w:lvlText w:val="%6."/>
      <w:lvlJc w:val="right"/>
      <w:pPr>
        <w:ind w:left="4320" w:hanging="180"/>
      </w:pPr>
    </w:lvl>
    <w:lvl w:ilvl="6" w:tplc="2EACC2CA">
      <w:start w:val="1"/>
      <w:numFmt w:val="decimal"/>
      <w:lvlText w:val="%7."/>
      <w:lvlJc w:val="left"/>
      <w:pPr>
        <w:ind w:left="5040" w:hanging="360"/>
      </w:pPr>
    </w:lvl>
    <w:lvl w:ilvl="7" w:tplc="550050A0">
      <w:start w:val="1"/>
      <w:numFmt w:val="lowerLetter"/>
      <w:lvlText w:val="%8."/>
      <w:lvlJc w:val="left"/>
      <w:pPr>
        <w:ind w:left="5760" w:hanging="360"/>
      </w:pPr>
    </w:lvl>
    <w:lvl w:ilvl="8" w:tplc="8730D36C">
      <w:start w:val="1"/>
      <w:numFmt w:val="lowerRoman"/>
      <w:lvlText w:val="%9."/>
      <w:lvlJc w:val="right"/>
      <w:pPr>
        <w:ind w:left="6480" w:hanging="180"/>
      </w:pPr>
    </w:lvl>
  </w:abstractNum>
  <w:abstractNum w:abstractNumId="50" w15:restartNumberingAfterBreak="0">
    <w:nsid w:val="5C4B7F07"/>
    <w:multiLevelType w:val="hybridMultilevel"/>
    <w:tmpl w:val="AC5A9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2C89A3"/>
    <w:multiLevelType w:val="hybridMultilevel"/>
    <w:tmpl w:val="9030239E"/>
    <w:lvl w:ilvl="0" w:tplc="ABE86A16">
      <w:start w:val="1"/>
      <w:numFmt w:val="bullet"/>
      <w:lvlText w:val=""/>
      <w:lvlJc w:val="left"/>
      <w:pPr>
        <w:ind w:left="720" w:hanging="360"/>
      </w:pPr>
      <w:rPr>
        <w:rFonts w:ascii="Symbol" w:hAnsi="Symbol" w:hint="default"/>
      </w:rPr>
    </w:lvl>
    <w:lvl w:ilvl="1" w:tplc="5CAE08D0">
      <w:start w:val="1"/>
      <w:numFmt w:val="bullet"/>
      <w:lvlText w:val="o"/>
      <w:lvlJc w:val="left"/>
      <w:pPr>
        <w:ind w:left="1440" w:hanging="360"/>
      </w:pPr>
      <w:rPr>
        <w:rFonts w:ascii="Courier New" w:hAnsi="Courier New" w:hint="default"/>
      </w:rPr>
    </w:lvl>
    <w:lvl w:ilvl="2" w:tplc="60921690">
      <w:start w:val="1"/>
      <w:numFmt w:val="bullet"/>
      <w:lvlText w:val=""/>
      <w:lvlJc w:val="left"/>
      <w:pPr>
        <w:ind w:left="2160" w:hanging="360"/>
      </w:pPr>
      <w:rPr>
        <w:rFonts w:ascii="Wingdings" w:hAnsi="Wingdings" w:hint="default"/>
      </w:rPr>
    </w:lvl>
    <w:lvl w:ilvl="3" w:tplc="FB404A4C">
      <w:start w:val="1"/>
      <w:numFmt w:val="bullet"/>
      <w:lvlText w:val=""/>
      <w:lvlJc w:val="left"/>
      <w:pPr>
        <w:ind w:left="2880" w:hanging="360"/>
      </w:pPr>
      <w:rPr>
        <w:rFonts w:ascii="Symbol" w:hAnsi="Symbol" w:hint="default"/>
      </w:rPr>
    </w:lvl>
    <w:lvl w:ilvl="4" w:tplc="C346D716">
      <w:start w:val="1"/>
      <w:numFmt w:val="bullet"/>
      <w:lvlText w:val="o"/>
      <w:lvlJc w:val="left"/>
      <w:pPr>
        <w:ind w:left="3600" w:hanging="360"/>
      </w:pPr>
      <w:rPr>
        <w:rFonts w:ascii="Courier New" w:hAnsi="Courier New" w:hint="default"/>
      </w:rPr>
    </w:lvl>
    <w:lvl w:ilvl="5" w:tplc="11FAF342">
      <w:start w:val="1"/>
      <w:numFmt w:val="bullet"/>
      <w:lvlText w:val=""/>
      <w:lvlJc w:val="left"/>
      <w:pPr>
        <w:ind w:left="4320" w:hanging="360"/>
      </w:pPr>
      <w:rPr>
        <w:rFonts w:ascii="Wingdings" w:hAnsi="Wingdings" w:hint="default"/>
      </w:rPr>
    </w:lvl>
    <w:lvl w:ilvl="6" w:tplc="F4EA7BAA">
      <w:start w:val="1"/>
      <w:numFmt w:val="bullet"/>
      <w:lvlText w:val=""/>
      <w:lvlJc w:val="left"/>
      <w:pPr>
        <w:ind w:left="5040" w:hanging="360"/>
      </w:pPr>
      <w:rPr>
        <w:rFonts w:ascii="Symbol" w:hAnsi="Symbol" w:hint="default"/>
      </w:rPr>
    </w:lvl>
    <w:lvl w:ilvl="7" w:tplc="A9C6C0BC">
      <w:start w:val="1"/>
      <w:numFmt w:val="bullet"/>
      <w:lvlText w:val="o"/>
      <w:lvlJc w:val="left"/>
      <w:pPr>
        <w:ind w:left="5760" w:hanging="360"/>
      </w:pPr>
      <w:rPr>
        <w:rFonts w:ascii="Courier New" w:hAnsi="Courier New" w:hint="default"/>
      </w:rPr>
    </w:lvl>
    <w:lvl w:ilvl="8" w:tplc="99C23D4C">
      <w:start w:val="1"/>
      <w:numFmt w:val="bullet"/>
      <w:lvlText w:val=""/>
      <w:lvlJc w:val="left"/>
      <w:pPr>
        <w:ind w:left="6480" w:hanging="360"/>
      </w:pPr>
      <w:rPr>
        <w:rFonts w:ascii="Wingdings" w:hAnsi="Wingdings" w:hint="default"/>
      </w:rPr>
    </w:lvl>
  </w:abstractNum>
  <w:abstractNum w:abstractNumId="52" w15:restartNumberingAfterBreak="0">
    <w:nsid w:val="606B6872"/>
    <w:multiLevelType w:val="hybridMultilevel"/>
    <w:tmpl w:val="5D5038C0"/>
    <w:lvl w:ilvl="0" w:tplc="AAD2AEBC">
      <w:start w:val="1"/>
      <w:numFmt w:val="bullet"/>
      <w:lvlText w:val=""/>
      <w:lvlJc w:val="left"/>
      <w:pPr>
        <w:ind w:left="720" w:hanging="360"/>
      </w:pPr>
      <w:rPr>
        <w:rFonts w:ascii="Symbol" w:hAnsi="Symbol" w:hint="default"/>
      </w:rPr>
    </w:lvl>
    <w:lvl w:ilvl="1" w:tplc="FC8A0356">
      <w:start w:val="1"/>
      <w:numFmt w:val="bullet"/>
      <w:lvlText w:val="o"/>
      <w:lvlJc w:val="left"/>
      <w:pPr>
        <w:ind w:left="1440" w:hanging="360"/>
      </w:pPr>
      <w:rPr>
        <w:rFonts w:ascii="Courier New" w:hAnsi="Courier New" w:hint="default"/>
      </w:rPr>
    </w:lvl>
    <w:lvl w:ilvl="2" w:tplc="399C699A">
      <w:start w:val="1"/>
      <w:numFmt w:val="bullet"/>
      <w:lvlText w:val=""/>
      <w:lvlJc w:val="left"/>
      <w:pPr>
        <w:ind w:left="2160" w:hanging="360"/>
      </w:pPr>
      <w:rPr>
        <w:rFonts w:ascii="Wingdings" w:hAnsi="Wingdings" w:hint="default"/>
      </w:rPr>
    </w:lvl>
    <w:lvl w:ilvl="3" w:tplc="C8227AAC">
      <w:start w:val="1"/>
      <w:numFmt w:val="bullet"/>
      <w:lvlText w:val=""/>
      <w:lvlJc w:val="left"/>
      <w:pPr>
        <w:ind w:left="2880" w:hanging="360"/>
      </w:pPr>
      <w:rPr>
        <w:rFonts w:ascii="Symbol" w:hAnsi="Symbol" w:hint="default"/>
      </w:rPr>
    </w:lvl>
    <w:lvl w:ilvl="4" w:tplc="8744D8D4">
      <w:start w:val="1"/>
      <w:numFmt w:val="bullet"/>
      <w:lvlText w:val="o"/>
      <w:lvlJc w:val="left"/>
      <w:pPr>
        <w:ind w:left="3600" w:hanging="360"/>
      </w:pPr>
      <w:rPr>
        <w:rFonts w:ascii="Courier New" w:hAnsi="Courier New" w:hint="default"/>
      </w:rPr>
    </w:lvl>
    <w:lvl w:ilvl="5" w:tplc="EBE0A896">
      <w:start w:val="1"/>
      <w:numFmt w:val="bullet"/>
      <w:lvlText w:val=""/>
      <w:lvlJc w:val="left"/>
      <w:pPr>
        <w:ind w:left="4320" w:hanging="360"/>
      </w:pPr>
      <w:rPr>
        <w:rFonts w:ascii="Wingdings" w:hAnsi="Wingdings" w:hint="default"/>
      </w:rPr>
    </w:lvl>
    <w:lvl w:ilvl="6" w:tplc="0D164D3C">
      <w:start w:val="1"/>
      <w:numFmt w:val="bullet"/>
      <w:lvlText w:val=""/>
      <w:lvlJc w:val="left"/>
      <w:pPr>
        <w:ind w:left="5040" w:hanging="360"/>
      </w:pPr>
      <w:rPr>
        <w:rFonts w:ascii="Symbol" w:hAnsi="Symbol" w:hint="default"/>
      </w:rPr>
    </w:lvl>
    <w:lvl w:ilvl="7" w:tplc="4518142C">
      <w:start w:val="1"/>
      <w:numFmt w:val="bullet"/>
      <w:lvlText w:val="o"/>
      <w:lvlJc w:val="left"/>
      <w:pPr>
        <w:ind w:left="5760" w:hanging="360"/>
      </w:pPr>
      <w:rPr>
        <w:rFonts w:ascii="Courier New" w:hAnsi="Courier New" w:hint="default"/>
      </w:rPr>
    </w:lvl>
    <w:lvl w:ilvl="8" w:tplc="3A9023F6">
      <w:start w:val="1"/>
      <w:numFmt w:val="bullet"/>
      <w:lvlText w:val=""/>
      <w:lvlJc w:val="left"/>
      <w:pPr>
        <w:ind w:left="6480" w:hanging="360"/>
      </w:pPr>
      <w:rPr>
        <w:rFonts w:ascii="Wingdings" w:hAnsi="Wingdings" w:hint="default"/>
      </w:rPr>
    </w:lvl>
  </w:abstractNum>
  <w:abstractNum w:abstractNumId="53" w15:restartNumberingAfterBreak="0">
    <w:nsid w:val="61FF37F8"/>
    <w:multiLevelType w:val="hybridMultilevel"/>
    <w:tmpl w:val="4B042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70783F"/>
    <w:multiLevelType w:val="hybridMultilevel"/>
    <w:tmpl w:val="FFFFFFFF"/>
    <w:lvl w:ilvl="0" w:tplc="AC34EBD2">
      <w:start w:val="1"/>
      <w:numFmt w:val="lowerLetter"/>
      <w:lvlText w:val="b)"/>
      <w:lvlJc w:val="left"/>
      <w:pPr>
        <w:ind w:left="720" w:hanging="360"/>
      </w:pPr>
    </w:lvl>
    <w:lvl w:ilvl="1" w:tplc="5F60760A">
      <w:start w:val="1"/>
      <w:numFmt w:val="lowerLetter"/>
      <w:lvlText w:val="%2."/>
      <w:lvlJc w:val="left"/>
      <w:pPr>
        <w:ind w:left="1440" w:hanging="360"/>
      </w:pPr>
    </w:lvl>
    <w:lvl w:ilvl="2" w:tplc="B97EBF22">
      <w:start w:val="1"/>
      <w:numFmt w:val="lowerRoman"/>
      <w:lvlText w:val="%3."/>
      <w:lvlJc w:val="right"/>
      <w:pPr>
        <w:ind w:left="2160" w:hanging="180"/>
      </w:pPr>
    </w:lvl>
    <w:lvl w:ilvl="3" w:tplc="F8F67DC2">
      <w:start w:val="1"/>
      <w:numFmt w:val="decimal"/>
      <w:lvlText w:val="%4."/>
      <w:lvlJc w:val="left"/>
      <w:pPr>
        <w:ind w:left="2880" w:hanging="360"/>
      </w:pPr>
    </w:lvl>
    <w:lvl w:ilvl="4" w:tplc="0616C75E">
      <w:start w:val="1"/>
      <w:numFmt w:val="lowerLetter"/>
      <w:lvlText w:val="%5."/>
      <w:lvlJc w:val="left"/>
      <w:pPr>
        <w:ind w:left="3600" w:hanging="360"/>
      </w:pPr>
    </w:lvl>
    <w:lvl w:ilvl="5" w:tplc="E3CCC770">
      <w:start w:val="1"/>
      <w:numFmt w:val="lowerRoman"/>
      <w:lvlText w:val="%6."/>
      <w:lvlJc w:val="right"/>
      <w:pPr>
        <w:ind w:left="4320" w:hanging="180"/>
      </w:pPr>
    </w:lvl>
    <w:lvl w:ilvl="6" w:tplc="9D1A9C1C">
      <w:start w:val="1"/>
      <w:numFmt w:val="decimal"/>
      <w:lvlText w:val="%7."/>
      <w:lvlJc w:val="left"/>
      <w:pPr>
        <w:ind w:left="5040" w:hanging="360"/>
      </w:pPr>
    </w:lvl>
    <w:lvl w:ilvl="7" w:tplc="80604CA8">
      <w:start w:val="1"/>
      <w:numFmt w:val="lowerLetter"/>
      <w:lvlText w:val="%8."/>
      <w:lvlJc w:val="left"/>
      <w:pPr>
        <w:ind w:left="5760" w:hanging="360"/>
      </w:pPr>
    </w:lvl>
    <w:lvl w:ilvl="8" w:tplc="53C0792C">
      <w:start w:val="1"/>
      <w:numFmt w:val="lowerRoman"/>
      <w:lvlText w:val="%9."/>
      <w:lvlJc w:val="right"/>
      <w:pPr>
        <w:ind w:left="6480" w:hanging="180"/>
      </w:pPr>
    </w:lvl>
  </w:abstractNum>
  <w:abstractNum w:abstractNumId="55" w15:restartNumberingAfterBreak="0">
    <w:nsid w:val="62750CC5"/>
    <w:multiLevelType w:val="hybridMultilevel"/>
    <w:tmpl w:val="B20A9EB6"/>
    <w:lvl w:ilvl="0" w:tplc="1556C138">
      <w:start w:val="1"/>
      <w:numFmt w:val="bullet"/>
      <w:lvlText w:val=""/>
      <w:lvlJc w:val="left"/>
      <w:pPr>
        <w:ind w:left="720" w:hanging="360"/>
      </w:pPr>
      <w:rPr>
        <w:rFonts w:ascii="Symbol" w:hAnsi="Symbol" w:hint="default"/>
      </w:rPr>
    </w:lvl>
    <w:lvl w:ilvl="1" w:tplc="18F0F23C">
      <w:start w:val="1"/>
      <w:numFmt w:val="bullet"/>
      <w:lvlText w:val="o"/>
      <w:lvlJc w:val="left"/>
      <w:pPr>
        <w:ind w:left="1440" w:hanging="360"/>
      </w:pPr>
      <w:rPr>
        <w:rFonts w:ascii="Courier New" w:hAnsi="Courier New" w:hint="default"/>
      </w:rPr>
    </w:lvl>
    <w:lvl w:ilvl="2" w:tplc="877620FC">
      <w:start w:val="1"/>
      <w:numFmt w:val="bullet"/>
      <w:lvlText w:val=""/>
      <w:lvlJc w:val="left"/>
      <w:pPr>
        <w:ind w:left="2160" w:hanging="360"/>
      </w:pPr>
      <w:rPr>
        <w:rFonts w:ascii="Wingdings" w:hAnsi="Wingdings" w:hint="default"/>
      </w:rPr>
    </w:lvl>
    <w:lvl w:ilvl="3" w:tplc="B5669414">
      <w:start w:val="1"/>
      <w:numFmt w:val="bullet"/>
      <w:lvlText w:val=""/>
      <w:lvlJc w:val="left"/>
      <w:pPr>
        <w:ind w:left="2880" w:hanging="360"/>
      </w:pPr>
      <w:rPr>
        <w:rFonts w:ascii="Symbol" w:hAnsi="Symbol" w:hint="default"/>
      </w:rPr>
    </w:lvl>
    <w:lvl w:ilvl="4" w:tplc="2884B8B8">
      <w:start w:val="1"/>
      <w:numFmt w:val="bullet"/>
      <w:lvlText w:val="o"/>
      <w:lvlJc w:val="left"/>
      <w:pPr>
        <w:ind w:left="3600" w:hanging="360"/>
      </w:pPr>
      <w:rPr>
        <w:rFonts w:ascii="Courier New" w:hAnsi="Courier New" w:hint="default"/>
      </w:rPr>
    </w:lvl>
    <w:lvl w:ilvl="5" w:tplc="11705258">
      <w:start w:val="1"/>
      <w:numFmt w:val="bullet"/>
      <w:lvlText w:val=""/>
      <w:lvlJc w:val="left"/>
      <w:pPr>
        <w:ind w:left="4320" w:hanging="360"/>
      </w:pPr>
      <w:rPr>
        <w:rFonts w:ascii="Wingdings" w:hAnsi="Wingdings" w:hint="default"/>
      </w:rPr>
    </w:lvl>
    <w:lvl w:ilvl="6" w:tplc="91085AA6">
      <w:start w:val="1"/>
      <w:numFmt w:val="bullet"/>
      <w:lvlText w:val=""/>
      <w:lvlJc w:val="left"/>
      <w:pPr>
        <w:ind w:left="5040" w:hanging="360"/>
      </w:pPr>
      <w:rPr>
        <w:rFonts w:ascii="Symbol" w:hAnsi="Symbol" w:hint="default"/>
      </w:rPr>
    </w:lvl>
    <w:lvl w:ilvl="7" w:tplc="F7A41AB0">
      <w:start w:val="1"/>
      <w:numFmt w:val="bullet"/>
      <w:lvlText w:val="o"/>
      <w:lvlJc w:val="left"/>
      <w:pPr>
        <w:ind w:left="5760" w:hanging="360"/>
      </w:pPr>
      <w:rPr>
        <w:rFonts w:ascii="Courier New" w:hAnsi="Courier New" w:hint="default"/>
      </w:rPr>
    </w:lvl>
    <w:lvl w:ilvl="8" w:tplc="2E108570">
      <w:start w:val="1"/>
      <w:numFmt w:val="bullet"/>
      <w:lvlText w:val=""/>
      <w:lvlJc w:val="left"/>
      <w:pPr>
        <w:ind w:left="6480" w:hanging="360"/>
      </w:pPr>
      <w:rPr>
        <w:rFonts w:ascii="Wingdings" w:hAnsi="Wingdings" w:hint="default"/>
      </w:rPr>
    </w:lvl>
  </w:abstractNum>
  <w:abstractNum w:abstractNumId="56" w15:restartNumberingAfterBreak="0">
    <w:nsid w:val="6312797F"/>
    <w:multiLevelType w:val="hybridMultilevel"/>
    <w:tmpl w:val="D4DA43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7E0AD2"/>
    <w:multiLevelType w:val="hybridMultilevel"/>
    <w:tmpl w:val="BA4CA33E"/>
    <w:lvl w:ilvl="0" w:tplc="0A12A01A">
      <w:start w:val="1"/>
      <w:numFmt w:val="bullet"/>
      <w:lvlText w:val=""/>
      <w:lvlJc w:val="left"/>
      <w:pPr>
        <w:ind w:left="720" w:hanging="360"/>
      </w:pPr>
      <w:rPr>
        <w:rFonts w:ascii="Symbol" w:hAnsi="Symbol" w:hint="default"/>
      </w:rPr>
    </w:lvl>
    <w:lvl w:ilvl="1" w:tplc="B47A5BE2">
      <w:start w:val="1"/>
      <w:numFmt w:val="bullet"/>
      <w:lvlText w:val="o"/>
      <w:lvlJc w:val="left"/>
      <w:pPr>
        <w:ind w:left="1440" w:hanging="360"/>
      </w:pPr>
      <w:rPr>
        <w:rFonts w:ascii="Courier New" w:hAnsi="Courier New" w:hint="default"/>
      </w:rPr>
    </w:lvl>
    <w:lvl w:ilvl="2" w:tplc="626AF702">
      <w:start w:val="1"/>
      <w:numFmt w:val="bullet"/>
      <w:lvlText w:val=""/>
      <w:lvlJc w:val="left"/>
      <w:pPr>
        <w:ind w:left="2160" w:hanging="360"/>
      </w:pPr>
      <w:rPr>
        <w:rFonts w:ascii="Wingdings" w:hAnsi="Wingdings" w:hint="default"/>
      </w:rPr>
    </w:lvl>
    <w:lvl w:ilvl="3" w:tplc="AAD68268">
      <w:start w:val="1"/>
      <w:numFmt w:val="bullet"/>
      <w:lvlText w:val=""/>
      <w:lvlJc w:val="left"/>
      <w:pPr>
        <w:ind w:left="2880" w:hanging="360"/>
      </w:pPr>
      <w:rPr>
        <w:rFonts w:ascii="Symbol" w:hAnsi="Symbol" w:hint="default"/>
      </w:rPr>
    </w:lvl>
    <w:lvl w:ilvl="4" w:tplc="62F02418">
      <w:start w:val="1"/>
      <w:numFmt w:val="bullet"/>
      <w:lvlText w:val="o"/>
      <w:lvlJc w:val="left"/>
      <w:pPr>
        <w:ind w:left="3600" w:hanging="360"/>
      </w:pPr>
      <w:rPr>
        <w:rFonts w:ascii="Courier New" w:hAnsi="Courier New" w:hint="default"/>
      </w:rPr>
    </w:lvl>
    <w:lvl w:ilvl="5" w:tplc="34E6C4E8">
      <w:start w:val="1"/>
      <w:numFmt w:val="bullet"/>
      <w:lvlText w:val=""/>
      <w:lvlJc w:val="left"/>
      <w:pPr>
        <w:ind w:left="4320" w:hanging="360"/>
      </w:pPr>
      <w:rPr>
        <w:rFonts w:ascii="Wingdings" w:hAnsi="Wingdings" w:hint="default"/>
      </w:rPr>
    </w:lvl>
    <w:lvl w:ilvl="6" w:tplc="6A14DD00">
      <w:start w:val="1"/>
      <w:numFmt w:val="bullet"/>
      <w:lvlText w:val=""/>
      <w:lvlJc w:val="left"/>
      <w:pPr>
        <w:ind w:left="5040" w:hanging="360"/>
      </w:pPr>
      <w:rPr>
        <w:rFonts w:ascii="Symbol" w:hAnsi="Symbol" w:hint="default"/>
      </w:rPr>
    </w:lvl>
    <w:lvl w:ilvl="7" w:tplc="0A084D9A">
      <w:start w:val="1"/>
      <w:numFmt w:val="bullet"/>
      <w:lvlText w:val="o"/>
      <w:lvlJc w:val="left"/>
      <w:pPr>
        <w:ind w:left="5760" w:hanging="360"/>
      </w:pPr>
      <w:rPr>
        <w:rFonts w:ascii="Courier New" w:hAnsi="Courier New" w:hint="default"/>
      </w:rPr>
    </w:lvl>
    <w:lvl w:ilvl="8" w:tplc="85686884">
      <w:start w:val="1"/>
      <w:numFmt w:val="bullet"/>
      <w:lvlText w:val=""/>
      <w:lvlJc w:val="left"/>
      <w:pPr>
        <w:ind w:left="6480" w:hanging="360"/>
      </w:pPr>
      <w:rPr>
        <w:rFonts w:ascii="Wingdings" w:hAnsi="Wingdings" w:hint="default"/>
      </w:rPr>
    </w:lvl>
  </w:abstractNum>
  <w:abstractNum w:abstractNumId="58" w15:restartNumberingAfterBreak="0">
    <w:nsid w:val="6541DC24"/>
    <w:multiLevelType w:val="hybridMultilevel"/>
    <w:tmpl w:val="FFFFFFFF"/>
    <w:lvl w:ilvl="0" w:tplc="13E81B40">
      <w:start w:val="1"/>
      <w:numFmt w:val="bullet"/>
      <w:lvlText w:val=""/>
      <w:lvlJc w:val="left"/>
      <w:pPr>
        <w:ind w:left="720" w:hanging="360"/>
      </w:pPr>
      <w:rPr>
        <w:rFonts w:ascii="Symbol" w:hAnsi="Symbol" w:hint="default"/>
      </w:rPr>
    </w:lvl>
    <w:lvl w:ilvl="1" w:tplc="E752E5F0">
      <w:start w:val="1"/>
      <w:numFmt w:val="bullet"/>
      <w:lvlText w:val="o"/>
      <w:lvlJc w:val="left"/>
      <w:pPr>
        <w:ind w:left="1440" w:hanging="360"/>
      </w:pPr>
      <w:rPr>
        <w:rFonts w:ascii="Courier New" w:hAnsi="Courier New" w:hint="default"/>
      </w:rPr>
    </w:lvl>
    <w:lvl w:ilvl="2" w:tplc="CD0AA730">
      <w:start w:val="1"/>
      <w:numFmt w:val="bullet"/>
      <w:lvlText w:val=""/>
      <w:lvlJc w:val="left"/>
      <w:pPr>
        <w:ind w:left="2160" w:hanging="360"/>
      </w:pPr>
      <w:rPr>
        <w:rFonts w:ascii="Wingdings" w:hAnsi="Wingdings" w:hint="default"/>
      </w:rPr>
    </w:lvl>
    <w:lvl w:ilvl="3" w:tplc="6E202A1C">
      <w:start w:val="1"/>
      <w:numFmt w:val="bullet"/>
      <w:lvlText w:val=""/>
      <w:lvlJc w:val="left"/>
      <w:pPr>
        <w:ind w:left="2880" w:hanging="360"/>
      </w:pPr>
      <w:rPr>
        <w:rFonts w:ascii="Symbol" w:hAnsi="Symbol" w:hint="default"/>
      </w:rPr>
    </w:lvl>
    <w:lvl w:ilvl="4" w:tplc="E4AC4BBC">
      <w:start w:val="1"/>
      <w:numFmt w:val="bullet"/>
      <w:lvlText w:val="o"/>
      <w:lvlJc w:val="left"/>
      <w:pPr>
        <w:ind w:left="3600" w:hanging="360"/>
      </w:pPr>
      <w:rPr>
        <w:rFonts w:ascii="Courier New" w:hAnsi="Courier New" w:hint="default"/>
      </w:rPr>
    </w:lvl>
    <w:lvl w:ilvl="5" w:tplc="E6A2665A">
      <w:start w:val="1"/>
      <w:numFmt w:val="bullet"/>
      <w:lvlText w:val=""/>
      <w:lvlJc w:val="left"/>
      <w:pPr>
        <w:ind w:left="4320" w:hanging="360"/>
      </w:pPr>
      <w:rPr>
        <w:rFonts w:ascii="Wingdings" w:hAnsi="Wingdings" w:hint="default"/>
      </w:rPr>
    </w:lvl>
    <w:lvl w:ilvl="6" w:tplc="23783D00">
      <w:start w:val="1"/>
      <w:numFmt w:val="bullet"/>
      <w:lvlText w:val=""/>
      <w:lvlJc w:val="left"/>
      <w:pPr>
        <w:ind w:left="5040" w:hanging="360"/>
      </w:pPr>
      <w:rPr>
        <w:rFonts w:ascii="Symbol" w:hAnsi="Symbol" w:hint="default"/>
      </w:rPr>
    </w:lvl>
    <w:lvl w:ilvl="7" w:tplc="909E8C5E">
      <w:start w:val="1"/>
      <w:numFmt w:val="bullet"/>
      <w:lvlText w:val="o"/>
      <w:lvlJc w:val="left"/>
      <w:pPr>
        <w:ind w:left="5760" w:hanging="360"/>
      </w:pPr>
      <w:rPr>
        <w:rFonts w:ascii="Courier New" w:hAnsi="Courier New" w:hint="default"/>
      </w:rPr>
    </w:lvl>
    <w:lvl w:ilvl="8" w:tplc="888E28CA">
      <w:start w:val="1"/>
      <w:numFmt w:val="bullet"/>
      <w:lvlText w:val=""/>
      <w:lvlJc w:val="left"/>
      <w:pPr>
        <w:ind w:left="6480" w:hanging="360"/>
      </w:pPr>
      <w:rPr>
        <w:rFonts w:ascii="Wingdings" w:hAnsi="Wingdings" w:hint="default"/>
      </w:rPr>
    </w:lvl>
  </w:abstractNum>
  <w:abstractNum w:abstractNumId="59" w15:restartNumberingAfterBreak="0">
    <w:nsid w:val="657FB3D6"/>
    <w:multiLevelType w:val="hybridMultilevel"/>
    <w:tmpl w:val="CC161C0A"/>
    <w:lvl w:ilvl="0" w:tplc="31367532">
      <w:start w:val="3"/>
      <w:numFmt w:val="decimal"/>
      <w:lvlText w:val="%1."/>
      <w:lvlJc w:val="left"/>
      <w:pPr>
        <w:ind w:left="720" w:hanging="360"/>
      </w:pPr>
    </w:lvl>
    <w:lvl w:ilvl="1" w:tplc="973C8470">
      <w:start w:val="1"/>
      <w:numFmt w:val="lowerLetter"/>
      <w:lvlText w:val="%2."/>
      <w:lvlJc w:val="left"/>
      <w:pPr>
        <w:ind w:left="1440" w:hanging="360"/>
      </w:pPr>
    </w:lvl>
    <w:lvl w:ilvl="2" w:tplc="3E8AB1E6">
      <w:start w:val="1"/>
      <w:numFmt w:val="lowerRoman"/>
      <w:lvlText w:val="%3."/>
      <w:lvlJc w:val="right"/>
      <w:pPr>
        <w:ind w:left="2160" w:hanging="180"/>
      </w:pPr>
    </w:lvl>
    <w:lvl w:ilvl="3" w:tplc="6DBC3C26">
      <w:start w:val="1"/>
      <w:numFmt w:val="decimal"/>
      <w:lvlText w:val="%4."/>
      <w:lvlJc w:val="left"/>
      <w:pPr>
        <w:ind w:left="2880" w:hanging="360"/>
      </w:pPr>
    </w:lvl>
    <w:lvl w:ilvl="4" w:tplc="ED126D3E">
      <w:start w:val="1"/>
      <w:numFmt w:val="lowerLetter"/>
      <w:lvlText w:val="%5."/>
      <w:lvlJc w:val="left"/>
      <w:pPr>
        <w:ind w:left="3600" w:hanging="360"/>
      </w:pPr>
    </w:lvl>
    <w:lvl w:ilvl="5" w:tplc="800006C2">
      <w:start w:val="1"/>
      <w:numFmt w:val="lowerRoman"/>
      <w:lvlText w:val="%6."/>
      <w:lvlJc w:val="right"/>
      <w:pPr>
        <w:ind w:left="4320" w:hanging="180"/>
      </w:pPr>
    </w:lvl>
    <w:lvl w:ilvl="6" w:tplc="91DE96DA">
      <w:start w:val="1"/>
      <w:numFmt w:val="decimal"/>
      <w:lvlText w:val="%7."/>
      <w:lvlJc w:val="left"/>
      <w:pPr>
        <w:ind w:left="5040" w:hanging="360"/>
      </w:pPr>
    </w:lvl>
    <w:lvl w:ilvl="7" w:tplc="A9162FDC">
      <w:start w:val="1"/>
      <w:numFmt w:val="lowerLetter"/>
      <w:lvlText w:val="%8."/>
      <w:lvlJc w:val="left"/>
      <w:pPr>
        <w:ind w:left="5760" w:hanging="360"/>
      </w:pPr>
    </w:lvl>
    <w:lvl w:ilvl="8" w:tplc="638EC484">
      <w:start w:val="1"/>
      <w:numFmt w:val="lowerRoman"/>
      <w:lvlText w:val="%9."/>
      <w:lvlJc w:val="right"/>
      <w:pPr>
        <w:ind w:left="6480" w:hanging="180"/>
      </w:pPr>
    </w:lvl>
  </w:abstractNum>
  <w:abstractNum w:abstractNumId="60" w15:restartNumberingAfterBreak="0">
    <w:nsid w:val="65D1F2EC"/>
    <w:multiLevelType w:val="hybridMultilevel"/>
    <w:tmpl w:val="FB3E2DD0"/>
    <w:lvl w:ilvl="0" w:tplc="12102F2C">
      <w:start w:val="1"/>
      <w:numFmt w:val="bullet"/>
      <w:lvlText w:val=""/>
      <w:lvlJc w:val="left"/>
      <w:pPr>
        <w:ind w:left="720" w:hanging="360"/>
      </w:pPr>
      <w:rPr>
        <w:rFonts w:ascii="Symbol" w:hAnsi="Symbol" w:hint="default"/>
      </w:rPr>
    </w:lvl>
    <w:lvl w:ilvl="1" w:tplc="29947342">
      <w:start w:val="1"/>
      <w:numFmt w:val="bullet"/>
      <w:lvlText w:val="o"/>
      <w:lvlJc w:val="left"/>
      <w:pPr>
        <w:ind w:left="1440" w:hanging="360"/>
      </w:pPr>
      <w:rPr>
        <w:rFonts w:ascii="Courier New" w:hAnsi="Courier New" w:hint="default"/>
      </w:rPr>
    </w:lvl>
    <w:lvl w:ilvl="2" w:tplc="3932B65C">
      <w:start w:val="1"/>
      <w:numFmt w:val="bullet"/>
      <w:lvlText w:val=""/>
      <w:lvlJc w:val="left"/>
      <w:pPr>
        <w:ind w:left="2160" w:hanging="360"/>
      </w:pPr>
      <w:rPr>
        <w:rFonts w:ascii="Wingdings" w:hAnsi="Wingdings" w:hint="default"/>
      </w:rPr>
    </w:lvl>
    <w:lvl w:ilvl="3" w:tplc="7402ED70">
      <w:start w:val="1"/>
      <w:numFmt w:val="bullet"/>
      <w:lvlText w:val=""/>
      <w:lvlJc w:val="left"/>
      <w:pPr>
        <w:ind w:left="2880" w:hanging="360"/>
      </w:pPr>
      <w:rPr>
        <w:rFonts w:ascii="Symbol" w:hAnsi="Symbol" w:hint="default"/>
      </w:rPr>
    </w:lvl>
    <w:lvl w:ilvl="4" w:tplc="9E84BD26">
      <w:start w:val="1"/>
      <w:numFmt w:val="bullet"/>
      <w:lvlText w:val="o"/>
      <w:lvlJc w:val="left"/>
      <w:pPr>
        <w:ind w:left="3600" w:hanging="360"/>
      </w:pPr>
      <w:rPr>
        <w:rFonts w:ascii="Courier New" w:hAnsi="Courier New" w:hint="default"/>
      </w:rPr>
    </w:lvl>
    <w:lvl w:ilvl="5" w:tplc="E2F68E9E">
      <w:start w:val="1"/>
      <w:numFmt w:val="bullet"/>
      <w:lvlText w:val=""/>
      <w:lvlJc w:val="left"/>
      <w:pPr>
        <w:ind w:left="4320" w:hanging="360"/>
      </w:pPr>
      <w:rPr>
        <w:rFonts w:ascii="Wingdings" w:hAnsi="Wingdings" w:hint="default"/>
      </w:rPr>
    </w:lvl>
    <w:lvl w:ilvl="6" w:tplc="AD2C0310">
      <w:start w:val="1"/>
      <w:numFmt w:val="bullet"/>
      <w:lvlText w:val=""/>
      <w:lvlJc w:val="left"/>
      <w:pPr>
        <w:ind w:left="5040" w:hanging="360"/>
      </w:pPr>
      <w:rPr>
        <w:rFonts w:ascii="Symbol" w:hAnsi="Symbol" w:hint="default"/>
      </w:rPr>
    </w:lvl>
    <w:lvl w:ilvl="7" w:tplc="F11A2AA8">
      <w:start w:val="1"/>
      <w:numFmt w:val="bullet"/>
      <w:lvlText w:val="o"/>
      <w:lvlJc w:val="left"/>
      <w:pPr>
        <w:ind w:left="5760" w:hanging="360"/>
      </w:pPr>
      <w:rPr>
        <w:rFonts w:ascii="Courier New" w:hAnsi="Courier New" w:hint="default"/>
      </w:rPr>
    </w:lvl>
    <w:lvl w:ilvl="8" w:tplc="CC80EDA2">
      <w:start w:val="1"/>
      <w:numFmt w:val="bullet"/>
      <w:lvlText w:val=""/>
      <w:lvlJc w:val="left"/>
      <w:pPr>
        <w:ind w:left="6480" w:hanging="360"/>
      </w:pPr>
      <w:rPr>
        <w:rFonts w:ascii="Wingdings" w:hAnsi="Wingdings" w:hint="default"/>
      </w:rPr>
    </w:lvl>
  </w:abstractNum>
  <w:abstractNum w:abstractNumId="61" w15:restartNumberingAfterBreak="0">
    <w:nsid w:val="6A172B8F"/>
    <w:multiLevelType w:val="hybridMultilevel"/>
    <w:tmpl w:val="FFFFFFFF"/>
    <w:lvl w:ilvl="0" w:tplc="1630709E">
      <w:start w:val="1"/>
      <w:numFmt w:val="bullet"/>
      <w:lvlText w:val=""/>
      <w:lvlJc w:val="left"/>
      <w:pPr>
        <w:ind w:left="720" w:hanging="360"/>
      </w:pPr>
      <w:rPr>
        <w:rFonts w:ascii="Symbol" w:hAnsi="Symbol" w:hint="default"/>
      </w:rPr>
    </w:lvl>
    <w:lvl w:ilvl="1" w:tplc="C85C214C">
      <w:start w:val="1"/>
      <w:numFmt w:val="bullet"/>
      <w:lvlText w:val="o"/>
      <w:lvlJc w:val="left"/>
      <w:pPr>
        <w:ind w:left="1440" w:hanging="360"/>
      </w:pPr>
      <w:rPr>
        <w:rFonts w:ascii="Courier New" w:hAnsi="Courier New" w:hint="default"/>
      </w:rPr>
    </w:lvl>
    <w:lvl w:ilvl="2" w:tplc="C012F2EE">
      <w:start w:val="1"/>
      <w:numFmt w:val="bullet"/>
      <w:lvlText w:val=""/>
      <w:lvlJc w:val="left"/>
      <w:pPr>
        <w:ind w:left="2160" w:hanging="360"/>
      </w:pPr>
      <w:rPr>
        <w:rFonts w:ascii="Wingdings" w:hAnsi="Wingdings" w:hint="default"/>
      </w:rPr>
    </w:lvl>
    <w:lvl w:ilvl="3" w:tplc="19007038">
      <w:start w:val="1"/>
      <w:numFmt w:val="bullet"/>
      <w:lvlText w:val=""/>
      <w:lvlJc w:val="left"/>
      <w:pPr>
        <w:ind w:left="2880" w:hanging="360"/>
      </w:pPr>
      <w:rPr>
        <w:rFonts w:ascii="Symbol" w:hAnsi="Symbol" w:hint="default"/>
      </w:rPr>
    </w:lvl>
    <w:lvl w:ilvl="4" w:tplc="99DADF9A">
      <w:start w:val="1"/>
      <w:numFmt w:val="bullet"/>
      <w:lvlText w:val="o"/>
      <w:lvlJc w:val="left"/>
      <w:pPr>
        <w:ind w:left="3600" w:hanging="360"/>
      </w:pPr>
      <w:rPr>
        <w:rFonts w:ascii="Courier New" w:hAnsi="Courier New" w:hint="default"/>
      </w:rPr>
    </w:lvl>
    <w:lvl w:ilvl="5" w:tplc="C7FA7700">
      <w:start w:val="1"/>
      <w:numFmt w:val="bullet"/>
      <w:lvlText w:val=""/>
      <w:lvlJc w:val="left"/>
      <w:pPr>
        <w:ind w:left="4320" w:hanging="360"/>
      </w:pPr>
      <w:rPr>
        <w:rFonts w:ascii="Wingdings" w:hAnsi="Wingdings" w:hint="default"/>
      </w:rPr>
    </w:lvl>
    <w:lvl w:ilvl="6" w:tplc="D81C53CA">
      <w:start w:val="1"/>
      <w:numFmt w:val="bullet"/>
      <w:lvlText w:val=""/>
      <w:lvlJc w:val="left"/>
      <w:pPr>
        <w:ind w:left="5040" w:hanging="360"/>
      </w:pPr>
      <w:rPr>
        <w:rFonts w:ascii="Symbol" w:hAnsi="Symbol" w:hint="default"/>
      </w:rPr>
    </w:lvl>
    <w:lvl w:ilvl="7" w:tplc="D3A85242">
      <w:start w:val="1"/>
      <w:numFmt w:val="bullet"/>
      <w:lvlText w:val="o"/>
      <w:lvlJc w:val="left"/>
      <w:pPr>
        <w:ind w:left="5760" w:hanging="360"/>
      </w:pPr>
      <w:rPr>
        <w:rFonts w:ascii="Courier New" w:hAnsi="Courier New" w:hint="default"/>
      </w:rPr>
    </w:lvl>
    <w:lvl w:ilvl="8" w:tplc="369C5A8E">
      <w:start w:val="1"/>
      <w:numFmt w:val="bullet"/>
      <w:lvlText w:val=""/>
      <w:lvlJc w:val="left"/>
      <w:pPr>
        <w:ind w:left="6480" w:hanging="360"/>
      </w:pPr>
      <w:rPr>
        <w:rFonts w:ascii="Wingdings" w:hAnsi="Wingdings" w:hint="default"/>
      </w:rPr>
    </w:lvl>
  </w:abstractNum>
  <w:abstractNum w:abstractNumId="62" w15:restartNumberingAfterBreak="0">
    <w:nsid w:val="6AE82E1A"/>
    <w:multiLevelType w:val="hybridMultilevel"/>
    <w:tmpl w:val="FFFFFFFF"/>
    <w:lvl w:ilvl="0" w:tplc="39D2A982">
      <w:start w:val="1"/>
      <w:numFmt w:val="decimal"/>
      <w:lvlText w:val="%1."/>
      <w:lvlJc w:val="left"/>
      <w:pPr>
        <w:ind w:left="720" w:hanging="360"/>
      </w:pPr>
    </w:lvl>
    <w:lvl w:ilvl="1" w:tplc="85EC2B60">
      <w:start w:val="1"/>
      <w:numFmt w:val="lowerLetter"/>
      <w:lvlText w:val="%2."/>
      <w:lvlJc w:val="left"/>
      <w:pPr>
        <w:ind w:left="1440" w:hanging="360"/>
      </w:pPr>
    </w:lvl>
    <w:lvl w:ilvl="2" w:tplc="6A860D26">
      <w:start w:val="1"/>
      <w:numFmt w:val="lowerRoman"/>
      <w:lvlText w:val="%3."/>
      <w:lvlJc w:val="right"/>
      <w:pPr>
        <w:ind w:left="2160" w:hanging="180"/>
      </w:pPr>
    </w:lvl>
    <w:lvl w:ilvl="3" w:tplc="C55AB274">
      <w:start w:val="1"/>
      <w:numFmt w:val="decimal"/>
      <w:lvlText w:val="%4."/>
      <w:lvlJc w:val="left"/>
      <w:pPr>
        <w:ind w:left="2880" w:hanging="360"/>
      </w:pPr>
    </w:lvl>
    <w:lvl w:ilvl="4" w:tplc="BD645F5E">
      <w:start w:val="1"/>
      <w:numFmt w:val="lowerLetter"/>
      <w:lvlText w:val="%5."/>
      <w:lvlJc w:val="left"/>
      <w:pPr>
        <w:ind w:left="3600" w:hanging="360"/>
      </w:pPr>
    </w:lvl>
    <w:lvl w:ilvl="5" w:tplc="0B24AFC8">
      <w:start w:val="1"/>
      <w:numFmt w:val="lowerRoman"/>
      <w:lvlText w:val="%6."/>
      <w:lvlJc w:val="right"/>
      <w:pPr>
        <w:ind w:left="4320" w:hanging="180"/>
      </w:pPr>
    </w:lvl>
    <w:lvl w:ilvl="6" w:tplc="2CEA5278">
      <w:start w:val="1"/>
      <w:numFmt w:val="decimal"/>
      <w:lvlText w:val="%7."/>
      <w:lvlJc w:val="left"/>
      <w:pPr>
        <w:ind w:left="5040" w:hanging="360"/>
      </w:pPr>
    </w:lvl>
    <w:lvl w:ilvl="7" w:tplc="499A031A">
      <w:start w:val="1"/>
      <w:numFmt w:val="lowerLetter"/>
      <w:lvlText w:val="%8."/>
      <w:lvlJc w:val="left"/>
      <w:pPr>
        <w:ind w:left="5760" w:hanging="360"/>
      </w:pPr>
    </w:lvl>
    <w:lvl w:ilvl="8" w:tplc="37A66334">
      <w:start w:val="1"/>
      <w:numFmt w:val="lowerRoman"/>
      <w:lvlText w:val="%9."/>
      <w:lvlJc w:val="right"/>
      <w:pPr>
        <w:ind w:left="6480" w:hanging="180"/>
      </w:pPr>
    </w:lvl>
  </w:abstractNum>
  <w:abstractNum w:abstractNumId="63" w15:restartNumberingAfterBreak="0">
    <w:nsid w:val="6D27AC9D"/>
    <w:multiLevelType w:val="hybridMultilevel"/>
    <w:tmpl w:val="EEACD8B8"/>
    <w:lvl w:ilvl="0" w:tplc="B0264534">
      <w:start w:val="1"/>
      <w:numFmt w:val="bullet"/>
      <w:lvlText w:val=""/>
      <w:lvlJc w:val="left"/>
      <w:pPr>
        <w:ind w:left="720" w:hanging="360"/>
      </w:pPr>
      <w:rPr>
        <w:rFonts w:ascii="Symbol" w:hAnsi="Symbol" w:hint="default"/>
      </w:rPr>
    </w:lvl>
    <w:lvl w:ilvl="1" w:tplc="6562FB60">
      <w:start w:val="1"/>
      <w:numFmt w:val="bullet"/>
      <w:lvlText w:val="o"/>
      <w:lvlJc w:val="left"/>
      <w:pPr>
        <w:ind w:left="1440" w:hanging="360"/>
      </w:pPr>
      <w:rPr>
        <w:rFonts w:ascii="Courier New" w:hAnsi="Courier New" w:hint="default"/>
      </w:rPr>
    </w:lvl>
    <w:lvl w:ilvl="2" w:tplc="5D807FF6">
      <w:start w:val="1"/>
      <w:numFmt w:val="bullet"/>
      <w:lvlText w:val=""/>
      <w:lvlJc w:val="left"/>
      <w:pPr>
        <w:ind w:left="2160" w:hanging="360"/>
      </w:pPr>
      <w:rPr>
        <w:rFonts w:ascii="Wingdings" w:hAnsi="Wingdings" w:hint="default"/>
      </w:rPr>
    </w:lvl>
    <w:lvl w:ilvl="3" w:tplc="617C5138">
      <w:start w:val="1"/>
      <w:numFmt w:val="bullet"/>
      <w:lvlText w:val=""/>
      <w:lvlJc w:val="left"/>
      <w:pPr>
        <w:ind w:left="2880" w:hanging="360"/>
      </w:pPr>
      <w:rPr>
        <w:rFonts w:ascii="Symbol" w:hAnsi="Symbol" w:hint="default"/>
      </w:rPr>
    </w:lvl>
    <w:lvl w:ilvl="4" w:tplc="5538D20E">
      <w:start w:val="1"/>
      <w:numFmt w:val="bullet"/>
      <w:lvlText w:val="o"/>
      <w:lvlJc w:val="left"/>
      <w:pPr>
        <w:ind w:left="3600" w:hanging="360"/>
      </w:pPr>
      <w:rPr>
        <w:rFonts w:ascii="Courier New" w:hAnsi="Courier New" w:hint="default"/>
      </w:rPr>
    </w:lvl>
    <w:lvl w:ilvl="5" w:tplc="0CBAB526">
      <w:start w:val="1"/>
      <w:numFmt w:val="bullet"/>
      <w:lvlText w:val=""/>
      <w:lvlJc w:val="left"/>
      <w:pPr>
        <w:ind w:left="4320" w:hanging="360"/>
      </w:pPr>
      <w:rPr>
        <w:rFonts w:ascii="Wingdings" w:hAnsi="Wingdings" w:hint="default"/>
      </w:rPr>
    </w:lvl>
    <w:lvl w:ilvl="6" w:tplc="06E6E18C">
      <w:start w:val="1"/>
      <w:numFmt w:val="bullet"/>
      <w:lvlText w:val=""/>
      <w:lvlJc w:val="left"/>
      <w:pPr>
        <w:ind w:left="5040" w:hanging="360"/>
      </w:pPr>
      <w:rPr>
        <w:rFonts w:ascii="Symbol" w:hAnsi="Symbol" w:hint="default"/>
      </w:rPr>
    </w:lvl>
    <w:lvl w:ilvl="7" w:tplc="6CF8F0FA">
      <w:start w:val="1"/>
      <w:numFmt w:val="bullet"/>
      <w:lvlText w:val="o"/>
      <w:lvlJc w:val="left"/>
      <w:pPr>
        <w:ind w:left="5760" w:hanging="360"/>
      </w:pPr>
      <w:rPr>
        <w:rFonts w:ascii="Courier New" w:hAnsi="Courier New" w:hint="default"/>
      </w:rPr>
    </w:lvl>
    <w:lvl w:ilvl="8" w:tplc="55BA3B42">
      <w:start w:val="1"/>
      <w:numFmt w:val="bullet"/>
      <w:lvlText w:val=""/>
      <w:lvlJc w:val="left"/>
      <w:pPr>
        <w:ind w:left="6480" w:hanging="360"/>
      </w:pPr>
      <w:rPr>
        <w:rFonts w:ascii="Wingdings" w:hAnsi="Wingdings" w:hint="default"/>
      </w:rPr>
    </w:lvl>
  </w:abstractNum>
  <w:abstractNum w:abstractNumId="64" w15:restartNumberingAfterBreak="0">
    <w:nsid w:val="6D566CEC"/>
    <w:multiLevelType w:val="hybridMultilevel"/>
    <w:tmpl w:val="39B8CA92"/>
    <w:lvl w:ilvl="0" w:tplc="BD46D0FC">
      <w:start w:val="1"/>
      <w:numFmt w:val="lowerLetter"/>
      <w:lvlText w:val="a)"/>
      <w:lvlJc w:val="left"/>
      <w:pPr>
        <w:ind w:left="720" w:hanging="360"/>
      </w:pPr>
    </w:lvl>
    <w:lvl w:ilvl="1" w:tplc="E6B2EA3C">
      <w:start w:val="1"/>
      <w:numFmt w:val="lowerLetter"/>
      <w:lvlText w:val="%2."/>
      <w:lvlJc w:val="left"/>
      <w:pPr>
        <w:ind w:left="1440" w:hanging="360"/>
      </w:pPr>
    </w:lvl>
    <w:lvl w:ilvl="2" w:tplc="B48E53E4">
      <w:start w:val="1"/>
      <w:numFmt w:val="lowerRoman"/>
      <w:lvlText w:val="%3."/>
      <w:lvlJc w:val="right"/>
      <w:pPr>
        <w:ind w:left="2160" w:hanging="180"/>
      </w:pPr>
    </w:lvl>
    <w:lvl w:ilvl="3" w:tplc="E4983EEC">
      <w:start w:val="1"/>
      <w:numFmt w:val="decimal"/>
      <w:lvlText w:val="%4."/>
      <w:lvlJc w:val="left"/>
      <w:pPr>
        <w:ind w:left="2880" w:hanging="360"/>
      </w:pPr>
    </w:lvl>
    <w:lvl w:ilvl="4" w:tplc="791A48B0">
      <w:start w:val="1"/>
      <w:numFmt w:val="lowerLetter"/>
      <w:lvlText w:val="%5."/>
      <w:lvlJc w:val="left"/>
      <w:pPr>
        <w:ind w:left="3600" w:hanging="360"/>
      </w:pPr>
    </w:lvl>
    <w:lvl w:ilvl="5" w:tplc="D60C2F58">
      <w:start w:val="1"/>
      <w:numFmt w:val="lowerRoman"/>
      <w:lvlText w:val="%6."/>
      <w:lvlJc w:val="right"/>
      <w:pPr>
        <w:ind w:left="4320" w:hanging="180"/>
      </w:pPr>
    </w:lvl>
    <w:lvl w:ilvl="6" w:tplc="A9C47458">
      <w:start w:val="1"/>
      <w:numFmt w:val="decimal"/>
      <w:lvlText w:val="%7."/>
      <w:lvlJc w:val="left"/>
      <w:pPr>
        <w:ind w:left="5040" w:hanging="360"/>
      </w:pPr>
    </w:lvl>
    <w:lvl w:ilvl="7" w:tplc="D5EAF57E">
      <w:start w:val="1"/>
      <w:numFmt w:val="lowerLetter"/>
      <w:lvlText w:val="%8."/>
      <w:lvlJc w:val="left"/>
      <w:pPr>
        <w:ind w:left="5760" w:hanging="360"/>
      </w:pPr>
    </w:lvl>
    <w:lvl w:ilvl="8" w:tplc="AB5C6816">
      <w:start w:val="1"/>
      <w:numFmt w:val="lowerRoman"/>
      <w:lvlText w:val="%9."/>
      <w:lvlJc w:val="right"/>
      <w:pPr>
        <w:ind w:left="6480" w:hanging="180"/>
      </w:pPr>
    </w:lvl>
  </w:abstractNum>
  <w:abstractNum w:abstractNumId="65" w15:restartNumberingAfterBreak="0">
    <w:nsid w:val="6F0A301F"/>
    <w:multiLevelType w:val="hybridMultilevel"/>
    <w:tmpl w:val="FFFFFFFF"/>
    <w:lvl w:ilvl="0" w:tplc="5CEC45B6">
      <w:start w:val="1"/>
      <w:numFmt w:val="decimal"/>
      <w:lvlText w:val="%1."/>
      <w:lvlJc w:val="left"/>
      <w:pPr>
        <w:ind w:left="720" w:hanging="360"/>
      </w:pPr>
    </w:lvl>
    <w:lvl w:ilvl="1" w:tplc="AE3488FA">
      <w:start w:val="1"/>
      <w:numFmt w:val="lowerLetter"/>
      <w:lvlText w:val="%2."/>
      <w:lvlJc w:val="left"/>
      <w:pPr>
        <w:ind w:left="1440" w:hanging="360"/>
      </w:pPr>
    </w:lvl>
    <w:lvl w:ilvl="2" w:tplc="4DCAC054">
      <w:start w:val="1"/>
      <w:numFmt w:val="lowerRoman"/>
      <w:lvlText w:val="%3."/>
      <w:lvlJc w:val="right"/>
      <w:pPr>
        <w:ind w:left="2160" w:hanging="180"/>
      </w:pPr>
    </w:lvl>
    <w:lvl w:ilvl="3" w:tplc="ED6855E2">
      <w:start w:val="1"/>
      <w:numFmt w:val="decimal"/>
      <w:lvlText w:val="%4."/>
      <w:lvlJc w:val="left"/>
      <w:pPr>
        <w:ind w:left="2880" w:hanging="360"/>
      </w:pPr>
    </w:lvl>
    <w:lvl w:ilvl="4" w:tplc="0F4671BE">
      <w:start w:val="1"/>
      <w:numFmt w:val="lowerLetter"/>
      <w:lvlText w:val="%5."/>
      <w:lvlJc w:val="left"/>
      <w:pPr>
        <w:ind w:left="3600" w:hanging="360"/>
      </w:pPr>
    </w:lvl>
    <w:lvl w:ilvl="5" w:tplc="E45C40E8">
      <w:start w:val="1"/>
      <w:numFmt w:val="lowerRoman"/>
      <w:lvlText w:val="%6."/>
      <w:lvlJc w:val="right"/>
      <w:pPr>
        <w:ind w:left="4320" w:hanging="180"/>
      </w:pPr>
    </w:lvl>
    <w:lvl w:ilvl="6" w:tplc="4F946B4C">
      <w:start w:val="1"/>
      <w:numFmt w:val="decimal"/>
      <w:lvlText w:val="%7."/>
      <w:lvlJc w:val="left"/>
      <w:pPr>
        <w:ind w:left="5040" w:hanging="360"/>
      </w:pPr>
    </w:lvl>
    <w:lvl w:ilvl="7" w:tplc="B9023B02">
      <w:start w:val="1"/>
      <w:numFmt w:val="lowerLetter"/>
      <w:lvlText w:val="%8."/>
      <w:lvlJc w:val="left"/>
      <w:pPr>
        <w:ind w:left="5760" w:hanging="360"/>
      </w:pPr>
    </w:lvl>
    <w:lvl w:ilvl="8" w:tplc="4F746D54">
      <w:start w:val="1"/>
      <w:numFmt w:val="lowerRoman"/>
      <w:lvlText w:val="%9."/>
      <w:lvlJc w:val="right"/>
      <w:pPr>
        <w:ind w:left="6480" w:hanging="180"/>
      </w:pPr>
    </w:lvl>
  </w:abstractNum>
  <w:abstractNum w:abstractNumId="66" w15:restartNumberingAfterBreak="0">
    <w:nsid w:val="71F31431"/>
    <w:multiLevelType w:val="hybridMultilevel"/>
    <w:tmpl w:val="1AA6B98E"/>
    <w:lvl w:ilvl="0" w:tplc="FFECC7BC">
      <w:start w:val="1"/>
      <w:numFmt w:val="bullet"/>
      <w:lvlText w:val=""/>
      <w:lvlJc w:val="left"/>
      <w:pPr>
        <w:ind w:left="720" w:hanging="360"/>
      </w:pPr>
      <w:rPr>
        <w:rFonts w:ascii="Symbol" w:hAnsi="Symbol" w:hint="default"/>
      </w:rPr>
    </w:lvl>
    <w:lvl w:ilvl="1" w:tplc="FD100DEC">
      <w:start w:val="1"/>
      <w:numFmt w:val="bullet"/>
      <w:lvlText w:val="o"/>
      <w:lvlJc w:val="left"/>
      <w:pPr>
        <w:ind w:left="1440" w:hanging="360"/>
      </w:pPr>
      <w:rPr>
        <w:rFonts w:ascii="Courier New" w:hAnsi="Courier New" w:hint="default"/>
      </w:rPr>
    </w:lvl>
    <w:lvl w:ilvl="2" w:tplc="512C7D16">
      <w:start w:val="1"/>
      <w:numFmt w:val="bullet"/>
      <w:lvlText w:val=""/>
      <w:lvlJc w:val="left"/>
      <w:pPr>
        <w:ind w:left="2160" w:hanging="360"/>
      </w:pPr>
      <w:rPr>
        <w:rFonts w:ascii="Wingdings" w:hAnsi="Wingdings" w:hint="default"/>
      </w:rPr>
    </w:lvl>
    <w:lvl w:ilvl="3" w:tplc="5A62D338">
      <w:start w:val="1"/>
      <w:numFmt w:val="bullet"/>
      <w:lvlText w:val=""/>
      <w:lvlJc w:val="left"/>
      <w:pPr>
        <w:ind w:left="2880" w:hanging="360"/>
      </w:pPr>
      <w:rPr>
        <w:rFonts w:ascii="Symbol" w:hAnsi="Symbol" w:hint="default"/>
      </w:rPr>
    </w:lvl>
    <w:lvl w:ilvl="4" w:tplc="B24462B4">
      <w:start w:val="1"/>
      <w:numFmt w:val="bullet"/>
      <w:lvlText w:val="o"/>
      <w:lvlJc w:val="left"/>
      <w:pPr>
        <w:ind w:left="3600" w:hanging="360"/>
      </w:pPr>
      <w:rPr>
        <w:rFonts w:ascii="Courier New" w:hAnsi="Courier New" w:hint="default"/>
      </w:rPr>
    </w:lvl>
    <w:lvl w:ilvl="5" w:tplc="E9DE9E60">
      <w:start w:val="1"/>
      <w:numFmt w:val="bullet"/>
      <w:lvlText w:val=""/>
      <w:lvlJc w:val="left"/>
      <w:pPr>
        <w:ind w:left="4320" w:hanging="360"/>
      </w:pPr>
      <w:rPr>
        <w:rFonts w:ascii="Wingdings" w:hAnsi="Wingdings" w:hint="default"/>
      </w:rPr>
    </w:lvl>
    <w:lvl w:ilvl="6" w:tplc="37BA3944">
      <w:start w:val="1"/>
      <w:numFmt w:val="bullet"/>
      <w:lvlText w:val=""/>
      <w:lvlJc w:val="left"/>
      <w:pPr>
        <w:ind w:left="5040" w:hanging="360"/>
      </w:pPr>
      <w:rPr>
        <w:rFonts w:ascii="Symbol" w:hAnsi="Symbol" w:hint="default"/>
      </w:rPr>
    </w:lvl>
    <w:lvl w:ilvl="7" w:tplc="3454E396">
      <w:start w:val="1"/>
      <w:numFmt w:val="bullet"/>
      <w:lvlText w:val="o"/>
      <w:lvlJc w:val="left"/>
      <w:pPr>
        <w:ind w:left="5760" w:hanging="360"/>
      </w:pPr>
      <w:rPr>
        <w:rFonts w:ascii="Courier New" w:hAnsi="Courier New" w:hint="default"/>
      </w:rPr>
    </w:lvl>
    <w:lvl w:ilvl="8" w:tplc="9FCCE2B0">
      <w:start w:val="1"/>
      <w:numFmt w:val="bullet"/>
      <w:lvlText w:val=""/>
      <w:lvlJc w:val="left"/>
      <w:pPr>
        <w:ind w:left="6480" w:hanging="360"/>
      </w:pPr>
      <w:rPr>
        <w:rFonts w:ascii="Wingdings" w:hAnsi="Wingdings" w:hint="default"/>
      </w:rPr>
    </w:lvl>
  </w:abstractNum>
  <w:abstractNum w:abstractNumId="67" w15:restartNumberingAfterBreak="0">
    <w:nsid w:val="74868573"/>
    <w:multiLevelType w:val="hybridMultilevel"/>
    <w:tmpl w:val="109E04DC"/>
    <w:lvl w:ilvl="0" w:tplc="CE564D60">
      <w:start w:val="1"/>
      <w:numFmt w:val="bullet"/>
      <w:lvlText w:val=""/>
      <w:lvlJc w:val="left"/>
      <w:pPr>
        <w:ind w:left="720" w:hanging="360"/>
      </w:pPr>
      <w:rPr>
        <w:rFonts w:ascii="Symbol" w:hAnsi="Symbol" w:hint="default"/>
      </w:rPr>
    </w:lvl>
    <w:lvl w:ilvl="1" w:tplc="D72E7E06">
      <w:start w:val="1"/>
      <w:numFmt w:val="bullet"/>
      <w:lvlText w:val="o"/>
      <w:lvlJc w:val="left"/>
      <w:pPr>
        <w:ind w:left="1440" w:hanging="360"/>
      </w:pPr>
      <w:rPr>
        <w:rFonts w:ascii="Courier New" w:hAnsi="Courier New" w:hint="default"/>
      </w:rPr>
    </w:lvl>
    <w:lvl w:ilvl="2" w:tplc="1B946886">
      <w:start w:val="1"/>
      <w:numFmt w:val="bullet"/>
      <w:lvlText w:val=""/>
      <w:lvlJc w:val="left"/>
      <w:pPr>
        <w:ind w:left="2160" w:hanging="360"/>
      </w:pPr>
      <w:rPr>
        <w:rFonts w:ascii="Wingdings" w:hAnsi="Wingdings" w:hint="default"/>
      </w:rPr>
    </w:lvl>
    <w:lvl w:ilvl="3" w:tplc="6F4E9AE8">
      <w:start w:val="1"/>
      <w:numFmt w:val="bullet"/>
      <w:lvlText w:val=""/>
      <w:lvlJc w:val="left"/>
      <w:pPr>
        <w:ind w:left="2880" w:hanging="360"/>
      </w:pPr>
      <w:rPr>
        <w:rFonts w:ascii="Symbol" w:hAnsi="Symbol" w:hint="default"/>
      </w:rPr>
    </w:lvl>
    <w:lvl w:ilvl="4" w:tplc="5C34C96A">
      <w:start w:val="1"/>
      <w:numFmt w:val="bullet"/>
      <w:lvlText w:val="o"/>
      <w:lvlJc w:val="left"/>
      <w:pPr>
        <w:ind w:left="3600" w:hanging="360"/>
      </w:pPr>
      <w:rPr>
        <w:rFonts w:ascii="Courier New" w:hAnsi="Courier New" w:hint="default"/>
      </w:rPr>
    </w:lvl>
    <w:lvl w:ilvl="5" w:tplc="72FA4090">
      <w:start w:val="1"/>
      <w:numFmt w:val="bullet"/>
      <w:lvlText w:val=""/>
      <w:lvlJc w:val="left"/>
      <w:pPr>
        <w:ind w:left="4320" w:hanging="360"/>
      </w:pPr>
      <w:rPr>
        <w:rFonts w:ascii="Wingdings" w:hAnsi="Wingdings" w:hint="default"/>
      </w:rPr>
    </w:lvl>
    <w:lvl w:ilvl="6" w:tplc="6868E5D6">
      <w:start w:val="1"/>
      <w:numFmt w:val="bullet"/>
      <w:lvlText w:val=""/>
      <w:lvlJc w:val="left"/>
      <w:pPr>
        <w:ind w:left="5040" w:hanging="360"/>
      </w:pPr>
      <w:rPr>
        <w:rFonts w:ascii="Symbol" w:hAnsi="Symbol" w:hint="default"/>
      </w:rPr>
    </w:lvl>
    <w:lvl w:ilvl="7" w:tplc="F140ADD8">
      <w:start w:val="1"/>
      <w:numFmt w:val="bullet"/>
      <w:lvlText w:val="o"/>
      <w:lvlJc w:val="left"/>
      <w:pPr>
        <w:ind w:left="5760" w:hanging="360"/>
      </w:pPr>
      <w:rPr>
        <w:rFonts w:ascii="Courier New" w:hAnsi="Courier New" w:hint="default"/>
      </w:rPr>
    </w:lvl>
    <w:lvl w:ilvl="8" w:tplc="A2E4971E">
      <w:start w:val="1"/>
      <w:numFmt w:val="bullet"/>
      <w:lvlText w:val=""/>
      <w:lvlJc w:val="left"/>
      <w:pPr>
        <w:ind w:left="6480" w:hanging="360"/>
      </w:pPr>
      <w:rPr>
        <w:rFonts w:ascii="Wingdings" w:hAnsi="Wingdings" w:hint="default"/>
      </w:rPr>
    </w:lvl>
  </w:abstractNum>
  <w:abstractNum w:abstractNumId="68" w15:restartNumberingAfterBreak="0">
    <w:nsid w:val="7BF59F03"/>
    <w:multiLevelType w:val="hybridMultilevel"/>
    <w:tmpl w:val="A652251C"/>
    <w:lvl w:ilvl="0" w:tplc="2AA42A0A">
      <w:start w:val="1"/>
      <w:numFmt w:val="bullet"/>
      <w:lvlText w:val=""/>
      <w:lvlJc w:val="left"/>
      <w:pPr>
        <w:ind w:left="720" w:hanging="360"/>
      </w:pPr>
      <w:rPr>
        <w:rFonts w:ascii="Symbol" w:hAnsi="Symbol" w:hint="default"/>
      </w:rPr>
    </w:lvl>
    <w:lvl w:ilvl="1" w:tplc="1962486C">
      <w:start w:val="1"/>
      <w:numFmt w:val="bullet"/>
      <w:lvlText w:val="o"/>
      <w:lvlJc w:val="left"/>
      <w:pPr>
        <w:ind w:left="1440" w:hanging="360"/>
      </w:pPr>
      <w:rPr>
        <w:rFonts w:ascii="Courier New" w:hAnsi="Courier New" w:hint="default"/>
      </w:rPr>
    </w:lvl>
    <w:lvl w:ilvl="2" w:tplc="B3E4E7F8">
      <w:start w:val="1"/>
      <w:numFmt w:val="bullet"/>
      <w:lvlText w:val=""/>
      <w:lvlJc w:val="left"/>
      <w:pPr>
        <w:ind w:left="2160" w:hanging="360"/>
      </w:pPr>
      <w:rPr>
        <w:rFonts w:ascii="Wingdings" w:hAnsi="Wingdings" w:hint="default"/>
      </w:rPr>
    </w:lvl>
    <w:lvl w:ilvl="3" w:tplc="A6EAE884">
      <w:start w:val="1"/>
      <w:numFmt w:val="bullet"/>
      <w:lvlText w:val=""/>
      <w:lvlJc w:val="left"/>
      <w:pPr>
        <w:ind w:left="2880" w:hanging="360"/>
      </w:pPr>
      <w:rPr>
        <w:rFonts w:ascii="Symbol" w:hAnsi="Symbol" w:hint="default"/>
      </w:rPr>
    </w:lvl>
    <w:lvl w:ilvl="4" w:tplc="BD18FAEA">
      <w:start w:val="1"/>
      <w:numFmt w:val="bullet"/>
      <w:lvlText w:val="o"/>
      <w:lvlJc w:val="left"/>
      <w:pPr>
        <w:ind w:left="3600" w:hanging="360"/>
      </w:pPr>
      <w:rPr>
        <w:rFonts w:ascii="Courier New" w:hAnsi="Courier New" w:hint="default"/>
      </w:rPr>
    </w:lvl>
    <w:lvl w:ilvl="5" w:tplc="A30CB102">
      <w:start w:val="1"/>
      <w:numFmt w:val="bullet"/>
      <w:lvlText w:val=""/>
      <w:lvlJc w:val="left"/>
      <w:pPr>
        <w:ind w:left="4320" w:hanging="360"/>
      </w:pPr>
      <w:rPr>
        <w:rFonts w:ascii="Wingdings" w:hAnsi="Wingdings" w:hint="default"/>
      </w:rPr>
    </w:lvl>
    <w:lvl w:ilvl="6" w:tplc="4C827D7C">
      <w:start w:val="1"/>
      <w:numFmt w:val="bullet"/>
      <w:lvlText w:val=""/>
      <w:lvlJc w:val="left"/>
      <w:pPr>
        <w:ind w:left="5040" w:hanging="360"/>
      </w:pPr>
      <w:rPr>
        <w:rFonts w:ascii="Symbol" w:hAnsi="Symbol" w:hint="default"/>
      </w:rPr>
    </w:lvl>
    <w:lvl w:ilvl="7" w:tplc="80801368">
      <w:start w:val="1"/>
      <w:numFmt w:val="bullet"/>
      <w:lvlText w:val="o"/>
      <w:lvlJc w:val="left"/>
      <w:pPr>
        <w:ind w:left="5760" w:hanging="360"/>
      </w:pPr>
      <w:rPr>
        <w:rFonts w:ascii="Courier New" w:hAnsi="Courier New" w:hint="default"/>
      </w:rPr>
    </w:lvl>
    <w:lvl w:ilvl="8" w:tplc="EEEC6F6C">
      <w:start w:val="1"/>
      <w:numFmt w:val="bullet"/>
      <w:lvlText w:val=""/>
      <w:lvlJc w:val="left"/>
      <w:pPr>
        <w:ind w:left="6480" w:hanging="360"/>
      </w:pPr>
      <w:rPr>
        <w:rFonts w:ascii="Wingdings" w:hAnsi="Wingdings" w:hint="default"/>
      </w:rPr>
    </w:lvl>
  </w:abstractNum>
  <w:abstractNum w:abstractNumId="69" w15:restartNumberingAfterBreak="0">
    <w:nsid w:val="7C9FC526"/>
    <w:multiLevelType w:val="hybridMultilevel"/>
    <w:tmpl w:val="35B61482"/>
    <w:lvl w:ilvl="0" w:tplc="333048B8">
      <w:start w:val="1"/>
      <w:numFmt w:val="bullet"/>
      <w:lvlText w:val=""/>
      <w:lvlJc w:val="left"/>
      <w:pPr>
        <w:ind w:left="720" w:hanging="360"/>
      </w:pPr>
      <w:rPr>
        <w:rFonts w:ascii="Symbol" w:hAnsi="Symbol" w:hint="default"/>
      </w:rPr>
    </w:lvl>
    <w:lvl w:ilvl="1" w:tplc="5302CFA4">
      <w:start w:val="1"/>
      <w:numFmt w:val="bullet"/>
      <w:lvlText w:val="o"/>
      <w:lvlJc w:val="left"/>
      <w:pPr>
        <w:ind w:left="1440" w:hanging="360"/>
      </w:pPr>
      <w:rPr>
        <w:rFonts w:ascii="Courier New" w:hAnsi="Courier New" w:hint="default"/>
      </w:rPr>
    </w:lvl>
    <w:lvl w:ilvl="2" w:tplc="4518394E">
      <w:start w:val="1"/>
      <w:numFmt w:val="bullet"/>
      <w:lvlText w:val=""/>
      <w:lvlJc w:val="left"/>
      <w:pPr>
        <w:ind w:left="2160" w:hanging="360"/>
      </w:pPr>
      <w:rPr>
        <w:rFonts w:ascii="Wingdings" w:hAnsi="Wingdings" w:hint="default"/>
      </w:rPr>
    </w:lvl>
    <w:lvl w:ilvl="3" w:tplc="E62CB2DE">
      <w:start w:val="1"/>
      <w:numFmt w:val="bullet"/>
      <w:lvlText w:val=""/>
      <w:lvlJc w:val="left"/>
      <w:pPr>
        <w:ind w:left="2880" w:hanging="360"/>
      </w:pPr>
      <w:rPr>
        <w:rFonts w:ascii="Symbol" w:hAnsi="Symbol" w:hint="default"/>
      </w:rPr>
    </w:lvl>
    <w:lvl w:ilvl="4" w:tplc="7E1434BA">
      <w:start w:val="1"/>
      <w:numFmt w:val="bullet"/>
      <w:lvlText w:val="o"/>
      <w:lvlJc w:val="left"/>
      <w:pPr>
        <w:ind w:left="3600" w:hanging="360"/>
      </w:pPr>
      <w:rPr>
        <w:rFonts w:ascii="Courier New" w:hAnsi="Courier New" w:hint="default"/>
      </w:rPr>
    </w:lvl>
    <w:lvl w:ilvl="5" w:tplc="101429E6">
      <w:start w:val="1"/>
      <w:numFmt w:val="bullet"/>
      <w:lvlText w:val=""/>
      <w:lvlJc w:val="left"/>
      <w:pPr>
        <w:ind w:left="4320" w:hanging="360"/>
      </w:pPr>
      <w:rPr>
        <w:rFonts w:ascii="Wingdings" w:hAnsi="Wingdings" w:hint="default"/>
      </w:rPr>
    </w:lvl>
    <w:lvl w:ilvl="6" w:tplc="B04C01EA">
      <w:start w:val="1"/>
      <w:numFmt w:val="bullet"/>
      <w:lvlText w:val=""/>
      <w:lvlJc w:val="left"/>
      <w:pPr>
        <w:ind w:left="5040" w:hanging="360"/>
      </w:pPr>
      <w:rPr>
        <w:rFonts w:ascii="Symbol" w:hAnsi="Symbol" w:hint="default"/>
      </w:rPr>
    </w:lvl>
    <w:lvl w:ilvl="7" w:tplc="EF7AE186">
      <w:start w:val="1"/>
      <w:numFmt w:val="bullet"/>
      <w:lvlText w:val="o"/>
      <w:lvlJc w:val="left"/>
      <w:pPr>
        <w:ind w:left="5760" w:hanging="360"/>
      </w:pPr>
      <w:rPr>
        <w:rFonts w:ascii="Courier New" w:hAnsi="Courier New" w:hint="default"/>
      </w:rPr>
    </w:lvl>
    <w:lvl w:ilvl="8" w:tplc="503A3DB8">
      <w:start w:val="1"/>
      <w:numFmt w:val="bullet"/>
      <w:lvlText w:val=""/>
      <w:lvlJc w:val="left"/>
      <w:pPr>
        <w:ind w:left="6480" w:hanging="360"/>
      </w:pPr>
      <w:rPr>
        <w:rFonts w:ascii="Wingdings" w:hAnsi="Wingdings" w:hint="default"/>
      </w:rPr>
    </w:lvl>
  </w:abstractNum>
  <w:num w:numId="1" w16cid:durableId="911769107">
    <w:abstractNumId w:val="49"/>
  </w:num>
  <w:num w:numId="2" w16cid:durableId="1099449311">
    <w:abstractNumId w:val="22"/>
  </w:num>
  <w:num w:numId="3" w16cid:durableId="945383621">
    <w:abstractNumId w:val="45"/>
  </w:num>
  <w:num w:numId="4" w16cid:durableId="1703433133">
    <w:abstractNumId w:val="21"/>
  </w:num>
  <w:num w:numId="5" w16cid:durableId="1181774491">
    <w:abstractNumId w:val="18"/>
  </w:num>
  <w:num w:numId="6" w16cid:durableId="1598902072">
    <w:abstractNumId w:val="55"/>
  </w:num>
  <w:num w:numId="7" w16cid:durableId="897936888">
    <w:abstractNumId w:val="66"/>
  </w:num>
  <w:num w:numId="8" w16cid:durableId="248273377">
    <w:abstractNumId w:val="13"/>
  </w:num>
  <w:num w:numId="9" w16cid:durableId="1381246283">
    <w:abstractNumId w:val="69"/>
  </w:num>
  <w:num w:numId="10" w16cid:durableId="2100327499">
    <w:abstractNumId w:val="6"/>
  </w:num>
  <w:num w:numId="11" w16cid:durableId="1653367655">
    <w:abstractNumId w:val="1"/>
  </w:num>
  <w:num w:numId="12" w16cid:durableId="23482871">
    <w:abstractNumId w:val="67"/>
  </w:num>
  <w:num w:numId="13" w16cid:durableId="256525481">
    <w:abstractNumId w:val="5"/>
  </w:num>
  <w:num w:numId="14" w16cid:durableId="2118525422">
    <w:abstractNumId w:val="12"/>
  </w:num>
  <w:num w:numId="15" w16cid:durableId="1826625052">
    <w:abstractNumId w:val="3"/>
  </w:num>
  <w:num w:numId="16" w16cid:durableId="702243577">
    <w:abstractNumId w:val="47"/>
  </w:num>
  <w:num w:numId="17" w16cid:durableId="1481649284">
    <w:abstractNumId w:val="4"/>
  </w:num>
  <w:num w:numId="18" w16cid:durableId="1576016209">
    <w:abstractNumId w:val="68"/>
  </w:num>
  <w:num w:numId="19" w16cid:durableId="2139102589">
    <w:abstractNumId w:val="27"/>
  </w:num>
  <w:num w:numId="20" w16cid:durableId="2096780923">
    <w:abstractNumId w:val="57"/>
  </w:num>
  <w:num w:numId="21" w16cid:durableId="1660494962">
    <w:abstractNumId w:val="17"/>
  </w:num>
  <w:num w:numId="22" w16cid:durableId="29426721">
    <w:abstractNumId w:val="16"/>
  </w:num>
  <w:num w:numId="23" w16cid:durableId="1107579189">
    <w:abstractNumId w:val="32"/>
  </w:num>
  <w:num w:numId="24" w16cid:durableId="949167012">
    <w:abstractNumId w:val="35"/>
  </w:num>
  <w:num w:numId="25" w16cid:durableId="1637493639">
    <w:abstractNumId w:val="29"/>
  </w:num>
  <w:num w:numId="26" w16cid:durableId="275142729">
    <w:abstractNumId w:val="36"/>
  </w:num>
  <w:num w:numId="27" w16cid:durableId="1706323340">
    <w:abstractNumId w:val="14"/>
  </w:num>
  <w:num w:numId="28" w16cid:durableId="1529416669">
    <w:abstractNumId w:val="2"/>
  </w:num>
  <w:num w:numId="29" w16cid:durableId="543296517">
    <w:abstractNumId w:val="9"/>
  </w:num>
  <w:num w:numId="30" w16cid:durableId="349796156">
    <w:abstractNumId w:val="60"/>
  </w:num>
  <w:num w:numId="31" w16cid:durableId="1413939586">
    <w:abstractNumId w:val="10"/>
  </w:num>
  <w:num w:numId="32" w16cid:durableId="577130475">
    <w:abstractNumId w:val="25"/>
  </w:num>
  <w:num w:numId="33" w16cid:durableId="116488257">
    <w:abstractNumId w:val="30"/>
  </w:num>
  <w:num w:numId="34" w16cid:durableId="1864440693">
    <w:abstractNumId w:val="40"/>
  </w:num>
  <w:num w:numId="35" w16cid:durableId="970793514">
    <w:abstractNumId w:val="43"/>
  </w:num>
  <w:num w:numId="36" w16cid:durableId="1322006109">
    <w:abstractNumId w:val="24"/>
  </w:num>
  <w:num w:numId="37" w16cid:durableId="1665162426">
    <w:abstractNumId w:val="28"/>
  </w:num>
  <w:num w:numId="38" w16cid:durableId="1476947624">
    <w:abstractNumId w:val="56"/>
  </w:num>
  <w:num w:numId="39" w16cid:durableId="225579147">
    <w:abstractNumId w:val="50"/>
  </w:num>
  <w:num w:numId="40" w16cid:durableId="503976386">
    <w:abstractNumId w:val="53"/>
  </w:num>
  <w:num w:numId="41" w16cid:durableId="1481003224">
    <w:abstractNumId w:val="31"/>
  </w:num>
  <w:num w:numId="42" w16cid:durableId="601111757">
    <w:abstractNumId w:val="64"/>
  </w:num>
  <w:num w:numId="43" w16cid:durableId="2064677630">
    <w:abstractNumId w:val="51"/>
  </w:num>
  <w:num w:numId="44" w16cid:durableId="967783931">
    <w:abstractNumId w:val="39"/>
  </w:num>
  <w:num w:numId="45" w16cid:durableId="1838499917">
    <w:abstractNumId w:val="63"/>
  </w:num>
  <w:num w:numId="46" w16cid:durableId="1398892685">
    <w:abstractNumId w:val="7"/>
  </w:num>
  <w:num w:numId="47" w16cid:durableId="2007005323">
    <w:abstractNumId w:val="20"/>
  </w:num>
  <w:num w:numId="48" w16cid:durableId="2039892491">
    <w:abstractNumId w:val="41"/>
  </w:num>
  <w:num w:numId="49" w16cid:durableId="1196235442">
    <w:abstractNumId w:val="33"/>
  </w:num>
  <w:num w:numId="50" w16cid:durableId="741486442">
    <w:abstractNumId w:val="48"/>
  </w:num>
  <w:num w:numId="51" w16cid:durableId="410323036">
    <w:abstractNumId w:val="59"/>
  </w:num>
  <w:num w:numId="52" w16cid:durableId="62022115">
    <w:abstractNumId w:val="26"/>
  </w:num>
  <w:num w:numId="53" w16cid:durableId="796337676">
    <w:abstractNumId w:val="46"/>
  </w:num>
  <w:num w:numId="54" w16cid:durableId="1202328547">
    <w:abstractNumId w:val="52"/>
  </w:num>
  <w:num w:numId="55" w16cid:durableId="1776050004">
    <w:abstractNumId w:val="15"/>
  </w:num>
  <w:num w:numId="56" w16cid:durableId="100490950">
    <w:abstractNumId w:val="44"/>
  </w:num>
  <w:num w:numId="57" w16cid:durableId="1673484042">
    <w:abstractNumId w:val="37"/>
  </w:num>
  <w:num w:numId="58" w16cid:durableId="95030628">
    <w:abstractNumId w:val="65"/>
  </w:num>
  <w:num w:numId="59" w16cid:durableId="339167386">
    <w:abstractNumId w:val="54"/>
  </w:num>
  <w:num w:numId="60" w16cid:durableId="1283073424">
    <w:abstractNumId w:val="34"/>
  </w:num>
  <w:num w:numId="61" w16cid:durableId="1652633145">
    <w:abstractNumId w:val="19"/>
  </w:num>
  <w:num w:numId="62" w16cid:durableId="314381322">
    <w:abstractNumId w:val="42"/>
  </w:num>
  <w:num w:numId="63" w16cid:durableId="610935188">
    <w:abstractNumId w:val="23"/>
  </w:num>
  <w:num w:numId="64" w16cid:durableId="2081557605">
    <w:abstractNumId w:val="11"/>
  </w:num>
  <w:num w:numId="65" w16cid:durableId="109326026">
    <w:abstractNumId w:val="58"/>
  </w:num>
  <w:num w:numId="66" w16cid:durableId="375741198">
    <w:abstractNumId w:val="8"/>
  </w:num>
  <w:num w:numId="67" w16cid:durableId="884372050">
    <w:abstractNumId w:val="61"/>
  </w:num>
  <w:num w:numId="68" w16cid:durableId="1564759035">
    <w:abstractNumId w:val="0"/>
  </w:num>
  <w:num w:numId="69" w16cid:durableId="733430635">
    <w:abstractNumId w:val="38"/>
  </w:num>
  <w:num w:numId="70" w16cid:durableId="606813074">
    <w:abstractNumId w:val="6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BE3"/>
    <w:rsid w:val="00000703"/>
    <w:rsid w:val="00010447"/>
    <w:rsid w:val="000120B3"/>
    <w:rsid w:val="00013E24"/>
    <w:rsid w:val="00017179"/>
    <w:rsid w:val="000379D1"/>
    <w:rsid w:val="0004517B"/>
    <w:rsid w:val="0004636C"/>
    <w:rsid w:val="00047512"/>
    <w:rsid w:val="00052D34"/>
    <w:rsid w:val="00054139"/>
    <w:rsid w:val="00057532"/>
    <w:rsid w:val="00061C11"/>
    <w:rsid w:val="00064795"/>
    <w:rsid w:val="00065ACB"/>
    <w:rsid w:val="00076685"/>
    <w:rsid w:val="00085CB1"/>
    <w:rsid w:val="000869C5"/>
    <w:rsid w:val="000A4C1E"/>
    <w:rsid w:val="000A5028"/>
    <w:rsid w:val="000B03F3"/>
    <w:rsid w:val="000D57C6"/>
    <w:rsid w:val="000E0F37"/>
    <w:rsid w:val="000E4C30"/>
    <w:rsid w:val="000F0667"/>
    <w:rsid w:val="000F3CAB"/>
    <w:rsid w:val="00104E32"/>
    <w:rsid w:val="001075CD"/>
    <w:rsid w:val="001129CA"/>
    <w:rsid w:val="00120859"/>
    <w:rsid w:val="0014795D"/>
    <w:rsid w:val="00156473"/>
    <w:rsid w:val="00166A05"/>
    <w:rsid w:val="00180BD1"/>
    <w:rsid w:val="0018179C"/>
    <w:rsid w:val="001829E9"/>
    <w:rsid w:val="001A0F1D"/>
    <w:rsid w:val="001A6355"/>
    <w:rsid w:val="001B7B8E"/>
    <w:rsid w:val="001C699E"/>
    <w:rsid w:val="001D75A5"/>
    <w:rsid w:val="001E247D"/>
    <w:rsid w:val="001E7D1F"/>
    <w:rsid w:val="001F4E9A"/>
    <w:rsid w:val="00201D39"/>
    <w:rsid w:val="0022402B"/>
    <w:rsid w:val="0022706F"/>
    <w:rsid w:val="00232FAE"/>
    <w:rsid w:val="00233BF8"/>
    <w:rsid w:val="00236512"/>
    <w:rsid w:val="00240DBD"/>
    <w:rsid w:val="00247AA7"/>
    <w:rsid w:val="00265943"/>
    <w:rsid w:val="00265FDC"/>
    <w:rsid w:val="00281BE3"/>
    <w:rsid w:val="00282A73"/>
    <w:rsid w:val="002841C5"/>
    <w:rsid w:val="00296A82"/>
    <w:rsid w:val="002A61F8"/>
    <w:rsid w:val="002A7BD4"/>
    <w:rsid w:val="002B01F3"/>
    <w:rsid w:val="002D3B68"/>
    <w:rsid w:val="002D3FAB"/>
    <w:rsid w:val="002D680A"/>
    <w:rsid w:val="002D6A8C"/>
    <w:rsid w:val="002F2959"/>
    <w:rsid w:val="002F697B"/>
    <w:rsid w:val="003000C8"/>
    <w:rsid w:val="00305EAD"/>
    <w:rsid w:val="003078DB"/>
    <w:rsid w:val="003137C5"/>
    <w:rsid w:val="003249D5"/>
    <w:rsid w:val="00350CE3"/>
    <w:rsid w:val="00361C4E"/>
    <w:rsid w:val="0039209C"/>
    <w:rsid w:val="003928C7"/>
    <w:rsid w:val="0039329B"/>
    <w:rsid w:val="0039334A"/>
    <w:rsid w:val="00395570"/>
    <w:rsid w:val="003B0915"/>
    <w:rsid w:val="003B3C19"/>
    <w:rsid w:val="003B56D0"/>
    <w:rsid w:val="003B689C"/>
    <w:rsid w:val="003C6176"/>
    <w:rsid w:val="003D38C2"/>
    <w:rsid w:val="003D3E8A"/>
    <w:rsid w:val="003D6CBA"/>
    <w:rsid w:val="003E1DCB"/>
    <w:rsid w:val="003F182C"/>
    <w:rsid w:val="003F38FE"/>
    <w:rsid w:val="003F3F9D"/>
    <w:rsid w:val="0040622E"/>
    <w:rsid w:val="0040745D"/>
    <w:rsid w:val="00421554"/>
    <w:rsid w:val="0042644C"/>
    <w:rsid w:val="00427166"/>
    <w:rsid w:val="004418E5"/>
    <w:rsid w:val="00442694"/>
    <w:rsid w:val="004903E6"/>
    <w:rsid w:val="004C0708"/>
    <w:rsid w:val="004C2ECE"/>
    <w:rsid w:val="004C6936"/>
    <w:rsid w:val="004D279B"/>
    <w:rsid w:val="004F4013"/>
    <w:rsid w:val="004F4053"/>
    <w:rsid w:val="00501D14"/>
    <w:rsid w:val="00504971"/>
    <w:rsid w:val="005226B0"/>
    <w:rsid w:val="0052371C"/>
    <w:rsid w:val="00530EEE"/>
    <w:rsid w:val="0053305E"/>
    <w:rsid w:val="00535FC4"/>
    <w:rsid w:val="00543BD5"/>
    <w:rsid w:val="00545212"/>
    <w:rsid w:val="005471F6"/>
    <w:rsid w:val="0056397A"/>
    <w:rsid w:val="005656D0"/>
    <w:rsid w:val="00566010"/>
    <w:rsid w:val="00570BFB"/>
    <w:rsid w:val="005805D6"/>
    <w:rsid w:val="00593A0D"/>
    <w:rsid w:val="005945E0"/>
    <w:rsid w:val="005A1EF8"/>
    <w:rsid w:val="005A37F5"/>
    <w:rsid w:val="005B4881"/>
    <w:rsid w:val="005D7A0D"/>
    <w:rsid w:val="005E6A8A"/>
    <w:rsid w:val="005F121B"/>
    <w:rsid w:val="005F6774"/>
    <w:rsid w:val="005F75DA"/>
    <w:rsid w:val="005F7AC1"/>
    <w:rsid w:val="00617FF5"/>
    <w:rsid w:val="00621787"/>
    <w:rsid w:val="00637284"/>
    <w:rsid w:val="006429AC"/>
    <w:rsid w:val="006465C0"/>
    <w:rsid w:val="00647668"/>
    <w:rsid w:val="00647C90"/>
    <w:rsid w:val="00651C08"/>
    <w:rsid w:val="00663A24"/>
    <w:rsid w:val="006A0ECD"/>
    <w:rsid w:val="006D07BA"/>
    <w:rsid w:val="006E1FBA"/>
    <w:rsid w:val="006F0C89"/>
    <w:rsid w:val="006F6EA9"/>
    <w:rsid w:val="00710F57"/>
    <w:rsid w:val="00712FB4"/>
    <w:rsid w:val="00714E2B"/>
    <w:rsid w:val="00716B66"/>
    <w:rsid w:val="00727A73"/>
    <w:rsid w:val="007311E6"/>
    <w:rsid w:val="007472BF"/>
    <w:rsid w:val="00752C0A"/>
    <w:rsid w:val="00756182"/>
    <w:rsid w:val="00770BC9"/>
    <w:rsid w:val="00774572"/>
    <w:rsid w:val="00775FF1"/>
    <w:rsid w:val="00790CF5"/>
    <w:rsid w:val="00790E4C"/>
    <w:rsid w:val="00791073"/>
    <w:rsid w:val="0079404C"/>
    <w:rsid w:val="00795DD9"/>
    <w:rsid w:val="00796D59"/>
    <w:rsid w:val="007A2154"/>
    <w:rsid w:val="007A71F4"/>
    <w:rsid w:val="007B1BCF"/>
    <w:rsid w:val="007B2BE6"/>
    <w:rsid w:val="007B6ED8"/>
    <w:rsid w:val="007B79BD"/>
    <w:rsid w:val="007C0342"/>
    <w:rsid w:val="007C255C"/>
    <w:rsid w:val="007C337B"/>
    <w:rsid w:val="007C6BAF"/>
    <w:rsid w:val="007D334A"/>
    <w:rsid w:val="007E38ED"/>
    <w:rsid w:val="007F262F"/>
    <w:rsid w:val="00830149"/>
    <w:rsid w:val="00831CCE"/>
    <w:rsid w:val="00847C54"/>
    <w:rsid w:val="00853B10"/>
    <w:rsid w:val="008543B1"/>
    <w:rsid w:val="00854680"/>
    <w:rsid w:val="00856651"/>
    <w:rsid w:val="00881AB7"/>
    <w:rsid w:val="008923FE"/>
    <w:rsid w:val="008A0D2E"/>
    <w:rsid w:val="008D18EB"/>
    <w:rsid w:val="00900B0F"/>
    <w:rsid w:val="00904B40"/>
    <w:rsid w:val="00922559"/>
    <w:rsid w:val="00924951"/>
    <w:rsid w:val="0093177D"/>
    <w:rsid w:val="00935061"/>
    <w:rsid w:val="00954930"/>
    <w:rsid w:val="00954B3D"/>
    <w:rsid w:val="009558DE"/>
    <w:rsid w:val="0095697C"/>
    <w:rsid w:val="009634A5"/>
    <w:rsid w:val="00963F87"/>
    <w:rsid w:val="0097270D"/>
    <w:rsid w:val="009809AD"/>
    <w:rsid w:val="00985F9F"/>
    <w:rsid w:val="00987B93"/>
    <w:rsid w:val="009A659B"/>
    <w:rsid w:val="009B4A5A"/>
    <w:rsid w:val="009C19E5"/>
    <w:rsid w:val="009C4AB9"/>
    <w:rsid w:val="009D03E4"/>
    <w:rsid w:val="009D0464"/>
    <w:rsid w:val="009D6A56"/>
    <w:rsid w:val="009E15F3"/>
    <w:rsid w:val="009F1B29"/>
    <w:rsid w:val="009F37A8"/>
    <w:rsid w:val="009F3FA5"/>
    <w:rsid w:val="009F79A6"/>
    <w:rsid w:val="00A02780"/>
    <w:rsid w:val="00A03E45"/>
    <w:rsid w:val="00A1495E"/>
    <w:rsid w:val="00A1632E"/>
    <w:rsid w:val="00A201E6"/>
    <w:rsid w:val="00A27F12"/>
    <w:rsid w:val="00A3701C"/>
    <w:rsid w:val="00A4052C"/>
    <w:rsid w:val="00A524CC"/>
    <w:rsid w:val="00A627B6"/>
    <w:rsid w:val="00A746DB"/>
    <w:rsid w:val="00A7485C"/>
    <w:rsid w:val="00A74C00"/>
    <w:rsid w:val="00A8249F"/>
    <w:rsid w:val="00A8635A"/>
    <w:rsid w:val="00A91B5A"/>
    <w:rsid w:val="00AC586B"/>
    <w:rsid w:val="00AC63CB"/>
    <w:rsid w:val="00AC6FDC"/>
    <w:rsid w:val="00AF5951"/>
    <w:rsid w:val="00B01BB9"/>
    <w:rsid w:val="00B1050B"/>
    <w:rsid w:val="00B17167"/>
    <w:rsid w:val="00B31664"/>
    <w:rsid w:val="00B350A1"/>
    <w:rsid w:val="00B40F6C"/>
    <w:rsid w:val="00B42E8F"/>
    <w:rsid w:val="00B43F1B"/>
    <w:rsid w:val="00B56922"/>
    <w:rsid w:val="00B57A34"/>
    <w:rsid w:val="00B61D56"/>
    <w:rsid w:val="00B74D50"/>
    <w:rsid w:val="00B757CC"/>
    <w:rsid w:val="00B830DC"/>
    <w:rsid w:val="00BA0403"/>
    <w:rsid w:val="00BA18BF"/>
    <w:rsid w:val="00BA5915"/>
    <w:rsid w:val="00BB22E3"/>
    <w:rsid w:val="00BC0463"/>
    <w:rsid w:val="00BD1C84"/>
    <w:rsid w:val="00BD4859"/>
    <w:rsid w:val="00BE2C97"/>
    <w:rsid w:val="00BE6DBE"/>
    <w:rsid w:val="00BF68F9"/>
    <w:rsid w:val="00C00FC3"/>
    <w:rsid w:val="00C03270"/>
    <w:rsid w:val="00C0327B"/>
    <w:rsid w:val="00C0442F"/>
    <w:rsid w:val="00C06E7B"/>
    <w:rsid w:val="00C155D4"/>
    <w:rsid w:val="00C22941"/>
    <w:rsid w:val="00C2322E"/>
    <w:rsid w:val="00C26529"/>
    <w:rsid w:val="00C346B9"/>
    <w:rsid w:val="00C40B37"/>
    <w:rsid w:val="00C536D3"/>
    <w:rsid w:val="00C660DF"/>
    <w:rsid w:val="00C66133"/>
    <w:rsid w:val="00C82ED8"/>
    <w:rsid w:val="00C97F4F"/>
    <w:rsid w:val="00CB43E3"/>
    <w:rsid w:val="00CC0104"/>
    <w:rsid w:val="00CC067E"/>
    <w:rsid w:val="00CC3A58"/>
    <w:rsid w:val="00CC5754"/>
    <w:rsid w:val="00CD148E"/>
    <w:rsid w:val="00CE2049"/>
    <w:rsid w:val="00D05F7E"/>
    <w:rsid w:val="00D06A6F"/>
    <w:rsid w:val="00D10C69"/>
    <w:rsid w:val="00D20084"/>
    <w:rsid w:val="00D31095"/>
    <w:rsid w:val="00D53267"/>
    <w:rsid w:val="00D7374A"/>
    <w:rsid w:val="00D75517"/>
    <w:rsid w:val="00D857FC"/>
    <w:rsid w:val="00D91973"/>
    <w:rsid w:val="00D95E18"/>
    <w:rsid w:val="00DA10C2"/>
    <w:rsid w:val="00DA31BA"/>
    <w:rsid w:val="00DA7EC6"/>
    <w:rsid w:val="00DB3905"/>
    <w:rsid w:val="00DB4118"/>
    <w:rsid w:val="00DC2309"/>
    <w:rsid w:val="00DC73C6"/>
    <w:rsid w:val="00DD46BD"/>
    <w:rsid w:val="00DD7244"/>
    <w:rsid w:val="00DE1F38"/>
    <w:rsid w:val="00DE3D23"/>
    <w:rsid w:val="00DE5BE2"/>
    <w:rsid w:val="00DE785A"/>
    <w:rsid w:val="00DF0A36"/>
    <w:rsid w:val="00DF42A8"/>
    <w:rsid w:val="00E02F86"/>
    <w:rsid w:val="00E04BB8"/>
    <w:rsid w:val="00E253F7"/>
    <w:rsid w:val="00E274F6"/>
    <w:rsid w:val="00E34A1B"/>
    <w:rsid w:val="00E366C7"/>
    <w:rsid w:val="00E429CE"/>
    <w:rsid w:val="00E429ED"/>
    <w:rsid w:val="00E605AB"/>
    <w:rsid w:val="00E62868"/>
    <w:rsid w:val="00E825D1"/>
    <w:rsid w:val="00E826D7"/>
    <w:rsid w:val="00E86464"/>
    <w:rsid w:val="00E95808"/>
    <w:rsid w:val="00EB3E72"/>
    <w:rsid w:val="00EB4C93"/>
    <w:rsid w:val="00EB6874"/>
    <w:rsid w:val="00EC6849"/>
    <w:rsid w:val="00EC7675"/>
    <w:rsid w:val="00ED693A"/>
    <w:rsid w:val="00EF30E7"/>
    <w:rsid w:val="00EF3634"/>
    <w:rsid w:val="00F01FDC"/>
    <w:rsid w:val="00F040DF"/>
    <w:rsid w:val="00F04A43"/>
    <w:rsid w:val="00F1355E"/>
    <w:rsid w:val="00F15E06"/>
    <w:rsid w:val="00F223E2"/>
    <w:rsid w:val="00F31498"/>
    <w:rsid w:val="00F515CA"/>
    <w:rsid w:val="00F54BD6"/>
    <w:rsid w:val="00F62436"/>
    <w:rsid w:val="00F64E4B"/>
    <w:rsid w:val="00F66578"/>
    <w:rsid w:val="00F6797E"/>
    <w:rsid w:val="00F7035A"/>
    <w:rsid w:val="00F7079F"/>
    <w:rsid w:val="00FB370A"/>
    <w:rsid w:val="00FB5485"/>
    <w:rsid w:val="00FB7BFB"/>
    <w:rsid w:val="00FE088D"/>
    <w:rsid w:val="00FE279D"/>
    <w:rsid w:val="00FE4C9C"/>
    <w:rsid w:val="019AEA63"/>
    <w:rsid w:val="02515EDF"/>
    <w:rsid w:val="02CE0D57"/>
    <w:rsid w:val="02D58717"/>
    <w:rsid w:val="0356A7DB"/>
    <w:rsid w:val="044CA86C"/>
    <w:rsid w:val="04D20668"/>
    <w:rsid w:val="052ACA14"/>
    <w:rsid w:val="058B99BE"/>
    <w:rsid w:val="06B6FB5F"/>
    <w:rsid w:val="078611D4"/>
    <w:rsid w:val="0799641F"/>
    <w:rsid w:val="0816395C"/>
    <w:rsid w:val="0884614A"/>
    <w:rsid w:val="09086916"/>
    <w:rsid w:val="0A1B7FF6"/>
    <w:rsid w:val="0BF3D66C"/>
    <w:rsid w:val="0CFD070A"/>
    <w:rsid w:val="0D6A0DDC"/>
    <w:rsid w:val="0D7758B2"/>
    <w:rsid w:val="0F59DB97"/>
    <w:rsid w:val="137A0D54"/>
    <w:rsid w:val="13C56ABD"/>
    <w:rsid w:val="13DB3FE2"/>
    <w:rsid w:val="13FF8813"/>
    <w:rsid w:val="159D688F"/>
    <w:rsid w:val="16421190"/>
    <w:rsid w:val="16FE484B"/>
    <w:rsid w:val="1760EC67"/>
    <w:rsid w:val="17933F00"/>
    <w:rsid w:val="179FEADF"/>
    <w:rsid w:val="18717C67"/>
    <w:rsid w:val="18C24D48"/>
    <w:rsid w:val="1B84FB20"/>
    <w:rsid w:val="1D456EC8"/>
    <w:rsid w:val="1D652235"/>
    <w:rsid w:val="1E21125D"/>
    <w:rsid w:val="1F81E207"/>
    <w:rsid w:val="1FB04ECA"/>
    <w:rsid w:val="21791D33"/>
    <w:rsid w:val="2199B425"/>
    <w:rsid w:val="227BD960"/>
    <w:rsid w:val="22967877"/>
    <w:rsid w:val="2605E868"/>
    <w:rsid w:val="2721AFE8"/>
    <w:rsid w:val="28B0ED32"/>
    <w:rsid w:val="28D5A424"/>
    <w:rsid w:val="2905F327"/>
    <w:rsid w:val="295DCBBB"/>
    <w:rsid w:val="29CD2A69"/>
    <w:rsid w:val="2BC08AE1"/>
    <w:rsid w:val="2C1158CB"/>
    <w:rsid w:val="2C331FD7"/>
    <w:rsid w:val="2CA51063"/>
    <w:rsid w:val="2DE6AC10"/>
    <w:rsid w:val="2E095D63"/>
    <w:rsid w:val="2EBD975B"/>
    <w:rsid w:val="2F9840D0"/>
    <w:rsid w:val="2FE1F925"/>
    <w:rsid w:val="30DA276B"/>
    <w:rsid w:val="3150EAD2"/>
    <w:rsid w:val="32400231"/>
    <w:rsid w:val="33B2F8E6"/>
    <w:rsid w:val="34E576DF"/>
    <w:rsid w:val="363CFFFD"/>
    <w:rsid w:val="377F3F31"/>
    <w:rsid w:val="38985C24"/>
    <w:rsid w:val="38E8F438"/>
    <w:rsid w:val="392C5EFB"/>
    <w:rsid w:val="39ED2E11"/>
    <w:rsid w:val="3AAABC99"/>
    <w:rsid w:val="3BD16155"/>
    <w:rsid w:val="3BEADC6A"/>
    <w:rsid w:val="3CBA87A7"/>
    <w:rsid w:val="3CF2E804"/>
    <w:rsid w:val="3D3DE538"/>
    <w:rsid w:val="3D7BBF2F"/>
    <w:rsid w:val="3EB84562"/>
    <w:rsid w:val="3EDC2FB3"/>
    <w:rsid w:val="3F7CC779"/>
    <w:rsid w:val="403C38F0"/>
    <w:rsid w:val="415083E3"/>
    <w:rsid w:val="429A86E1"/>
    <w:rsid w:val="445690FD"/>
    <w:rsid w:val="452BAD56"/>
    <w:rsid w:val="45C25C05"/>
    <w:rsid w:val="460F92E2"/>
    <w:rsid w:val="46F349C3"/>
    <w:rsid w:val="476297A7"/>
    <w:rsid w:val="478DFE75"/>
    <w:rsid w:val="480BDFE4"/>
    <w:rsid w:val="488688B0"/>
    <w:rsid w:val="48BF2223"/>
    <w:rsid w:val="4A799233"/>
    <w:rsid w:val="4C075BAD"/>
    <w:rsid w:val="4C27BB3E"/>
    <w:rsid w:val="4C6000D8"/>
    <w:rsid w:val="4CACD66F"/>
    <w:rsid w:val="4D6DCDDA"/>
    <w:rsid w:val="4D80CA21"/>
    <w:rsid w:val="4D9EE7BD"/>
    <w:rsid w:val="4E116EF2"/>
    <w:rsid w:val="4F321022"/>
    <w:rsid w:val="51A16337"/>
    <w:rsid w:val="52FD37C9"/>
    <w:rsid w:val="5385DD4F"/>
    <w:rsid w:val="543AA994"/>
    <w:rsid w:val="54AE6832"/>
    <w:rsid w:val="554E3AFB"/>
    <w:rsid w:val="5597A386"/>
    <w:rsid w:val="5696BBFF"/>
    <w:rsid w:val="58BA1E58"/>
    <w:rsid w:val="59153408"/>
    <w:rsid w:val="594967CA"/>
    <w:rsid w:val="594AEA3F"/>
    <w:rsid w:val="59BE266E"/>
    <w:rsid w:val="5A48BFA5"/>
    <w:rsid w:val="5B5A6B09"/>
    <w:rsid w:val="5D2DE872"/>
    <w:rsid w:val="5E200651"/>
    <w:rsid w:val="5EEDB01E"/>
    <w:rsid w:val="5F578E73"/>
    <w:rsid w:val="5F72E60F"/>
    <w:rsid w:val="60512F1F"/>
    <w:rsid w:val="608CF7E8"/>
    <w:rsid w:val="609C5851"/>
    <w:rsid w:val="60E755A4"/>
    <w:rsid w:val="60FA3202"/>
    <w:rsid w:val="610F508C"/>
    <w:rsid w:val="614DEA2D"/>
    <w:rsid w:val="6193877B"/>
    <w:rsid w:val="639AB57C"/>
    <w:rsid w:val="643A1DD9"/>
    <w:rsid w:val="644EC636"/>
    <w:rsid w:val="649EEA49"/>
    <w:rsid w:val="65B641D9"/>
    <w:rsid w:val="6614552D"/>
    <w:rsid w:val="6822CE63"/>
    <w:rsid w:val="696972EE"/>
    <w:rsid w:val="6971827F"/>
    <w:rsid w:val="6A5628A9"/>
    <w:rsid w:val="6B8529C5"/>
    <w:rsid w:val="6D586F28"/>
    <w:rsid w:val="6D6840F7"/>
    <w:rsid w:val="6E6B641F"/>
    <w:rsid w:val="6E8CC163"/>
    <w:rsid w:val="6F30A684"/>
    <w:rsid w:val="701DA9B9"/>
    <w:rsid w:val="70B491E3"/>
    <w:rsid w:val="716F7F38"/>
    <w:rsid w:val="7242F5E2"/>
    <w:rsid w:val="72E17256"/>
    <w:rsid w:val="73597C2B"/>
    <w:rsid w:val="748EBC0A"/>
    <w:rsid w:val="766BDD6C"/>
    <w:rsid w:val="77AD7B75"/>
    <w:rsid w:val="78918AD4"/>
    <w:rsid w:val="78FC9242"/>
    <w:rsid w:val="7ACF0490"/>
    <w:rsid w:val="7B8B7E62"/>
    <w:rsid w:val="7BA4F699"/>
    <w:rsid w:val="7BF6C405"/>
    <w:rsid w:val="7CA15B4E"/>
    <w:rsid w:val="7D3CBE98"/>
    <w:rsid w:val="7DA835CA"/>
    <w:rsid w:val="7EB2F39F"/>
    <w:rsid w:val="7EFD42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7A2D4"/>
  <w15:chartTrackingRefBased/>
  <w15:docId w15:val="{BE65F67F-EE70-904E-95B3-0ED70AE4A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1B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1B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1B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1B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1B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1B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1B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1B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1B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B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1B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1B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1B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1B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1B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1B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1B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1BE3"/>
    <w:rPr>
      <w:rFonts w:eastAsiaTheme="majorEastAsia" w:cstheme="majorBidi"/>
      <w:color w:val="272727" w:themeColor="text1" w:themeTint="D8"/>
    </w:rPr>
  </w:style>
  <w:style w:type="paragraph" w:styleId="Title">
    <w:name w:val="Title"/>
    <w:basedOn w:val="Normal"/>
    <w:next w:val="Normal"/>
    <w:link w:val="TitleChar"/>
    <w:uiPriority w:val="10"/>
    <w:qFormat/>
    <w:rsid w:val="00281B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B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1B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1B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1BE3"/>
    <w:pPr>
      <w:spacing w:before="160"/>
      <w:jc w:val="center"/>
    </w:pPr>
    <w:rPr>
      <w:i/>
      <w:iCs/>
      <w:color w:val="404040" w:themeColor="text1" w:themeTint="BF"/>
    </w:rPr>
  </w:style>
  <w:style w:type="character" w:customStyle="1" w:styleId="QuoteChar">
    <w:name w:val="Quote Char"/>
    <w:basedOn w:val="DefaultParagraphFont"/>
    <w:link w:val="Quote"/>
    <w:uiPriority w:val="29"/>
    <w:rsid w:val="00281BE3"/>
    <w:rPr>
      <w:i/>
      <w:iCs/>
      <w:color w:val="404040" w:themeColor="text1" w:themeTint="BF"/>
    </w:rPr>
  </w:style>
  <w:style w:type="paragraph" w:styleId="ListParagraph">
    <w:name w:val="List Paragraph"/>
    <w:basedOn w:val="Normal"/>
    <w:uiPriority w:val="34"/>
    <w:qFormat/>
    <w:rsid w:val="00281BE3"/>
    <w:pPr>
      <w:ind w:left="720"/>
      <w:contextualSpacing/>
    </w:pPr>
  </w:style>
  <w:style w:type="character" w:styleId="IntenseEmphasis">
    <w:name w:val="Intense Emphasis"/>
    <w:basedOn w:val="DefaultParagraphFont"/>
    <w:uiPriority w:val="21"/>
    <w:qFormat/>
    <w:rsid w:val="00281BE3"/>
    <w:rPr>
      <w:i/>
      <w:iCs/>
      <w:color w:val="0F4761" w:themeColor="accent1" w:themeShade="BF"/>
    </w:rPr>
  </w:style>
  <w:style w:type="paragraph" w:styleId="IntenseQuote">
    <w:name w:val="Intense Quote"/>
    <w:basedOn w:val="Normal"/>
    <w:next w:val="Normal"/>
    <w:link w:val="IntenseQuoteChar"/>
    <w:uiPriority w:val="30"/>
    <w:qFormat/>
    <w:rsid w:val="00281B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1BE3"/>
    <w:rPr>
      <w:i/>
      <w:iCs/>
      <w:color w:val="0F4761" w:themeColor="accent1" w:themeShade="BF"/>
    </w:rPr>
  </w:style>
  <w:style w:type="character" w:styleId="IntenseReference">
    <w:name w:val="Intense Reference"/>
    <w:basedOn w:val="DefaultParagraphFont"/>
    <w:uiPriority w:val="32"/>
    <w:qFormat/>
    <w:rsid w:val="00281BE3"/>
    <w:rPr>
      <w:b/>
      <w:bCs/>
      <w:smallCaps/>
      <w:color w:val="0F4761" w:themeColor="accent1" w:themeShade="BF"/>
      <w:spacing w:val="5"/>
    </w:rPr>
  </w:style>
  <w:style w:type="table" w:styleId="TableGrid">
    <w:name w:val="Table Grid"/>
    <w:basedOn w:val="TableNormal"/>
    <w:uiPriority w:val="39"/>
    <w:rsid w:val="00CC067E"/>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C067E"/>
    <w:pPr>
      <w:spacing w:before="100" w:beforeAutospacing="1" w:after="100" w:afterAutospacing="1" w:line="240" w:lineRule="auto"/>
    </w:pPr>
    <w:rPr>
      <w:rFonts w:ascii="Times New Roman" w:eastAsia="Times New Roman" w:hAnsi="Times New Roman" w:cs="Times New Roman"/>
      <w:kern w:val="0"/>
      <w:lang w:val="en-CA"/>
      <w14:ligatures w14:val="none"/>
    </w:rPr>
  </w:style>
  <w:style w:type="character" w:styleId="Strong">
    <w:name w:val="Strong"/>
    <w:basedOn w:val="DefaultParagraphFont"/>
    <w:uiPriority w:val="22"/>
    <w:qFormat/>
    <w:rsid w:val="00CC067E"/>
    <w:rPr>
      <w:b/>
      <w:bCs/>
    </w:rPr>
  </w:style>
  <w:style w:type="character" w:styleId="Hyperlink">
    <w:name w:val="Hyperlink"/>
    <w:basedOn w:val="DefaultParagraphFont"/>
    <w:uiPriority w:val="99"/>
    <w:unhideWhenUsed/>
    <w:rsid w:val="000A4C1E"/>
    <w:rPr>
      <w:color w:val="467886" w:themeColor="hyperlink"/>
      <w:u w:val="single"/>
    </w:rPr>
  </w:style>
  <w:style w:type="character" w:styleId="UnresolvedMention">
    <w:name w:val="Unresolved Mention"/>
    <w:basedOn w:val="DefaultParagraphFont"/>
    <w:uiPriority w:val="99"/>
    <w:semiHidden/>
    <w:unhideWhenUsed/>
    <w:rsid w:val="000A4C1E"/>
    <w:rPr>
      <w:color w:val="605E5C"/>
      <w:shd w:val="clear" w:color="auto" w:fill="E1DFDD"/>
    </w:rPr>
  </w:style>
  <w:style w:type="paragraph" w:styleId="Header">
    <w:name w:val="header"/>
    <w:basedOn w:val="Normal"/>
    <w:link w:val="HeaderChar"/>
    <w:uiPriority w:val="99"/>
    <w:semiHidden/>
    <w:unhideWhenUsed/>
    <w:rsid w:val="00881AB7"/>
    <w:pPr>
      <w:tabs>
        <w:tab w:val="center" w:pos="4680"/>
        <w:tab w:val="right" w:pos="9360"/>
      </w:tabs>
      <w:spacing w:after="0" w:line="240" w:lineRule="auto"/>
    </w:pPr>
  </w:style>
  <w:style w:type="paragraph" w:styleId="Footer">
    <w:name w:val="footer"/>
    <w:basedOn w:val="Normal"/>
    <w:link w:val="FooterChar"/>
    <w:uiPriority w:val="99"/>
    <w:semiHidden/>
    <w:unhideWhenUsed/>
    <w:rsid w:val="00881A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FAB"/>
  </w:style>
  <w:style w:type="character" w:customStyle="1" w:styleId="FooterChar">
    <w:name w:val="Footer Char"/>
    <w:basedOn w:val="DefaultParagraphFont"/>
    <w:link w:val="Footer"/>
    <w:uiPriority w:val="99"/>
    <w:rsid w:val="002D3FAB"/>
  </w:style>
  <w:style w:type="character" w:styleId="FollowedHyperlink">
    <w:name w:val="FollowedHyperlink"/>
    <w:basedOn w:val="DefaultParagraphFont"/>
    <w:uiPriority w:val="99"/>
    <w:semiHidden/>
    <w:unhideWhenUsed/>
    <w:rsid w:val="00C229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08182">
      <w:bodyDiv w:val="1"/>
      <w:marLeft w:val="0"/>
      <w:marRight w:val="0"/>
      <w:marTop w:val="0"/>
      <w:marBottom w:val="0"/>
      <w:divBdr>
        <w:top w:val="none" w:sz="0" w:space="0" w:color="auto"/>
        <w:left w:val="none" w:sz="0" w:space="0" w:color="auto"/>
        <w:bottom w:val="none" w:sz="0" w:space="0" w:color="auto"/>
        <w:right w:val="none" w:sz="0" w:space="0" w:color="auto"/>
      </w:divBdr>
    </w:div>
    <w:div w:id="603461104">
      <w:bodyDiv w:val="1"/>
      <w:marLeft w:val="0"/>
      <w:marRight w:val="0"/>
      <w:marTop w:val="0"/>
      <w:marBottom w:val="0"/>
      <w:divBdr>
        <w:top w:val="none" w:sz="0" w:space="0" w:color="auto"/>
        <w:left w:val="none" w:sz="0" w:space="0" w:color="auto"/>
        <w:bottom w:val="none" w:sz="0" w:space="0" w:color="auto"/>
        <w:right w:val="none" w:sz="0" w:space="0" w:color="auto"/>
      </w:divBdr>
    </w:div>
    <w:div w:id="767510247">
      <w:bodyDiv w:val="1"/>
      <w:marLeft w:val="0"/>
      <w:marRight w:val="0"/>
      <w:marTop w:val="0"/>
      <w:marBottom w:val="0"/>
      <w:divBdr>
        <w:top w:val="none" w:sz="0" w:space="0" w:color="auto"/>
        <w:left w:val="none" w:sz="0" w:space="0" w:color="auto"/>
        <w:bottom w:val="none" w:sz="0" w:space="0" w:color="auto"/>
        <w:right w:val="none" w:sz="0" w:space="0" w:color="auto"/>
      </w:divBdr>
    </w:div>
    <w:div w:id="958297129">
      <w:bodyDiv w:val="1"/>
      <w:marLeft w:val="0"/>
      <w:marRight w:val="0"/>
      <w:marTop w:val="0"/>
      <w:marBottom w:val="0"/>
      <w:divBdr>
        <w:top w:val="none" w:sz="0" w:space="0" w:color="auto"/>
        <w:left w:val="none" w:sz="0" w:space="0" w:color="auto"/>
        <w:bottom w:val="none" w:sz="0" w:space="0" w:color="auto"/>
        <w:right w:val="none" w:sz="0" w:space="0" w:color="auto"/>
      </w:divBdr>
    </w:div>
    <w:div w:id="1171264131">
      <w:bodyDiv w:val="1"/>
      <w:marLeft w:val="0"/>
      <w:marRight w:val="0"/>
      <w:marTop w:val="0"/>
      <w:marBottom w:val="0"/>
      <w:divBdr>
        <w:top w:val="none" w:sz="0" w:space="0" w:color="auto"/>
        <w:left w:val="none" w:sz="0" w:space="0" w:color="auto"/>
        <w:bottom w:val="none" w:sz="0" w:space="0" w:color="auto"/>
        <w:right w:val="none" w:sz="0" w:space="0" w:color="auto"/>
      </w:divBdr>
    </w:div>
    <w:div w:id="2002274353">
      <w:bodyDiv w:val="1"/>
      <w:marLeft w:val="0"/>
      <w:marRight w:val="0"/>
      <w:marTop w:val="0"/>
      <w:marBottom w:val="0"/>
      <w:divBdr>
        <w:top w:val="none" w:sz="0" w:space="0" w:color="auto"/>
        <w:left w:val="none" w:sz="0" w:space="0" w:color="auto"/>
        <w:bottom w:val="none" w:sz="0" w:space="0" w:color="auto"/>
        <w:right w:val="none" w:sz="0" w:space="0" w:color="auto"/>
      </w:divBdr>
    </w:div>
    <w:div w:id="2080513559">
      <w:bodyDiv w:val="1"/>
      <w:marLeft w:val="0"/>
      <w:marRight w:val="0"/>
      <w:marTop w:val="0"/>
      <w:marBottom w:val="0"/>
      <w:divBdr>
        <w:top w:val="none" w:sz="0" w:space="0" w:color="auto"/>
        <w:left w:val="none" w:sz="0" w:space="0" w:color="auto"/>
        <w:bottom w:val="none" w:sz="0" w:space="0" w:color="auto"/>
        <w:right w:val="none" w:sz="0" w:space="0" w:color="auto"/>
      </w:divBdr>
    </w:div>
    <w:div w:id="2089959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bing.com/ck/a?!&amp;&amp;p=e3395966c92efecd607639efed36ad5eb126cef6cbbdfbaed24654ba2a2f06dbJmltdHM9MTczMzQ0MzIwMA&amp;ptn=3&amp;ver=2&amp;hsh=4&amp;fclid=1d91247a-c895-6586-0d4b-378ec93f64b7&amp;u=a1aHR0cHM6Ly9wZXJzb25hbC52YW5ndWFyZC5jb20vdXMvY29udGVudC9NeVBvcnRmb2xpby9hbmFseXRpY3MvcHdMTU1ya3RDYXBpdGFsaXphdGlvbkNvbnRlbnQuanNwP21zb2NraWQ9MWQ5MTI0N2FjODk1NjU4NjBkNGIzNzhlYzkzZjY0Yjc&amp;ntb=1"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www.bing.com/ck/a?!&amp;&amp;p=c459a64734d7cc492f9d3ed9ff05f8da80e426642bdc01b2d9a21ae21993dafdJmltdHM9MTczMzQ0MzIwMA&amp;ptn=3&amp;ver=2&amp;hsh=4&amp;fclid=1d91247a-c895-6586-0d4b-378ec93f64b7&amp;u=a1aHR0cHM6Ly9wZXJzb25hbC52YW5ndWFyZC5jb20vdXMvY29udGVudC9NeVBvcnRmb2xpby9hbmFseXRpY3MvcHdMTU1ya3RDYXBEZXRhaWxzQ29udGVudC5qc3A_bXNvY2tpZD0xZDkxMjQ3YWM4OTU2NTg2MGQ0YjM3OGVjOTNmNjRiNw&amp;ntb=1"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fullratio.com/stocks/nyse-jnj/pe-ratio" TargetMode="External"/><Relationship Id="rId63" Type="http://schemas.openxmlformats.org/officeDocument/2006/relationships/hyperlink" Target="https://abc.xyz/investor" TargetMode="External"/><Relationship Id="rId68" Type="http://schemas.openxmlformats.org/officeDocument/2006/relationships/hyperlink" Target="https://www.bloomberg.com/quote/BRK%3AUS" TargetMode="External"/><Relationship Id="rId7" Type="http://schemas.openxmlformats.org/officeDocument/2006/relationships/webSettings" Target="web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bing.com/ck/a?!&amp;&amp;p=e3395966c92efecd607639efed36ad5eb126cef6cbbdfbaed24654ba2a2f06dbJmltdHM9MTczMzQ0MzIwMA&amp;ptn=3&amp;ver=2&amp;hsh=4&amp;fclid=1d91247a-c895-6586-0d4b-378ec93f64b7&amp;u=a1aHR0cHM6Ly9wZXJzb25hbC52YW5ndWFyZC5jb20vdXMvY29udGVudC9NeVBvcnRmb2xpby9hbmFseXRpY3MvcHdMTU1ya3RDYXBpdGFsaXphdGlvbkNvbnRlbnQuanNwP21zb2NraWQ9MWQ5MTI0N2FjODk1NjU4NjBkNGIzNzhlYzkzZjY0Yjc&amp;ntb=1"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forex.com/en-ca/news-and-analysis/johnson-and-johnson-spin-off/" TargetMode="External"/><Relationship Id="rId66" Type="http://schemas.openxmlformats.org/officeDocument/2006/relationships/hyperlink" Target="https://finance.yahoo.com/quote/GOOG" TargetMode="External"/><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s://hbr.org/2021/06/how-johnson-johnson-made-hard-decisions-during-covid" TargetMode="External"/><Relationship Id="rId61" Type="http://schemas.openxmlformats.org/officeDocument/2006/relationships/hyperlink" Target="https://www.reuters.com" TargetMode="Externa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finance.yahoo.com" TargetMode="External"/><Relationship Id="rId65" Type="http://schemas.openxmlformats.org/officeDocument/2006/relationships/hyperlink" Target="https://www.forbes.com/sites/alphabets-stock-analysis" TargetMode="External"/><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nasdaq.com/articles/are-wall-street-analysts-predicting-johnson-johnson-stock-will-climb-or-sink" TargetMode="External"/><Relationship Id="rId64" Type="http://schemas.openxmlformats.org/officeDocument/2006/relationships/hyperlink" Target="https://www.morningstar.com/stocks/xnas/goog/quote" TargetMode="External"/><Relationship Id="rId69" Type="http://schemas.openxmlformats.org/officeDocument/2006/relationships/hyperlink" Target="https://www.bloomberg.com/quote/VTEB:US" TargetMode="External"/><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ishares.com/us/products/239566/ishares-iboxx-investment-grade-corporate-bond-etf" TargetMode="External"/><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hyperlink" Target="https://stockanalysis.com" TargetMode="External"/><Relationship Id="rId67" Type="http://schemas.openxmlformats.org/officeDocument/2006/relationships/hyperlink" Target="https://www.bloomberg.com/quote/BRK%2FB%3AUS" TargetMode="External"/><Relationship Id="rId20" Type="http://schemas.openxmlformats.org/officeDocument/2006/relationships/hyperlink" Target="https://www.wallstreetzen.com/stock-screener/stock-forecast?t=5&amp;p=1&amp;s=mc&amp;sd=desc" TargetMode="External"/><Relationship Id="rId41" Type="http://schemas.openxmlformats.org/officeDocument/2006/relationships/hyperlink" Target="https://www.bing.com/ck/a?!&amp;&amp;p=c459a64734d7cc492f9d3ed9ff05f8da80e426642bdc01b2d9a21ae21993dafdJmltdHM9MTczMzQ0MzIwMA&amp;ptn=3&amp;ver=2&amp;hsh=4&amp;fclid=1d91247a-c895-6586-0d4b-378ec93f64b7&amp;u=a1aHR0cHM6Ly9wZXJzb25hbC52YW5ndWFyZC5jb20vdXMvY29udGVudC9NeVBvcnRmb2xpby9hbmFseXRpY3MvcHdMTU1ya3RDYXBEZXRhaWxzQ29udGVudC5qc3A_bXNvY2tpZD0xZDkxMjQ3YWM4OTU2NTg2MGQ0YjM3OGVjOTNmNjRiNw&amp;ntb=1" TargetMode="External"/><Relationship Id="rId54" Type="http://schemas.openxmlformats.org/officeDocument/2006/relationships/image" Target="media/image38.png"/><Relationship Id="rId62" Type="http://schemas.openxmlformats.org/officeDocument/2006/relationships/hyperlink" Target="https://www.tesla.com/" TargetMode="External"/><Relationship Id="rId70" Type="http://schemas.openxmlformats.org/officeDocument/2006/relationships/hyperlink" Target="https://investor.vanguard.com/etf/profile/VTEB" TargetMode="External"/><Relationship Id="rId75"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trentu-my.sharepoint.com/personal/jacobmattice_trentu_ca/Documents/Investments%20Securit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explosion val="2"/>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B2A-4589-8C7C-C077229AC859}"/>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B2A-4589-8C7C-C077229AC859}"/>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B2A-4589-8C7C-C077229AC859}"/>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B2A-4589-8C7C-C077229AC859}"/>
              </c:ext>
            </c:extLst>
          </c:dPt>
          <c:dLbls>
            <c:dLbl>
              <c:idx val="0"/>
              <c:spPr>
                <a:solidFill>
                  <a:sysClr val="window" lastClr="FFFFFF"/>
                </a:solidFill>
                <a:ln>
                  <a:solidFill>
                    <a:sysClr val="windowText" lastClr="000000">
                      <a:tint val="885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tint val="88500"/>
                        </a:schemeClr>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0B2A-4589-8C7C-C077229AC859}"/>
                </c:ext>
              </c:extLst>
            </c:dLbl>
            <c:dLbl>
              <c:idx val="1"/>
              <c:layout>
                <c:manualLayout>
                  <c:x val="-3.0555555555555582E-2"/>
                  <c:y val="-2.3148148148148147E-2"/>
                </c:manualLayout>
              </c:layout>
              <c:spPr>
                <a:solidFill>
                  <a:sysClr val="window" lastClr="FFFFFF"/>
                </a:solidFill>
                <a:ln>
                  <a:solidFill>
                    <a:sysClr val="windowText" lastClr="000000">
                      <a:tint val="885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tint val="5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0B2A-4589-8C7C-C077229AC859}"/>
                </c:ext>
              </c:extLst>
            </c:dLbl>
            <c:dLbl>
              <c:idx val="2"/>
              <c:layout>
                <c:manualLayout>
                  <c:x val="-1.6666666666666666E-2"/>
                  <c:y val="-1.3888888888888973E-2"/>
                </c:manualLayout>
              </c:layout>
              <c:spPr>
                <a:solidFill>
                  <a:sysClr val="window" lastClr="FFFFFF"/>
                </a:solidFill>
                <a:ln>
                  <a:solidFill>
                    <a:sysClr val="windowText" lastClr="000000">
                      <a:tint val="885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tint val="7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0B2A-4589-8C7C-C077229AC859}"/>
                </c:ext>
              </c:extLst>
            </c:dLbl>
            <c:dLbl>
              <c:idx val="3"/>
              <c:layout>
                <c:manualLayout>
                  <c:x val="-4.7222222222222221E-2"/>
                  <c:y val="4.1666666666666664E-2"/>
                </c:manualLayout>
              </c:layout>
              <c:spPr>
                <a:solidFill>
                  <a:sysClr val="window" lastClr="FFFFFF"/>
                </a:solidFill>
                <a:ln w="9525" cap="flat" cmpd="sng" algn="ctr">
                  <a:solidFill>
                    <a:sysClr val="windowText" lastClr="000000">
                      <a:tint val="885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tint val="985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66345"/>
                        <a:gd name="adj2" fmla="val 39942"/>
                      </a:avLst>
                    </a:prstGeom>
                    <a:noFill/>
                    <a:ln>
                      <a:noFill/>
                    </a:ln>
                  </c15:spPr>
                </c:ext>
                <c:ext xmlns:c16="http://schemas.microsoft.com/office/drawing/2014/chart" uri="{C3380CC4-5D6E-409C-BE32-E72D297353CC}">
                  <c16:uniqueId val="{00000007-0B2A-4589-8C7C-C077229AC859}"/>
                </c:ext>
              </c:extLst>
            </c:dLbl>
            <c:spPr>
              <a:solidFill>
                <a:sysClr val="window" lastClr="FFFFFF"/>
              </a:solidFill>
              <a:ln>
                <a:solidFill>
                  <a:sysClr val="windowText" lastClr="000000">
                    <a:tint val="885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tint val="885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'[Investments Securities.xlsx]Sheet1'!$AB$11:$AB$14</c:f>
              <c:strCache>
                <c:ptCount val="4"/>
                <c:pt idx="0">
                  <c:v>U.S Stocks</c:v>
                </c:pt>
                <c:pt idx="1">
                  <c:v>Long-term bonds</c:v>
                </c:pt>
                <c:pt idx="2">
                  <c:v>Intermediate-term bonds</c:v>
                </c:pt>
                <c:pt idx="3">
                  <c:v>Short-term debt investments</c:v>
                </c:pt>
              </c:strCache>
            </c:strRef>
          </c:cat>
          <c:val>
            <c:numRef>
              <c:f>'[Investments Securities.xlsx]Sheet1'!$AC$11:$AC$14</c:f>
              <c:numCache>
                <c:formatCode>0%</c:formatCode>
                <c:ptCount val="4"/>
                <c:pt idx="0">
                  <c:v>0.55000000000000004</c:v>
                </c:pt>
                <c:pt idx="1">
                  <c:v>0.09</c:v>
                </c:pt>
                <c:pt idx="2">
                  <c:v>0.18</c:v>
                </c:pt>
                <c:pt idx="3">
                  <c:v>0.18</c:v>
                </c:pt>
              </c:numCache>
            </c:numRef>
          </c:val>
          <c:extLst>
            <c:ext xmlns:c16="http://schemas.microsoft.com/office/drawing/2014/chart" uri="{C3380CC4-5D6E-409C-BE32-E72D297353CC}">
              <c16:uniqueId val="{00000008-0B2A-4589-8C7C-C077229AC859}"/>
            </c:ext>
          </c:extLst>
        </c:ser>
        <c:dLbls>
          <c:showLegendKey val="0"/>
          <c:showVal val="0"/>
          <c:showCatName val="0"/>
          <c:showSerName val="0"/>
          <c:showPercent val="0"/>
          <c:showBubbleSize val="0"/>
          <c:showLeaderLines val="0"/>
        </c:dLbls>
        <c:firstSliceAng val="1"/>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a6373d9-9f2c-46f6-8f3b-def0ae92dd2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CBCE8161B0E79469072CBFC1D68EC03" ma:contentTypeVersion="9" ma:contentTypeDescription="Create a new document." ma:contentTypeScope="" ma:versionID="1a5f663e967c7dc4749ad8d831e3f47a">
  <xsd:schema xmlns:xsd="http://www.w3.org/2001/XMLSchema" xmlns:xs="http://www.w3.org/2001/XMLSchema" xmlns:p="http://schemas.microsoft.com/office/2006/metadata/properties" xmlns:ns3="ca6373d9-9f2c-46f6-8f3b-def0ae92dd21" xmlns:ns4="deaa428e-59d7-4a4d-b098-4ff68a0600ec" targetNamespace="http://schemas.microsoft.com/office/2006/metadata/properties" ma:root="true" ma:fieldsID="b54a8a8e889311ef2ed8ac3eb6bb0065" ns3:_="" ns4:_="">
    <xsd:import namespace="ca6373d9-9f2c-46f6-8f3b-def0ae92dd21"/>
    <xsd:import namespace="deaa428e-59d7-4a4d-b098-4ff68a0600e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6373d9-9f2c-46f6-8f3b-def0ae92dd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aa428e-59d7-4a4d-b098-4ff68a0600e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2C0183-87A6-4477-87D1-CDF5BB140404}">
  <ds:schemaRefs>
    <ds:schemaRef ds:uri="http://schemas.microsoft.com/office/2006/metadata/properties"/>
    <ds:schemaRef ds:uri="http://schemas.microsoft.com/office/infopath/2007/PartnerControls"/>
    <ds:schemaRef ds:uri="ca6373d9-9f2c-46f6-8f3b-def0ae92dd21"/>
  </ds:schemaRefs>
</ds:datastoreItem>
</file>

<file path=customXml/itemProps2.xml><?xml version="1.0" encoding="utf-8"?>
<ds:datastoreItem xmlns:ds="http://schemas.openxmlformats.org/officeDocument/2006/customXml" ds:itemID="{04A476C0-675C-4F18-87B6-ABE8F236DB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6373d9-9f2c-46f6-8f3b-def0ae92dd21"/>
    <ds:schemaRef ds:uri="deaa428e-59d7-4a4d-b098-4ff68a0600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63B112-E2C4-454B-A2FC-1534897B3B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70</Pages>
  <Words>17455</Words>
  <Characters>99494</Characters>
  <Application>Microsoft Office Word</Application>
  <DocSecurity>0</DocSecurity>
  <Lines>829</Lines>
  <Paragraphs>233</Paragraphs>
  <ScaleCrop>false</ScaleCrop>
  <Company/>
  <LinksUpToDate>false</LinksUpToDate>
  <CharactersWithSpaces>116716</CharactersWithSpaces>
  <SharedDoc>false</SharedDoc>
  <HLinks>
    <vt:vector size="150" baseType="variant">
      <vt:variant>
        <vt:i4>7798883</vt:i4>
      </vt:variant>
      <vt:variant>
        <vt:i4>75</vt:i4>
      </vt:variant>
      <vt:variant>
        <vt:i4>0</vt:i4>
      </vt:variant>
      <vt:variant>
        <vt:i4>5</vt:i4>
      </vt:variant>
      <vt:variant>
        <vt:lpwstr>https://investor.vanguard.com/etf/profile/VTEB</vt:lpwstr>
      </vt:variant>
      <vt:variant>
        <vt:lpwstr/>
      </vt:variant>
      <vt:variant>
        <vt:i4>7864446</vt:i4>
      </vt:variant>
      <vt:variant>
        <vt:i4>72</vt:i4>
      </vt:variant>
      <vt:variant>
        <vt:i4>0</vt:i4>
      </vt:variant>
      <vt:variant>
        <vt:i4>5</vt:i4>
      </vt:variant>
      <vt:variant>
        <vt:lpwstr>https://www.bloomberg.com/quote/VTEB:US</vt:lpwstr>
      </vt:variant>
      <vt:variant>
        <vt:lpwstr/>
      </vt:variant>
      <vt:variant>
        <vt:i4>6160408</vt:i4>
      </vt:variant>
      <vt:variant>
        <vt:i4>69</vt:i4>
      </vt:variant>
      <vt:variant>
        <vt:i4>0</vt:i4>
      </vt:variant>
      <vt:variant>
        <vt:i4>5</vt:i4>
      </vt:variant>
      <vt:variant>
        <vt:lpwstr>https://www.bloomberg.com/quote/BRK%3AUS</vt:lpwstr>
      </vt:variant>
      <vt:variant>
        <vt:lpwstr/>
      </vt:variant>
      <vt:variant>
        <vt:i4>1900616</vt:i4>
      </vt:variant>
      <vt:variant>
        <vt:i4>66</vt:i4>
      </vt:variant>
      <vt:variant>
        <vt:i4>0</vt:i4>
      </vt:variant>
      <vt:variant>
        <vt:i4>5</vt:i4>
      </vt:variant>
      <vt:variant>
        <vt:lpwstr>https://www.bloomberg.com/quote/BRK%2FB%3AUS</vt:lpwstr>
      </vt:variant>
      <vt:variant>
        <vt:lpwstr/>
      </vt:variant>
      <vt:variant>
        <vt:i4>1179712</vt:i4>
      </vt:variant>
      <vt:variant>
        <vt:i4>63</vt:i4>
      </vt:variant>
      <vt:variant>
        <vt:i4>0</vt:i4>
      </vt:variant>
      <vt:variant>
        <vt:i4>5</vt:i4>
      </vt:variant>
      <vt:variant>
        <vt:lpwstr>https://finance.yahoo.com/quote/GOOG</vt:lpwstr>
      </vt:variant>
      <vt:variant>
        <vt:lpwstr/>
      </vt:variant>
      <vt:variant>
        <vt:i4>5046280</vt:i4>
      </vt:variant>
      <vt:variant>
        <vt:i4>60</vt:i4>
      </vt:variant>
      <vt:variant>
        <vt:i4>0</vt:i4>
      </vt:variant>
      <vt:variant>
        <vt:i4>5</vt:i4>
      </vt:variant>
      <vt:variant>
        <vt:lpwstr>https://www.forbes.com/sites/alphabets-stock-analysis</vt:lpwstr>
      </vt:variant>
      <vt:variant>
        <vt:lpwstr/>
      </vt:variant>
      <vt:variant>
        <vt:i4>7995450</vt:i4>
      </vt:variant>
      <vt:variant>
        <vt:i4>57</vt:i4>
      </vt:variant>
      <vt:variant>
        <vt:i4>0</vt:i4>
      </vt:variant>
      <vt:variant>
        <vt:i4>5</vt:i4>
      </vt:variant>
      <vt:variant>
        <vt:lpwstr>https://www.morningstar.com/stocks/xnas/goog/quote</vt:lpwstr>
      </vt:variant>
      <vt:variant>
        <vt:lpwstr/>
      </vt:variant>
      <vt:variant>
        <vt:i4>393283</vt:i4>
      </vt:variant>
      <vt:variant>
        <vt:i4>54</vt:i4>
      </vt:variant>
      <vt:variant>
        <vt:i4>0</vt:i4>
      </vt:variant>
      <vt:variant>
        <vt:i4>5</vt:i4>
      </vt:variant>
      <vt:variant>
        <vt:lpwstr>https://abc.xyz/investor</vt:lpwstr>
      </vt:variant>
      <vt:variant>
        <vt:lpwstr/>
      </vt:variant>
      <vt:variant>
        <vt:i4>3080232</vt:i4>
      </vt:variant>
      <vt:variant>
        <vt:i4>51</vt:i4>
      </vt:variant>
      <vt:variant>
        <vt:i4>0</vt:i4>
      </vt:variant>
      <vt:variant>
        <vt:i4>5</vt:i4>
      </vt:variant>
      <vt:variant>
        <vt:lpwstr>https://www.tesla.com/</vt:lpwstr>
      </vt:variant>
      <vt:variant>
        <vt:lpwstr/>
      </vt:variant>
      <vt:variant>
        <vt:i4>4522079</vt:i4>
      </vt:variant>
      <vt:variant>
        <vt:i4>48</vt:i4>
      </vt:variant>
      <vt:variant>
        <vt:i4>0</vt:i4>
      </vt:variant>
      <vt:variant>
        <vt:i4>5</vt:i4>
      </vt:variant>
      <vt:variant>
        <vt:lpwstr>https://www.reuters.com/</vt:lpwstr>
      </vt:variant>
      <vt:variant>
        <vt:lpwstr/>
      </vt:variant>
      <vt:variant>
        <vt:i4>3407923</vt:i4>
      </vt:variant>
      <vt:variant>
        <vt:i4>45</vt:i4>
      </vt:variant>
      <vt:variant>
        <vt:i4>0</vt:i4>
      </vt:variant>
      <vt:variant>
        <vt:i4>5</vt:i4>
      </vt:variant>
      <vt:variant>
        <vt:lpwstr>https://finance.yahoo.com/</vt:lpwstr>
      </vt:variant>
      <vt:variant>
        <vt:lpwstr/>
      </vt:variant>
      <vt:variant>
        <vt:i4>7864379</vt:i4>
      </vt:variant>
      <vt:variant>
        <vt:i4>42</vt:i4>
      </vt:variant>
      <vt:variant>
        <vt:i4>0</vt:i4>
      </vt:variant>
      <vt:variant>
        <vt:i4>5</vt:i4>
      </vt:variant>
      <vt:variant>
        <vt:lpwstr>https://stockanalysis.com/</vt:lpwstr>
      </vt:variant>
      <vt:variant>
        <vt:lpwstr/>
      </vt:variant>
      <vt:variant>
        <vt:i4>7733290</vt:i4>
      </vt:variant>
      <vt:variant>
        <vt:i4>39</vt:i4>
      </vt:variant>
      <vt:variant>
        <vt:i4>0</vt:i4>
      </vt:variant>
      <vt:variant>
        <vt:i4>5</vt:i4>
      </vt:variant>
      <vt:variant>
        <vt:lpwstr>https://www.forex.com/en-ca/news-and-analysis/johnson-and-johnson-spin-off/</vt:lpwstr>
      </vt:variant>
      <vt:variant>
        <vt:lpwstr/>
      </vt:variant>
      <vt:variant>
        <vt:i4>4390990</vt:i4>
      </vt:variant>
      <vt:variant>
        <vt:i4>36</vt:i4>
      </vt:variant>
      <vt:variant>
        <vt:i4>0</vt:i4>
      </vt:variant>
      <vt:variant>
        <vt:i4>5</vt:i4>
      </vt:variant>
      <vt:variant>
        <vt:lpwstr>https://hbr.org/2021/06/how-johnson-johnson-made-hard-decisions-during-covid</vt:lpwstr>
      </vt:variant>
      <vt:variant>
        <vt:lpwstr/>
      </vt:variant>
      <vt:variant>
        <vt:i4>4915288</vt:i4>
      </vt:variant>
      <vt:variant>
        <vt:i4>33</vt:i4>
      </vt:variant>
      <vt:variant>
        <vt:i4>0</vt:i4>
      </vt:variant>
      <vt:variant>
        <vt:i4>5</vt:i4>
      </vt:variant>
      <vt:variant>
        <vt:lpwstr>https://www.nasdaq.com/articles/are-wall-street-analysts-predicting-johnson-johnson-stock-will-climb-or-sink</vt:lpwstr>
      </vt:variant>
      <vt:variant>
        <vt:lpwstr/>
      </vt:variant>
      <vt:variant>
        <vt:i4>7798844</vt:i4>
      </vt:variant>
      <vt:variant>
        <vt:i4>30</vt:i4>
      </vt:variant>
      <vt:variant>
        <vt:i4>0</vt:i4>
      </vt:variant>
      <vt:variant>
        <vt:i4>5</vt:i4>
      </vt:variant>
      <vt:variant>
        <vt:lpwstr>https://fullratio.com/stocks/nyse-jnj/pe-ratio</vt:lpwstr>
      </vt:variant>
      <vt:variant>
        <vt:lpwstr/>
      </vt:variant>
      <vt:variant>
        <vt:i4>6357113</vt:i4>
      </vt:variant>
      <vt:variant>
        <vt:i4>27</vt:i4>
      </vt:variant>
      <vt:variant>
        <vt:i4>0</vt:i4>
      </vt:variant>
      <vt:variant>
        <vt:i4>5</vt:i4>
      </vt:variant>
      <vt:variant>
        <vt:lpwstr>https://www.bing.com/ck/a?!&amp;&amp;p=c459a64734d7cc492f9d3ed9ff05f8da80e426642bdc01b2d9a21ae21993dafdJmltdHM9MTczMzQ0MzIwMA&amp;ptn=3&amp;ver=2&amp;hsh=4&amp;fclid=1d91247a-c895-6586-0d4b-378ec93f64b7&amp;u=a1aHR0cHM6Ly9wZXJzb25hbC52YW5ndWFyZC5jb20vdXMvY29udGVudC9NeVBvcnRmb2xpby9hbmFseXRpY3MvcHdMTU1ya3RDYXBEZXRhaWxzQ29udGVudC5qc3A_bXNvY2tpZD0xZDkxMjQ3YWM4OTU2NTg2MGQ0YjM3OGVjOTNmNjRiNw&amp;ntb=1</vt:lpwstr>
      </vt:variant>
      <vt:variant>
        <vt:lpwstr/>
      </vt:variant>
      <vt:variant>
        <vt:i4>6357113</vt:i4>
      </vt:variant>
      <vt:variant>
        <vt:i4>24</vt:i4>
      </vt:variant>
      <vt:variant>
        <vt:i4>0</vt:i4>
      </vt:variant>
      <vt:variant>
        <vt:i4>5</vt:i4>
      </vt:variant>
      <vt:variant>
        <vt:lpwstr>https://www.bing.com/ck/a?!&amp;&amp;p=c459a64734d7cc492f9d3ed9ff05f8da80e426642bdc01b2d9a21ae21993dafdJmltdHM9MTczMzQ0MzIwMA&amp;ptn=3&amp;ver=2&amp;hsh=4&amp;fclid=1d91247a-c895-6586-0d4b-378ec93f64b7&amp;u=a1aHR0cHM6Ly9wZXJzb25hbC52YW5ndWFyZC5jb20vdXMvY29udGVudC9NeVBvcnRmb2xpby9hbmFseXRpY3MvcHdMTU1ya3RDYXBEZXRhaWxzQ29udGVudC5qc3A_bXNvY2tpZD0xZDkxMjQ3YWM4OTU2NTg2MGQ0YjM3OGVjOTNmNjRiNw&amp;ntb=1</vt:lpwstr>
      </vt:variant>
      <vt:variant>
        <vt:lpwstr/>
      </vt:variant>
      <vt:variant>
        <vt:i4>3670062</vt:i4>
      </vt:variant>
      <vt:variant>
        <vt:i4>21</vt:i4>
      </vt:variant>
      <vt:variant>
        <vt:i4>0</vt:i4>
      </vt:variant>
      <vt:variant>
        <vt:i4>5</vt:i4>
      </vt:variant>
      <vt:variant>
        <vt:lpwstr>https://www.bing.com/ck/a?!&amp;&amp;p=e3395966c92efecd607639efed36ad5eb126cef6cbbdfbaed24654ba2a2f06dbJmltdHM9MTczMzQ0MzIwMA&amp;ptn=3&amp;ver=2&amp;hsh=4&amp;fclid=1d91247a-c895-6586-0d4b-378ec93f64b7&amp;u=a1aHR0cHM6Ly9wZXJzb25hbC52YW5ndWFyZC5jb20vdXMvY29udGVudC9NeVBvcnRmb2xpby9hbmFseXRpY3MvcHdMTU1ya3RDYXBpdGFsaXphdGlvbkNvbnRlbnQuanNwP21zb2NraWQ9MWQ5MTI0N2FjODk1NjU4NjBkNGIzNzhlYzkzZjY0Yjc&amp;ntb=1</vt:lpwstr>
      </vt:variant>
      <vt:variant>
        <vt:lpwstr/>
      </vt:variant>
      <vt:variant>
        <vt:i4>3670062</vt:i4>
      </vt:variant>
      <vt:variant>
        <vt:i4>18</vt:i4>
      </vt:variant>
      <vt:variant>
        <vt:i4>0</vt:i4>
      </vt:variant>
      <vt:variant>
        <vt:i4>5</vt:i4>
      </vt:variant>
      <vt:variant>
        <vt:lpwstr>https://www.bing.com/ck/a?!&amp;&amp;p=e3395966c92efecd607639efed36ad5eb126cef6cbbdfbaed24654ba2a2f06dbJmltdHM9MTczMzQ0MzIwMA&amp;ptn=3&amp;ver=2&amp;hsh=4&amp;fclid=1d91247a-c895-6586-0d4b-378ec93f64b7&amp;u=a1aHR0cHM6Ly9wZXJzb25hbC52YW5ndWFyZC5jb20vdXMvY29udGVudC9NeVBvcnRmb2xpby9hbmFseXRpY3MvcHdMTU1ya3RDYXBpdGFsaXphdGlvbkNvbnRlbnQuanNwP21zb2NraWQ9MWQ5MTI0N2FjODk1NjU4NjBkNGIzNzhlYzkzZjY0Yjc&amp;ntb=1</vt:lpwstr>
      </vt:variant>
      <vt:variant>
        <vt:lpwstr/>
      </vt:variant>
      <vt:variant>
        <vt:i4>1572960</vt:i4>
      </vt:variant>
      <vt:variant>
        <vt:i4>15</vt:i4>
      </vt:variant>
      <vt:variant>
        <vt:i4>0</vt:i4>
      </vt:variant>
      <vt:variant>
        <vt:i4>5</vt:i4>
      </vt:variant>
      <vt:variant>
        <vt:lpwstr>https://www.ishares.com/us/products/239566/ishares-iboxx-investment-grade-corporate-bond-etf</vt:lpwstr>
      </vt:variant>
      <vt:variant>
        <vt:lpwstr>/</vt:lpwstr>
      </vt:variant>
      <vt:variant>
        <vt:i4>3014713</vt:i4>
      </vt:variant>
      <vt:variant>
        <vt:i4>12</vt:i4>
      </vt:variant>
      <vt:variant>
        <vt:i4>0</vt:i4>
      </vt:variant>
      <vt:variant>
        <vt:i4>5</vt:i4>
      </vt:variant>
      <vt:variant>
        <vt:lpwstr>https://www.reuters.com/finance</vt:lpwstr>
      </vt:variant>
      <vt:variant>
        <vt:lpwstr/>
      </vt:variant>
      <vt:variant>
        <vt:i4>2621558</vt:i4>
      </vt:variant>
      <vt:variant>
        <vt:i4>9</vt:i4>
      </vt:variant>
      <vt:variant>
        <vt:i4>0</vt:i4>
      </vt:variant>
      <vt:variant>
        <vt:i4>5</vt:i4>
      </vt:variant>
      <vt:variant>
        <vt:lpwstr>https://www.morningstar.com/etfs/xnas/tlt/quote</vt:lpwstr>
      </vt:variant>
      <vt:variant>
        <vt:lpwstr/>
      </vt:variant>
      <vt:variant>
        <vt:i4>6160386</vt:i4>
      </vt:variant>
      <vt:variant>
        <vt:i4>6</vt:i4>
      </vt:variant>
      <vt:variant>
        <vt:i4>0</vt:i4>
      </vt:variant>
      <vt:variant>
        <vt:i4>5</vt:i4>
      </vt:variant>
      <vt:variant>
        <vt:lpwstr>https://www.ishares.com/us/products/239726/ishares-20-plus-year-treasury-bond-etf</vt:lpwstr>
      </vt:variant>
      <vt:variant>
        <vt:lpwstr/>
      </vt:variant>
      <vt:variant>
        <vt:i4>5308434</vt:i4>
      </vt:variant>
      <vt:variant>
        <vt:i4>3</vt:i4>
      </vt:variant>
      <vt:variant>
        <vt:i4>0</vt:i4>
      </vt:variant>
      <vt:variant>
        <vt:i4>5</vt:i4>
      </vt:variant>
      <vt:variant>
        <vt:lpwstr>https://www.wallstreetzen.com/stock-screener/stock-forecast?t=5&amp;p=1&amp;s=mc&amp;sd=desc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Mattice</dc:creator>
  <cp:keywords/>
  <dc:description/>
  <cp:lastModifiedBy>Sahibjeet Singh</cp:lastModifiedBy>
  <cp:revision>214</cp:revision>
  <dcterms:created xsi:type="dcterms:W3CDTF">2024-11-27T21:39:00Z</dcterms:created>
  <dcterms:modified xsi:type="dcterms:W3CDTF">2024-12-19T20:45:00Z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0x0101009CBCE8161B0E79469072CBFC1D68EC03</vt:lpwstr>
  </property>
</Properties>
</file>