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400"/>
              <w:left w:type="dxa" w:w="400"/>
              <w:bottom w:type="dxa" w:w="400"/>
              <w:right w:type="dxa" w:w="400"/>
            </w:tcMar>
          </w:tcPr>
          <w:p>
            <w:pPr>
              <w:spacing w:after="80" w:before="0"/>
              <w:jc w:val="left"/>
            </w:pPr>
            <w:r>
              <w:rPr>
                <w:rFonts w:ascii="Arial" w:cs="Arial" w:eastAsia="Arial" w:hAnsi="Arial"/>
                <w:b/>
                <w:bCs/>
                <w:color w:val="BFD9FF"/>
                <w:sz w:val="20"/>
                <w:szCs w:val="20"/>
              </w:rPr>
              <w:t xml:space="preserve">HACKLONDON 2026</w:t>
            </w:r>
          </w:p>
          <w:p>
            <w:pPr>
              <w:spacing w:after="60" w:before="0"/>
              <w:jc w:val="left"/>
            </w:pPr>
            <w:r>
              <w:rPr>
                <w:rFonts w:ascii="Arial" w:cs="Arial" w:eastAsia="Arial" w:hAnsi="Arial"/>
                <w:b/>
                <w:bCs/>
                <w:color w:val="FFFFFF"/>
                <w:sz w:val="56"/>
                <w:szCs w:val="56"/>
              </w:rPr>
              <w:t xml:space="preserve">Recon AI</w:t>
            </w:r>
          </w:p>
          <w:p>
            <w:pPr>
              <w:spacing w:after="200" w:before="0"/>
              <w:jc w:val="left"/>
            </w:pPr>
            <w:r>
              <w:rPr>
                <w:rFonts w:ascii="Arial" w:cs="Arial" w:eastAsia="Arial" w:hAnsi="Arial"/>
                <w:color w:val="BFD9FF"/>
                <w:sz w:val="26"/>
                <w:szCs w:val="26"/>
              </w:rPr>
              <w:t xml:space="preserve">AI Income Reconciliation for UK IFA Firms</w:t>
            </w:r>
          </w:p>
          <w:p>
            <w:pPr>
              <w:spacing w:after="0" w:before="0"/>
              <w:jc w:val="left"/>
            </w:pPr>
            <w:r>
              <w:rPr>
                <w:rFonts w:ascii="Arial" w:cs="Arial" w:eastAsia="Arial" w:hAnsi="Arial"/>
                <w:i/>
                <w:iCs/>
                <w:color w:val="9DC4FF"/>
                <w:sz w:val="21"/>
                <w:szCs w:val="21"/>
              </w:rPr>
              <w:t xml:space="preserve">Product Spec  •  Build Plan  •  YC-Style Demo Guide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The one-line pitch</w:t>
            </w:r>
          </w:p>
          <w:p>
            <w:pPr>
              <w:spacing w:after="0" w:before="0"/>
            </w:pPr>
            <w:r>
              <w:rPr>
                <w:rFonts w:ascii="Arial" w:cs="Arial" w:eastAsia="Arial" w:hAnsi="Arial"/>
                <w:color w:val="111827"/>
                <w:sz w:val="21"/>
                <w:szCs w:val="21"/>
              </w:rPr>
              <w:t xml:space="preserve">Forward your platform statements to one email address. We reconcile everything and send you a report. That's it.</w:t>
            </w:r>
          </w:p>
        </w:tc>
      </w:tr>
    </w:tbl>
    <w:p>
      <w:pPr>
        <w:spacing w:after="0" w:before="80"/>
      </w:pPr>
      <w:r>
        <w:t xml:space="preserve"/>
      </w:r>
    </w:p>
    <w:p>
      <w:pPr>
        <w:pBdr>
          <w:bottom w:val="single" w:color="DBEAFE" w:sz="4" w:space="1"/>
        </w:pBdr>
        <w:spacing w:after="160" w:before="160"/>
      </w:pPr>
      <w:r>
        <w:t xml:space="preserve"/>
      </w:r>
    </w:p>
    <w:p>
      <w:pPr>
        <w:pStyle w:val="Heading1"/>
        <w:spacing w:after="120" w:before="360"/>
      </w:pPr>
      <w:r>
        <w:rPr>
          <w:rFonts w:ascii="Arial" w:cs="Arial" w:eastAsia="Arial" w:hAnsi="Arial"/>
          <w:b/>
          <w:bCs/>
          <w:color w:val="111827"/>
          <w:sz w:val="36"/>
          <w:szCs w:val="36"/>
        </w:rPr>
        <w:t xml:space="preserve">1. The Problem</w:t>
      </w:r>
    </w:p>
    <w:p>
      <w:pPr>
        <w:spacing w:after="60" w:before="60"/>
      </w:pPr>
      <w:r>
        <w:rPr>
          <w:rFonts w:ascii="Arial" w:cs="Arial" w:eastAsia="Arial" w:hAnsi="Arial"/>
          <w:color w:val="111827"/>
          <w:sz w:val="22"/>
          <w:szCs w:val="22"/>
        </w:rPr>
        <w:t xml:space="preserve">Every UK IFA firm earns money through adviser charges and trail commissions paid by investment platforms. Every month, each platform sends a statement — in its own format, on its own schedule, with its own column names and reference numbers.</w:t>
      </w:r>
    </w:p>
    <w:p>
      <w:pPr>
        <w:spacing w:after="0" w:before="60"/>
      </w:pPr>
      <w:r>
        <w:t xml:space="preserve"/>
      </w:r>
    </w:p>
    <w:p>
      <w:pPr>
        <w:spacing w:after="60" w:before="60"/>
      </w:pPr>
      <w:r>
        <w:rPr>
          <w:rFonts w:ascii="Arial" w:cs="Arial" w:eastAsia="Arial" w:hAnsi="Arial"/>
          <w:color w:val="111827"/>
          <w:sz w:val="22"/>
          <w:szCs w:val="22"/>
        </w:rPr>
        <w:t xml:space="preserve">The firm must then:</w:t>
      </w:r>
    </w:p>
    <w:p>
      <w:pPr>
        <w:pStyle w:val="ListParagraph"/>
        <w:numPr>
          <w:ilvl w:val="0"/>
          <w:numId w:val="2"/>
        </w:numPr>
        <w:spacing w:after="40" w:before="40"/>
      </w:pPr>
      <w:r>
        <w:rPr>
          <w:rFonts w:ascii="Arial" w:cs="Arial" w:eastAsia="Arial" w:hAnsi="Arial"/>
          <w:color w:val="111827"/>
          <w:sz w:val="22"/>
          <w:szCs w:val="22"/>
        </w:rPr>
        <w:t xml:space="preserve">Collect statements from 3–10 platforms</w:t>
      </w:r>
    </w:p>
    <w:p>
      <w:pPr>
        <w:pStyle w:val="ListParagraph"/>
        <w:numPr>
          <w:ilvl w:val="0"/>
          <w:numId w:val="2"/>
        </w:numPr>
        <w:spacing w:after="40" w:before="40"/>
      </w:pPr>
      <w:r>
        <w:rPr>
          <w:rFonts w:ascii="Arial" w:cs="Arial" w:eastAsia="Arial" w:hAnsi="Arial"/>
          <w:color w:val="111827"/>
          <w:sz w:val="22"/>
          <w:szCs w:val="22"/>
        </w:rPr>
        <w:t xml:space="preserve">Re-key or OCR each one manually</w:t>
      </w:r>
    </w:p>
    <w:p>
      <w:pPr>
        <w:pStyle w:val="ListParagraph"/>
        <w:numPr>
          <w:ilvl w:val="0"/>
          <w:numId w:val="2"/>
        </w:numPr>
        <w:spacing w:after="40" w:before="40"/>
      </w:pPr>
      <w:r>
        <w:rPr>
          <w:rFonts w:ascii="Arial" w:cs="Arial" w:eastAsia="Arial" w:hAnsi="Arial"/>
          <w:color w:val="111827"/>
          <w:sz w:val="22"/>
          <w:szCs w:val="22"/>
        </w:rPr>
        <w:t xml:space="preserve">Match every line item to the right client in their back-office</w:t>
      </w:r>
    </w:p>
    <w:p>
      <w:pPr>
        <w:pStyle w:val="ListParagraph"/>
        <w:numPr>
          <w:ilvl w:val="0"/>
          <w:numId w:val="2"/>
        </w:numPr>
        <w:spacing w:after="40" w:before="40"/>
      </w:pPr>
      <w:r>
        <w:rPr>
          <w:rFonts w:ascii="Arial" w:cs="Arial" w:eastAsia="Arial" w:hAnsi="Arial"/>
          <w:color w:val="111827"/>
          <w:sz w:val="22"/>
          <w:szCs w:val="22"/>
        </w:rPr>
        <w:t xml:space="preserve">Find discrepancies and chase the platform</w:t>
      </w:r>
    </w:p>
    <w:p>
      <w:pPr>
        <w:pStyle w:val="ListParagraph"/>
        <w:numPr>
          <w:ilvl w:val="0"/>
          <w:numId w:val="2"/>
        </w:numPr>
        <w:spacing w:after="40" w:before="40"/>
      </w:pPr>
      <w:r>
        <w:rPr>
          <w:rFonts w:ascii="Arial" w:cs="Arial" w:eastAsia="Arial" w:hAnsi="Arial"/>
          <w:color w:val="111827"/>
          <w:sz w:val="22"/>
          <w:szCs w:val="22"/>
        </w:rPr>
        <w:t xml:space="preserve">Post confirmed income to their ledger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2"/>
                <w:szCs w:val="22"/>
              </w:rPr>
              <w:t xml:space="preserve">“Paper statements can be 10 pages long with 25 different income items. You total them separately — and by the time you get to the end, it doesn’t balance, so you have to start again.”</w:t>
            </w:r>
          </w:p>
          <w:p>
            <w:pPr>
              <w:spacing w:after="0" w:before="0"/>
            </w:pPr>
            <w:r>
              <w:rPr>
                <w:rFonts w:ascii="Arial" w:cs="Arial" w:eastAsia="Arial" w:hAnsi="Arial"/>
                <w:color w:val="111827"/>
                <w:sz w:val="21"/>
                <w:szCs w:val="21"/>
              </w:rPr>
              <w:t xml:space="preserve">UK IFA operations manager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0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Income Feed?</w:t>
            </w:r>
          </w:p>
        </w:tc>
        <w:tc>
          <w:tcPr>
            <w:tcW w:type="dxa" w:w="31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Quirk</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Quilter</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XLS (2 tabs)</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API</w:t>
            </w:r>
          </w:p>
        </w:tc>
        <w:tc>
          <w:tcPr>
            <w:tcW w:type="dxa" w:w="3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Pension &amp; non-pension split</w:t>
            </w:r>
          </w:p>
        </w:tc>
      </w:tr>
      <w:tr>
        <w:tc>
          <w:tcPr>
            <w:tcW w:type="dxa" w:w="22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Transact</w:t>
            </w:r>
          </w:p>
        </w:tc>
        <w:tc>
          <w:tcPr>
            <w:tcW w:type="dxa" w:w="20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JSON / CSV</w:t>
            </w:r>
          </w:p>
        </w:tc>
        <w:tc>
          <w:tcPr>
            <w:tcW w:type="dxa" w:w="20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REST API (2024)</w:t>
            </w:r>
          </w:p>
        </w:tc>
        <w:tc>
          <w:tcPr>
            <w:tcW w:type="dxa" w:w="31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200+ transaction codes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Fidelity</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PDF</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Valuations only</w:t>
            </w:r>
          </w:p>
        </w:tc>
        <w:tc>
          <w:tcPr>
            <w:tcW w:type="dxa" w:w="3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40-page statements</w:t>
            </w:r>
          </w:p>
        </w:tc>
      </w:tr>
      <w:tr>
        <w:tc>
          <w:tcPr>
            <w:tcW w:type="dxa" w:w="22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AJ Bell</w:t>
            </w:r>
          </w:p>
        </w:tc>
        <w:tc>
          <w:tcPr>
            <w:tcW w:type="dxa" w:w="20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CSV</w:t>
            </w:r>
          </w:p>
        </w:tc>
        <w:tc>
          <w:tcPr>
            <w:tcW w:type="dxa" w:w="20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Direct API</w:t>
            </w:r>
          </w:p>
        </w:tc>
        <w:tc>
          <w:tcPr>
            <w:tcW w:type="dxa" w:w="31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Most accessible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Aegon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XML (Criterion)</w:t>
            </w:r>
          </w:p>
        </w:tc>
        <w:tc>
          <w:tcPr>
            <w:tcW w:type="dxa" w:w="20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Via Origo Hub</w:t>
            </w:r>
          </w:p>
        </w:tc>
        <w:tc>
          <w:tcPr>
            <w:tcW w:type="dxa" w:w="3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Two separate integrations</w:t>
            </w:r>
          </w:p>
        </w:tc>
      </w:tr>
    </w:tbl>
    <w:p>
      <w:pPr>
        <w:spacing w:after="0" w:before="80"/>
      </w:pPr>
      <w:r>
        <w:t xml:space="preserve"/>
      </w:r>
    </w:p>
    <w:p>
      <w:pPr>
        <w:pBdr>
          <w:bottom w:val="single" w:color="DBEAFE" w:sz="4" w:space="1"/>
        </w:pBdr>
        <w:spacing w:after="160" w:before="160"/>
      </w:pPr>
      <w:r>
        <w:t xml:space="preserve"/>
      </w:r>
    </w:p>
    <w:p>
      <w:pPr>
        <w:pStyle w:val="Heading1"/>
        <w:spacing w:after="120" w:before="360"/>
      </w:pPr>
      <w:r>
        <w:rPr>
          <w:rFonts w:ascii="Arial" w:cs="Arial" w:eastAsia="Arial" w:hAnsi="Arial"/>
          <w:b/>
          <w:bCs/>
          <w:color w:val="111827"/>
          <w:sz w:val="36"/>
          <w:szCs w:val="36"/>
        </w:rPr>
        <w:t xml:space="preserve">2. Target Customer</w:t>
      </w:r>
    </w:p>
    <w:p>
      <w:pPr>
        <w:spacing w:after="60" w:before="60"/>
      </w:pPr>
      <w:r>
        <w:rPr>
          <w:rFonts w:ascii="Arial" w:cs="Arial" w:eastAsia="Arial" w:hAnsi="Arial"/>
          <w:color w:val="111827"/>
          <w:sz w:val="22"/>
          <w:szCs w:val="22"/>
        </w:rPr>
        <w:t xml:space="preserve">Individual IFA firm. 1–100 advisers. Using Intelliflo, Xplan, or Excel. Receiving statements from 3–10 platforms monthly. Currently reconciling manually or outsourcing to IFA Dataflow at 24-hour turnaround with no anomaly detection.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80" w:before="200"/>
            </w:pPr>
            <w:r>
              <w:rPr>
                <w:rFonts w:ascii="Arial" w:cs="Arial" w:eastAsia="Arial" w:hAnsi="Arial"/>
                <w:b/>
                <w:bCs/>
                <w:color w:val="111827"/>
                <w:sz w:val="24"/>
                <w:szCs w:val="24"/>
              </w:rPr>
              <w:t xml:space="preserve">Their monthly reality</w:t>
            </w:r>
          </w:p>
          <w:p>
            <w:pPr>
              <w:pStyle w:val="ListParagraph"/>
              <w:numPr>
                <w:ilvl w:val="0"/>
                <w:numId w:val="3"/>
              </w:numPr>
              <w:spacing w:after="40" w:before="40"/>
            </w:pPr>
            <w:r>
              <w:rPr>
                <w:rFonts w:ascii="Arial" w:cs="Arial" w:eastAsia="Arial" w:hAnsi="Arial"/>
                <w:color w:val="111827"/>
                <w:sz w:val="22"/>
                <w:szCs w:val="22"/>
              </w:rPr>
              <w:t xml:space="preserve">Hours re-keying or waiting for IFA Dataflow</w:t>
            </w:r>
          </w:p>
          <w:p>
            <w:pPr>
              <w:pStyle w:val="ListParagraph"/>
              <w:numPr>
                <w:ilvl w:val="0"/>
                <w:numId w:val="3"/>
              </w:numPr>
              <w:spacing w:after="40" w:before="40"/>
            </w:pPr>
            <w:r>
              <w:rPr>
                <w:rFonts w:ascii="Arial" w:cs="Arial" w:eastAsia="Arial" w:hAnsi="Arial"/>
                <w:color w:val="111827"/>
                <w:sz w:val="22"/>
                <w:szCs w:val="22"/>
              </w:rPr>
              <w:t xml:space="preserve">Missed income they’re not aware of</w:t>
            </w:r>
          </w:p>
          <w:p>
            <w:pPr>
              <w:pStyle w:val="ListParagraph"/>
              <w:numPr>
                <w:ilvl w:val="0"/>
                <w:numId w:val="3"/>
              </w:numPr>
              <w:spacing w:after="40" w:before="40"/>
            </w:pPr>
            <w:r>
              <w:rPr>
                <w:rFonts w:ascii="Arial" w:cs="Arial" w:eastAsia="Arial" w:hAnsi="Arial"/>
                <w:color w:val="111827"/>
                <w:sz w:val="22"/>
                <w:szCs w:val="22"/>
              </w:rPr>
              <w:t xml:space="preserve">No audit trail for FCA purposes</w:t>
            </w:r>
          </w:p>
          <w:p>
            <w:pPr>
              <w:pStyle w:val="ListParagraph"/>
              <w:numPr>
                <w:ilvl w:val="0"/>
                <w:numId w:val="3"/>
              </w:numPr>
              <w:spacing w:after="40" w:before="40"/>
            </w:pPr>
            <w:r>
              <w:rPr>
                <w:rFonts w:ascii="Arial" w:cs="Arial" w:eastAsia="Arial" w:hAnsi="Arial"/>
                <w:color w:val="111827"/>
                <w:sz w:val="22"/>
                <w:szCs w:val="22"/>
              </w:rPr>
              <w:t xml:space="preserve">One staff member’s holiday breaks the whole process</w:t>
            </w:r>
          </w:p>
          <w:p>
            <w:pPr>
              <w:pStyle w:val="ListParagraph"/>
              <w:numPr>
                <w:ilvl w:val="0"/>
                <w:numId w:val="3"/>
              </w:numPr>
              <w:spacing w:after="40" w:before="40"/>
            </w:pPr>
            <w:r>
              <w:rPr>
                <w:rFonts w:ascii="Arial" w:cs="Arial" w:eastAsia="Arial" w:hAnsi="Arial"/>
                <w:color w:val="111827"/>
                <w:sz w:val="22"/>
                <w:szCs w:val="22"/>
              </w:rPr>
              <w:t xml:space="preserve">Charging clients for services not delivered (SJP: £426m remediation)</w:t>
            </w:r>
          </w:p>
        </w:tc>
        <w:tc>
          <w:tcPr>
            <w:tcW w:type="dxa" w:w="468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80" w:before="200"/>
            </w:pPr>
            <w:r>
              <w:rPr>
                <w:rFonts w:ascii="Arial" w:cs="Arial" w:eastAsia="Arial" w:hAnsi="Arial"/>
                <w:b/>
                <w:bCs/>
                <w:color w:val="111827"/>
                <w:sz w:val="24"/>
                <w:szCs w:val="24"/>
              </w:rPr>
              <w:t xml:space="preserve">What they want</w:t>
            </w:r>
          </w:p>
          <w:p>
            <w:pPr>
              <w:pStyle w:val="ListParagraph"/>
              <w:numPr>
                <w:ilvl w:val="0"/>
                <w:numId w:val="3"/>
              </w:numPr>
              <w:spacing w:after="40" w:before="40"/>
            </w:pPr>
            <w:r>
              <w:rPr>
                <w:rFonts w:ascii="Arial" w:cs="Arial" w:eastAsia="Arial" w:hAnsi="Arial"/>
                <w:color w:val="111827"/>
                <w:sz w:val="22"/>
                <w:szCs w:val="22"/>
              </w:rPr>
              <w:t xml:space="preserve">Fast reconciliation — same day</w:t>
            </w:r>
          </w:p>
          <w:p>
            <w:pPr>
              <w:pStyle w:val="ListParagraph"/>
              <w:numPr>
                <w:ilvl w:val="0"/>
                <w:numId w:val="3"/>
              </w:numPr>
              <w:spacing w:after="40" w:before="40"/>
            </w:pPr>
            <w:r>
              <w:rPr>
                <w:rFonts w:ascii="Arial" w:cs="Arial" w:eastAsia="Arial" w:hAnsi="Arial"/>
                <w:color w:val="111827"/>
                <w:sz w:val="22"/>
                <w:szCs w:val="22"/>
              </w:rPr>
              <w:t xml:space="preserve">Know immediately if a payment is wrong</w:t>
            </w:r>
          </w:p>
          <w:p>
            <w:pPr>
              <w:pStyle w:val="ListParagraph"/>
              <w:numPr>
                <w:ilvl w:val="0"/>
                <w:numId w:val="3"/>
              </w:numPr>
              <w:spacing w:after="40" w:before="40"/>
            </w:pPr>
            <w:r>
              <w:rPr>
                <w:rFonts w:ascii="Arial" w:cs="Arial" w:eastAsia="Arial" w:hAnsi="Arial"/>
                <w:color w:val="111827"/>
                <w:sz w:val="22"/>
                <w:szCs w:val="22"/>
              </w:rPr>
              <w:t xml:space="preserve">Plain-English explanation, not a spreadsheet</w:t>
            </w:r>
          </w:p>
          <w:p>
            <w:pPr>
              <w:pStyle w:val="ListParagraph"/>
              <w:numPr>
                <w:ilvl w:val="0"/>
                <w:numId w:val="3"/>
              </w:numPr>
              <w:spacing w:after="40" w:before="40"/>
            </w:pPr>
            <w:r>
              <w:rPr>
                <w:rFonts w:ascii="Arial" w:cs="Arial" w:eastAsia="Arial" w:hAnsi="Arial"/>
                <w:color w:val="111827"/>
                <w:sz w:val="22"/>
                <w:szCs w:val="22"/>
              </w:rPr>
              <w:t xml:space="preserve">Works with platforms they already use</w:t>
            </w:r>
          </w:p>
          <w:p>
            <w:pPr>
              <w:pStyle w:val="ListParagraph"/>
              <w:numPr>
                <w:ilvl w:val="0"/>
                <w:numId w:val="3"/>
              </w:numPr>
              <w:spacing w:after="40" w:before="40"/>
            </w:pPr>
            <w:r>
              <w:rPr>
                <w:rFonts w:ascii="Arial" w:cs="Arial" w:eastAsia="Arial" w:hAnsi="Arial"/>
                <w:color w:val="111827"/>
                <w:sz w:val="22"/>
                <w:szCs w:val="22"/>
              </w:rPr>
              <w:t xml:space="preserve">Requires zero behaviour change to start</w:t>
            </w:r>
          </w:p>
        </w:tc>
      </w:tr>
    </w:tbl>
    <w:p>
      <w:pPr>
        <w:spacing w:after="0" w:before="80"/>
      </w:pPr>
      <w:r>
        <w:t xml:space="preserve"/>
      </w:r>
    </w:p>
    <w:p>
      <w:pPr>
        <w:pBdr>
          <w:bottom w:val="single" w:color="DBEAFE" w:sz="4" w:space="1"/>
        </w:pBdr>
        <w:spacing w:after="160" w:before="160"/>
      </w:pPr>
      <w:r>
        <w:t xml:space="preserve"/>
      </w:r>
    </w:p>
    <w:p>
      <w:pPr>
        <w:pStyle w:val="Heading1"/>
        <w:spacing w:after="120" w:before="360"/>
      </w:pPr>
      <w:r>
        <w:rPr>
          <w:rFonts w:ascii="Arial" w:cs="Arial" w:eastAsia="Arial" w:hAnsi="Arial"/>
          <w:b/>
          <w:bCs/>
          <w:color w:val="111827"/>
          <w:sz w:val="36"/>
          <w:szCs w:val="36"/>
        </w:rPr>
        <w:t xml:space="preserve">3. Product Features</w:t>
      </w:r>
    </w:p>
    <w:p>
      <w:pPr>
        <w:spacing w:after="40" w:before="40"/>
      </w:pPr>
      <w:r>
        <w:rPr>
          <w:rFonts w:ascii="Arial" w:cs="Arial" w:eastAsia="Arial" w:hAnsi="Arial"/>
          <w:i/>
          <w:iCs/>
          <w:color w:val="6B7280"/>
          <w:sz w:val="20"/>
          <w:szCs w:val="20"/>
        </w:rPr>
        <w:t xml:space="preserve">Five features. One individual IFA firm. Networks are the Series A story, not today.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0E4FF" w:val="clear"/>
            <w:tcMar>
              <w:top w:type="dxa" w:w="140"/>
              <w:left w:type="dxa" w:w="220"/>
              <w:bottom w:type="dxa" w:w="140"/>
              <w:right w:type="dxa" w:w="220"/>
            </w:tcMar>
          </w:tcPr>
          <w:p>
            <w:pPr>
              <w:spacing w:after="40" w:before="0"/>
            </w:pPr>
            <w:r>
              <w:rPr>
                <w:rFonts w:ascii="Arial" w:cs="Arial" w:eastAsia="Arial" w:hAnsi="Arial"/>
                <w:b/>
                <w:bCs/>
                <w:color w:val="1A56DB"/>
                <w:sz w:val="20"/>
                <w:szCs w:val="20"/>
              </w:rPr>
              <w:t xml:space="preserve">Feature 1  </w:t>
            </w:r>
            <w:r>
              <w:rPr>
                <w:rFonts w:ascii="Arial" w:cs="Arial" w:eastAsia="Arial" w:hAnsi="Arial"/>
                <w:b/>
                <w:bCs/>
                <w:color w:val="111827"/>
                <w:sz w:val="26"/>
                <w:szCs w:val="26"/>
              </w:rPr>
              <w:t xml:space="preserve">Upload Any Provider Statement</w:t>
            </w:r>
          </w:p>
          <w:p>
            <w:pPr>
              <w:spacing w:after="0" w:before="0"/>
            </w:pPr>
            <w:r>
              <w:rPr>
                <w:rFonts w:ascii="Arial" w:cs="Arial" w:eastAsia="Arial" w:hAnsi="Arial"/>
                <w:i/>
                <w:iCs/>
                <w:color w:val="6B7280"/>
                <w:sz w:val="20"/>
                <w:szCs w:val="20"/>
              </w:rPr>
              <w:t xml:space="preserve">Any platform. Any format. No templates required.</w:t>
            </w:r>
          </w:p>
        </w:tc>
      </w:tr>
    </w:tbl>
    <w:p>
      <w:pPr>
        <w:spacing w:after="0" w:before="60"/>
      </w:pPr>
      <w:r>
        <w:t xml:space="preserve"/>
      </w:r>
    </w:p>
    <w:p>
      <w:pPr>
        <w:spacing w:after="60" w:before="60"/>
      </w:pPr>
      <w:r>
        <w:rPr>
          <w:rFonts w:ascii="Arial" w:cs="Arial" w:eastAsia="Arial" w:hAnsi="Arial"/>
          <w:color w:val="111827"/>
          <w:sz w:val="22"/>
          <w:szCs w:val="22"/>
        </w:rPr>
        <w:t xml:space="preserve">Drop in an XLS, XLSX, CSV or PDF from any UK platform. The AI reads it cold — no pre-built format configuration needed.</w:t>
      </w:r>
    </w:p>
    <w:p>
      <w:pPr>
        <w:spacing w:after="0" w:before="60"/>
      </w:pPr>
      <w:r>
        <w:t xml:space="preserve"/>
      </w:r>
    </w:p>
    <w:p>
      <w:pPr>
        <w:spacing w:after="60" w:before="60"/>
      </w:pPr>
      <w:r>
        <w:rPr>
          <w:rFonts w:ascii="Arial" w:cs="Arial" w:eastAsia="Arial" w:hAnsi="Arial"/>
          <w:b/>
          <w:bCs/>
          <w:color w:val="111827"/>
          <w:sz w:val="22"/>
          <w:szCs w:val="22"/>
        </w:rPr>
        <w:t xml:space="preserve">Output per upload:</w:t>
      </w:r>
    </w:p>
    <w:p>
      <w:pPr>
        <w:pStyle w:val="ListParagraph"/>
        <w:numPr>
          <w:ilvl w:val="0"/>
          <w:numId w:val="3"/>
        </w:numPr>
        <w:spacing w:after="40" w:before="40"/>
      </w:pPr>
      <w:r>
        <w:rPr>
          <w:rFonts w:ascii="Arial" w:cs="Arial" w:eastAsia="Arial" w:hAnsi="Arial"/>
          <w:color w:val="111827"/>
          <w:sz w:val="22"/>
          <w:szCs w:val="22"/>
        </w:rPr>
        <w:t xml:space="preserve">Client name, Plan/account number, Fee type</w:t>
      </w:r>
    </w:p>
    <w:p>
      <w:pPr>
        <w:pStyle w:val="ListParagraph"/>
        <w:numPr>
          <w:ilvl w:val="0"/>
          <w:numId w:val="3"/>
        </w:numPr>
        <w:spacing w:after="40" w:before="40"/>
      </w:pPr>
      <w:r>
        <w:rPr>
          <w:rFonts w:ascii="Arial" w:cs="Arial" w:eastAsia="Arial" w:hAnsi="Arial"/>
          <w:color w:val="111827"/>
          <w:sz w:val="22"/>
          <w:szCs w:val="22"/>
        </w:rPr>
        <w:t xml:space="preserve">Gross amount, Payment date, Platform name</w:t>
      </w:r>
    </w:p>
    <w:p>
      <w:pPr>
        <w:pStyle w:val="ListParagraph"/>
        <w:numPr>
          <w:ilvl w:val="0"/>
          <w:numId w:val="3"/>
        </w:numPr>
        <w:spacing w:after="40" w:before="40"/>
      </w:pPr>
      <w:r>
        <w:rPr>
          <w:rFonts w:ascii="Arial" w:cs="Arial" w:eastAsia="Arial" w:hAnsi="Arial"/>
          <w:color w:val="111827"/>
          <w:sz w:val="22"/>
          <w:szCs w:val="22"/>
        </w:rPr>
        <w:t xml:space="preserve">Confidence score per row — rows under 80% flagged for human review, never silently accepted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Platform quirks handled automatically</w:t>
            </w:r>
          </w:p>
          <w:p>
            <w:pPr>
              <w:spacing w:after="0" w:before="0"/>
            </w:pPr>
            <w:r>
              <w:rPr>
                <w:rFonts w:ascii="Arial" w:cs="Arial" w:eastAsia="Arial" w:hAnsi="Arial"/>
                <w:color w:val="111827"/>
                <w:sz w:val="21"/>
                <w:szCs w:val="21"/>
              </w:rPr>
              <w:t xml:space="preserve">Quilter’s two-tab pension/non-pension split treated as one job. Transact’s 200+ transaction codes mapped to fee types. Multi-page Fidelity PDFs parsed in full. No manual intervention.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0E4FF" w:val="clear"/>
            <w:tcMar>
              <w:top w:type="dxa" w:w="140"/>
              <w:left w:type="dxa" w:w="220"/>
              <w:bottom w:type="dxa" w:w="140"/>
              <w:right w:type="dxa" w:w="220"/>
            </w:tcMar>
          </w:tcPr>
          <w:p>
            <w:pPr>
              <w:spacing w:after="40" w:before="0"/>
            </w:pPr>
            <w:r>
              <w:rPr>
                <w:rFonts w:ascii="Arial" w:cs="Arial" w:eastAsia="Arial" w:hAnsi="Arial"/>
                <w:b/>
                <w:bCs/>
                <w:color w:val="1A56DB"/>
                <w:sz w:val="20"/>
                <w:szCs w:val="20"/>
              </w:rPr>
              <w:t xml:space="preserve">Feature 2  </w:t>
            </w:r>
            <w:r>
              <w:rPr>
                <w:rFonts w:ascii="Arial" w:cs="Arial" w:eastAsia="Arial" w:hAnsi="Arial"/>
                <w:b/>
                <w:bCs/>
                <w:color w:val="111827"/>
                <w:sz w:val="26"/>
                <w:szCs w:val="26"/>
              </w:rPr>
              <w:t xml:space="preserve">Income Reconciliation + Report</w:t>
            </w:r>
          </w:p>
          <w:p>
            <w:pPr>
              <w:spacing w:after="0" w:before="0"/>
            </w:pPr>
            <w:r>
              <w:rPr>
                <w:rFonts w:ascii="Arial" w:cs="Arial" w:eastAsia="Arial" w:hAnsi="Arial"/>
                <w:i/>
                <w:iCs/>
                <w:color w:val="6B7280"/>
                <w:sz w:val="20"/>
                <w:szCs w:val="20"/>
              </w:rPr>
              <w:t xml:space="preserve">Expected vs received. Explained in plain English.</w:t>
            </w:r>
          </w:p>
        </w:tc>
      </w:tr>
    </w:tbl>
    <w:p>
      <w:pPr>
        <w:spacing w:after="0" w:before="60"/>
      </w:pPr>
      <w:r>
        <w:t xml:space="preserve"/>
      </w:r>
    </w:p>
    <w:p>
      <w:pPr>
        <w:spacing w:after="60" w:before="60"/>
      </w:pPr>
      <w:r>
        <w:rPr>
          <w:rFonts w:ascii="Arial" w:cs="Arial" w:eastAsia="Arial" w:hAnsi="Arial"/>
          <w:color w:val="111827"/>
          <w:sz w:val="22"/>
          <w:szCs w:val="22"/>
        </w:rPr>
        <w:t xml:space="preserve">Match extracted statement data against the firm’s client records (imported from CRM or Excel). Identify every gap between what should have arrived and what did.</w:t>
      </w:r>
    </w:p>
    <w:p>
      <w:pPr>
        <w:spacing w:after="0" w:before="60"/>
      </w:pPr>
      <w:r>
        <w:t xml:space="preserve"/>
      </w:r>
    </w:p>
    <w:p>
      <w:pPr>
        <w:spacing w:after="60" w:before="60"/>
      </w:pPr>
      <w:r>
        <w:rPr>
          <w:rFonts w:ascii="Arial" w:cs="Arial" w:eastAsia="Arial" w:hAnsi="Arial"/>
          <w:b/>
          <w:bCs/>
          <w:color w:val="111827"/>
          <w:sz w:val="22"/>
          <w:szCs w:val="22"/>
        </w:rPr>
        <w:t xml:space="preserve">Matching works in three tiers:</w:t>
      </w:r>
    </w:p>
    <w:p>
      <w:pPr>
        <w:pStyle w:val="ListParagraph"/>
        <w:numPr>
          <w:ilvl w:val="0"/>
          <w:numId w:val="3"/>
        </w:numPr>
        <w:spacing w:after="40" w:before="40"/>
      </w:pPr>
      <w:r>
        <w:rPr>
          <w:rFonts w:ascii="Arial" w:cs="Arial" w:eastAsia="Arial" w:hAnsi="Arial"/>
          <w:color w:val="111827"/>
          <w:sz w:val="22"/>
          <w:szCs w:val="22"/>
        </w:rPr>
        <w:t xml:space="preserve">Auto-matched (95%+ confidence) — done, no action needed</w:t>
      </w:r>
    </w:p>
    <w:p>
      <w:pPr>
        <w:pStyle w:val="ListParagraph"/>
        <w:numPr>
          <w:ilvl w:val="0"/>
          <w:numId w:val="3"/>
        </w:numPr>
        <w:spacing w:after="40" w:before="40"/>
      </w:pPr>
      <w:r>
        <w:rPr>
          <w:rFonts w:ascii="Arial" w:cs="Arial" w:eastAsia="Arial" w:hAnsi="Arial"/>
          <w:color w:val="111827"/>
          <w:sz w:val="22"/>
          <w:szCs w:val="22"/>
        </w:rPr>
        <w:t xml:space="preserve">Suggested match (70–95%) — shown for one-click confirmation</w:t>
      </w:r>
    </w:p>
    <w:p>
      <w:pPr>
        <w:pStyle w:val="ListParagraph"/>
        <w:numPr>
          <w:ilvl w:val="0"/>
          <w:numId w:val="3"/>
        </w:numPr>
        <w:spacing w:after="40" w:before="40"/>
      </w:pPr>
      <w:r>
        <w:rPr>
          <w:rFonts w:ascii="Arial" w:cs="Arial" w:eastAsia="Arial" w:hAnsi="Arial"/>
          <w:color w:val="111827"/>
          <w:sz w:val="22"/>
          <w:szCs w:val="22"/>
        </w:rPr>
        <w:t xml:space="preserve">Unmatched / flagged (&lt;70%) — human review required</w:t>
      </w:r>
    </w:p>
    <w:p>
      <w:pPr>
        <w:spacing w:after="0" w:before="60"/>
      </w:pPr>
      <w:r>
        <w:t xml:space="preserve"/>
      </w:r>
    </w:p>
    <w:p>
      <w:pPr>
        <w:spacing w:after="60" w:before="60"/>
      </w:pPr>
      <w:r>
        <w:rPr>
          <w:rFonts w:ascii="Arial" w:cs="Arial" w:eastAsia="Arial" w:hAnsi="Arial"/>
          <w:b/>
          <w:bCs/>
          <w:color w:val="111827"/>
          <w:sz w:val="22"/>
          <w:szCs w:val="22"/>
        </w:rPr>
        <w:t xml:space="preserve">Report contains:</w:t>
      </w:r>
    </w:p>
    <w:p>
      <w:pPr>
        <w:pStyle w:val="ListParagraph"/>
        <w:numPr>
          <w:ilvl w:val="0"/>
          <w:numId w:val="3"/>
        </w:numPr>
        <w:spacing w:after="40" w:before="40"/>
      </w:pPr>
      <w:r>
        <w:rPr>
          <w:rFonts w:ascii="Arial" w:cs="Arial" w:eastAsia="Arial" w:hAnsi="Arial"/>
          <w:color w:val="111827"/>
          <w:sz w:val="22"/>
          <w:szCs w:val="22"/>
        </w:rPr>
        <w:t xml:space="preserve">Total expected income this period vs total received, with £ gap and % variance</w:t>
      </w:r>
    </w:p>
    <w:p>
      <w:pPr>
        <w:pStyle w:val="ListParagraph"/>
        <w:numPr>
          <w:ilvl w:val="0"/>
          <w:numId w:val="3"/>
        </w:numPr>
        <w:spacing w:after="40" w:before="40"/>
      </w:pPr>
      <w:r>
        <w:rPr>
          <w:rFonts w:ascii="Arial" w:cs="Arial" w:eastAsia="Arial" w:hAnsi="Arial"/>
          <w:color w:val="111827"/>
          <w:sz w:val="22"/>
          <w:szCs w:val="22"/>
        </w:rPr>
        <w:t xml:space="preserve">Count and total of auto-matched, suggested, and unmatched items</w:t>
      </w:r>
    </w:p>
    <w:p>
      <w:pPr>
        <w:pStyle w:val="ListParagraph"/>
        <w:numPr>
          <w:ilvl w:val="0"/>
          <w:numId w:val="3"/>
        </w:numPr>
        <w:spacing w:after="40" w:before="40"/>
      </w:pPr>
      <w:r>
        <w:rPr>
          <w:rFonts w:ascii="Arial" w:cs="Arial" w:eastAsia="Arial" w:hAnsi="Arial"/>
          <w:color w:val="111827"/>
          <w:sz w:val="22"/>
          <w:szCs w:val="22"/>
        </w:rPr>
        <w:t xml:space="preserve">Plain-English AI explanation per anomaly — e.g. “14 accounts show zero income. Likely cause: Quilter quarterly cycle — next payment expected 15 Nov.”</w:t>
      </w:r>
    </w:p>
    <w:p>
      <w:pPr>
        <w:pStyle w:val="ListParagraph"/>
        <w:numPr>
          <w:ilvl w:val="0"/>
          <w:numId w:val="3"/>
        </w:numPr>
        <w:spacing w:after="40" w:before="40"/>
      </w:pPr>
      <w:r>
        <w:rPr>
          <w:rFonts w:ascii="Arial" w:cs="Arial" w:eastAsia="Arial" w:hAnsi="Arial"/>
          <w:color w:val="111827"/>
          <w:sz w:val="22"/>
          <w:szCs w:val="22"/>
        </w:rPr>
        <w:t xml:space="preserve">Charging-without-service flag: any client with ongoing fees collected but no review on record for 12+ months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0E4FF" w:val="clear"/>
            <w:tcMar>
              <w:top w:type="dxa" w:w="140"/>
              <w:left w:type="dxa" w:w="220"/>
              <w:bottom w:type="dxa" w:w="140"/>
              <w:right w:type="dxa" w:w="220"/>
            </w:tcMar>
          </w:tcPr>
          <w:p>
            <w:pPr>
              <w:spacing w:after="40" w:before="0"/>
            </w:pPr>
            <w:r>
              <w:rPr>
                <w:rFonts w:ascii="Arial" w:cs="Arial" w:eastAsia="Arial" w:hAnsi="Arial"/>
                <w:b/>
                <w:bCs/>
                <w:color w:val="1A56DB"/>
                <w:sz w:val="20"/>
                <w:szCs w:val="20"/>
              </w:rPr>
              <w:t xml:space="preserve">Feature 3  </w:t>
            </w:r>
            <w:r>
              <w:rPr>
                <w:rFonts w:ascii="Arial" w:cs="Arial" w:eastAsia="Arial" w:hAnsi="Arial"/>
                <w:b/>
                <w:bCs/>
                <w:color w:val="111827"/>
                <w:sz w:val="26"/>
                <w:szCs w:val="26"/>
              </w:rPr>
              <w:t xml:space="preserve">Email In, Report Out</w:t>
            </w:r>
          </w:p>
          <w:p>
            <w:pPr>
              <w:spacing w:after="0" w:before="0"/>
            </w:pPr>
            <w:r>
              <w:rPr>
                <w:rFonts w:ascii="Arial" w:cs="Arial" w:eastAsia="Arial" w:hAnsi="Arial"/>
                <w:i/>
                <w:iCs/>
                <w:color w:val="6B7280"/>
                <w:sz w:val="20"/>
                <w:szCs w:val="20"/>
              </w:rPr>
              <w:t xml:space="preserve">Forward a statement. Get a report back. No login needed.</w:t>
            </w:r>
          </w:p>
        </w:tc>
      </w:tr>
    </w:tbl>
    <w:p>
      <w:pPr>
        <w:spacing w:after="0" w:before="60"/>
      </w:pPr>
      <w:r>
        <w:t xml:space="preserve"/>
      </w:r>
    </w:p>
    <w:p>
      <w:pPr>
        <w:spacing w:after="60" w:before="60"/>
      </w:pPr>
      <w:r>
        <w:rPr>
          <w:rFonts w:ascii="Arial" w:cs="Arial" w:eastAsia="Arial" w:hAnsi="Arial"/>
          <w:color w:val="111827"/>
          <w:sz w:val="22"/>
          <w:szCs w:val="22"/>
        </w:rPr>
        <w:t xml:space="preserve">Every firm gets a unique inbound email address after onboarding, e.g. smithwealth@recon.ai. They forward any platform statement email to it. The AI processes the attachment and replies with the completed reconciliation report within minutes.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BF2FF" w:val="clear"/>
            <w:tcMar>
              <w:top w:type="dxa" w:w="140"/>
              <w:left w:type="dxa" w:w="200"/>
              <w:bottom w:type="dxa" w:w="140"/>
              <w:right w:type="dxa" w:w="200"/>
            </w:tcMar>
          </w:tcPr>
          <w:p>
            <w:pPr>
              <w:spacing w:after="60" w:before="0"/>
            </w:pPr>
            <w:r>
              <w:rPr>
                <w:rFonts w:ascii="Arial" w:cs="Arial" w:eastAsia="Arial" w:hAnsi="Arial"/>
                <w:b/>
                <w:bCs/>
                <w:color w:val="1A56DB"/>
                <w:sz w:val="22"/>
                <w:szCs w:val="22"/>
              </w:rPr>
              <w:t xml:space="preserve">Email flow</w:t>
            </w:r>
          </w:p>
          <w:p>
            <w:pPr>
              <w:spacing w:after="40" w:before="0"/>
            </w:pPr>
            <w:r>
              <w:rPr>
                <w:rFonts w:ascii="Arial" w:cs="Arial" w:eastAsia="Arial" w:hAnsi="Arial"/>
                <w:color w:val="111827"/>
                <w:sz w:val="21"/>
                <w:szCs w:val="21"/>
              </w:rPr>
              <w:t xml:space="preserve">1.  Platform sends statement to adviser</w:t>
            </w:r>
          </w:p>
          <w:p>
            <w:pPr>
              <w:spacing w:after="40" w:before="0"/>
            </w:pPr>
            <w:r>
              <w:rPr>
                <w:rFonts w:ascii="Arial" w:cs="Arial" w:eastAsia="Arial" w:hAnsi="Arial"/>
                <w:color w:val="111827"/>
                <w:sz w:val="21"/>
                <w:szCs w:val="21"/>
              </w:rPr>
              <w:t xml:space="preserve">2.  Adviser forwards to smithwealth@recon.ai</w:t>
            </w:r>
          </w:p>
          <w:p>
            <w:pPr>
              <w:spacing w:after="40" w:before="0"/>
            </w:pPr>
            <w:r>
              <w:rPr>
                <w:rFonts w:ascii="Arial" w:cs="Arial" w:eastAsia="Arial" w:hAnsi="Arial"/>
                <w:color w:val="111827"/>
                <w:sz w:val="21"/>
                <w:szCs w:val="21"/>
              </w:rPr>
              <w:t xml:space="preserve">3.  System receives email, extracts attachment (XLS / PDF / CSV)</w:t>
            </w:r>
          </w:p>
          <w:p>
            <w:pPr>
              <w:spacing w:after="40" w:before="0"/>
            </w:pPr>
            <w:r>
              <w:rPr>
                <w:rFonts w:ascii="Arial" w:cs="Arial" w:eastAsia="Arial" w:hAnsi="Arial"/>
                <w:color w:val="111827"/>
                <w:sz w:val="21"/>
                <w:szCs w:val="21"/>
              </w:rPr>
              <w:t xml:space="preserve">4.  Runs parse + match against their imported client records</w:t>
            </w:r>
          </w:p>
          <w:p>
            <w:pPr>
              <w:spacing w:after="0" w:before="0"/>
            </w:pPr>
            <w:r>
              <w:rPr>
                <w:rFonts w:ascii="Arial" w:cs="Arial" w:eastAsia="Arial" w:hAnsi="Arial"/>
                <w:i/>
                <w:iCs/>
                <w:color w:val="111827"/>
                <w:sz w:val="21"/>
                <w:szCs w:val="21"/>
              </w:rPr>
              <w:t xml:space="preserve">5.  Replies: “Quilter statement processed. £482,310 reconciled. 2 anomalies found. Report attached.”</w:t>
            </w:r>
          </w:p>
        </w:tc>
      </w:tr>
    </w:tbl>
    <w:p>
      <w:pPr>
        <w:spacing w:after="0" w:before="60"/>
      </w:pPr>
      <w:r>
        <w:t xml:space="preserve"/>
      </w:r>
    </w:p>
    <w:p>
      <w:pPr>
        <w:spacing w:after="60" w:before="60"/>
      </w:pPr>
      <w:r>
        <w:rPr>
          <w:rFonts w:ascii="Arial" w:cs="Arial" w:eastAsia="Arial" w:hAnsi="Arial"/>
          <w:color w:val="111827"/>
          <w:sz w:val="22"/>
          <w:szCs w:val="22"/>
        </w:rPr>
        <w:t xml:space="preserve">Multiple attachments in one forwarded email are all processed as a single job. One reply, one combined report.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0E4FF" w:val="clear"/>
            <w:tcMar>
              <w:top w:type="dxa" w:w="140"/>
              <w:left w:type="dxa" w:w="220"/>
              <w:bottom w:type="dxa" w:w="140"/>
              <w:right w:type="dxa" w:w="220"/>
            </w:tcMar>
          </w:tcPr>
          <w:p>
            <w:pPr>
              <w:spacing w:after="40" w:before="0"/>
            </w:pPr>
            <w:r>
              <w:rPr>
                <w:rFonts w:ascii="Arial" w:cs="Arial" w:eastAsia="Arial" w:hAnsi="Arial"/>
                <w:b/>
                <w:bCs/>
                <w:color w:val="1A56DB"/>
                <w:sz w:val="20"/>
                <w:szCs w:val="20"/>
              </w:rPr>
              <w:t xml:space="preserve">Feature 4  </w:t>
            </w:r>
            <w:r>
              <w:rPr>
                <w:rFonts w:ascii="Arial" w:cs="Arial" w:eastAsia="Arial" w:hAnsi="Arial"/>
                <w:b/>
                <w:bCs/>
                <w:color w:val="111827"/>
                <w:sz w:val="26"/>
                <w:szCs w:val="26"/>
              </w:rPr>
              <w:t xml:space="preserve">Onboarding: Import Clients, Get Started</w:t>
            </w:r>
          </w:p>
          <w:p>
            <w:pPr>
              <w:spacing w:after="0" w:before="0"/>
            </w:pPr>
            <w:r>
              <w:rPr>
                <w:rFonts w:ascii="Arial" w:cs="Arial" w:eastAsia="Arial" w:hAnsi="Arial"/>
                <w:i/>
                <w:iCs/>
                <w:color w:val="6B7280"/>
                <w:sz w:val="20"/>
                <w:szCs w:val="20"/>
              </w:rPr>
              <w:t xml:space="preserve">Under 5 minutes from sign-up to first reconciliation.</w:t>
            </w:r>
          </w:p>
        </w:tc>
      </w:tr>
    </w:tbl>
    <w:p>
      <w:pPr>
        <w:spacing w:after="0" w:before="60"/>
      </w:pPr>
      <w:r>
        <w:t xml:space="preserve"/>
      </w:r>
    </w:p>
    <w:p>
      <w:pPr>
        <w:spacing w:after="60" w:before="60"/>
      </w:pPr>
      <w:r>
        <w:rPr>
          <w:rFonts w:ascii="Arial" w:cs="Arial" w:eastAsia="Arial" w:hAnsi="Arial"/>
          <w:color w:val="111827"/>
          <w:sz w:val="22"/>
          <w:szCs w:val="22"/>
        </w:rPr>
        <w:t xml:space="preserve">Three steps. No complexity.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1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Setup</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Firm name, number of advisers, which platforms they use (checkbox list)</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60 sec</w:t>
            </w:r>
          </w:p>
        </w:tc>
      </w:tr>
      <w:tr>
        <w:tc>
          <w:tcPr>
            <w:tcW w:type="dxa" w:w="12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2  Import clients</w:t>
            </w:r>
          </w:p>
        </w:tc>
        <w:tc>
          <w:tcPr>
            <w:tcW w:type="dxa" w:w="63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Connect Intelliflo via OAuth (read-only) OR upload Excel template: Name, Client ID, Plan No., Platform, Expected Monthly Fee</w:t>
            </w:r>
          </w:p>
        </w:tc>
        <w:tc>
          <w:tcPr>
            <w:tcW w:type="dxa" w:w="18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2 min</w:t>
            </w:r>
          </w:p>
        </w:tc>
      </w:tr>
      <w:tr>
        <w:tc>
          <w:tcPr>
            <w:tcW w:type="dxa" w:w="1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  Get email address</w:t>
            </w:r>
          </w:p>
        </w:tc>
        <w:tc>
          <w:tcPr>
            <w:tcW w:type="dxa" w:w="63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 generates smithwealth@recon.ai. Instruction: forward your next statement here. Done.</w:t>
            </w:r>
          </w:p>
        </w:tc>
        <w:tc>
          <w:tcPr>
            <w:tcW w:type="dxa" w:w="1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sec</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1FAE5" w:val="clear"/>
            <w:tcMar>
              <w:top w:type="dxa" w:w="120"/>
              <w:left w:type="dxa" w:w="200"/>
              <w:bottom w:type="dxa" w:w="120"/>
              <w:right w:type="dxa" w:w="200"/>
            </w:tcMar>
          </w:tcPr>
          <w:p>
            <w:pPr>
              <w:spacing w:after="60" w:before="0"/>
            </w:pPr>
            <w:r>
              <w:rPr>
                <w:rFonts w:ascii="Arial" w:cs="Arial" w:eastAsia="Arial" w:hAnsi="Arial"/>
                <w:b/>
                <w:bCs/>
                <w:color w:val="065F46"/>
                <w:sz w:val="22"/>
                <w:szCs w:val="22"/>
              </w:rPr>
              <w:t xml:space="preserve">Why the Excel fallback matters</w:t>
            </w:r>
          </w:p>
          <w:p>
            <w:pPr>
              <w:spacing w:after="0" w:before="0"/>
            </w:pPr>
            <w:r>
              <w:rPr>
                <w:rFonts w:ascii="Arial" w:cs="Arial" w:eastAsia="Arial" w:hAnsi="Arial"/>
                <w:color w:val="111827"/>
                <w:sz w:val="21"/>
                <w:szCs w:val="21"/>
              </w:rPr>
              <w:t xml:space="preserve">Most small IFA firms don’t have Intelliflo, or won’t grant OAuth access on day one. The Excel template is the zero-friction path that ensures no one hits a dead end during onboarding.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0E4FF" w:val="clear"/>
            <w:tcMar>
              <w:top w:type="dxa" w:w="140"/>
              <w:left w:type="dxa" w:w="220"/>
              <w:bottom w:type="dxa" w:w="140"/>
              <w:right w:type="dxa" w:w="220"/>
            </w:tcMar>
          </w:tcPr>
          <w:p>
            <w:pPr>
              <w:spacing w:after="40" w:before="0"/>
            </w:pPr>
            <w:r>
              <w:rPr>
                <w:rFonts w:ascii="Arial" w:cs="Arial" w:eastAsia="Arial" w:hAnsi="Arial"/>
                <w:b/>
                <w:bCs/>
                <w:color w:val="1A56DB"/>
                <w:sz w:val="20"/>
                <w:szCs w:val="20"/>
              </w:rPr>
              <w:t xml:space="preserve">Feature 5  </w:t>
            </w:r>
            <w:r>
              <w:rPr>
                <w:rFonts w:ascii="Arial" w:cs="Arial" w:eastAsia="Arial" w:hAnsi="Arial"/>
                <w:b/>
                <w:bCs/>
                <w:color w:val="111827"/>
                <w:sz w:val="26"/>
                <w:szCs w:val="26"/>
              </w:rPr>
              <w:t xml:space="preserve">Transact Live API Connection</w:t>
            </w:r>
          </w:p>
          <w:p>
            <w:pPr>
              <w:spacing w:after="0" w:before="0"/>
            </w:pPr>
            <w:r>
              <w:rPr>
                <w:rFonts w:ascii="Arial" w:cs="Arial" w:eastAsia="Arial" w:hAnsi="Arial"/>
                <w:i/>
                <w:iCs/>
                <w:color w:val="6B7280"/>
                <w:sz w:val="20"/>
                <w:szCs w:val="20"/>
              </w:rPr>
              <w:t xml:space="preserve">One platform. Fully automatic. No statement forwarding needed.</w:t>
            </w:r>
          </w:p>
        </w:tc>
      </w:tr>
    </w:tbl>
    <w:p>
      <w:pPr>
        <w:spacing w:after="0" w:before="60"/>
      </w:pPr>
      <w:r>
        <w:t xml:space="preserve"/>
      </w:r>
    </w:p>
    <w:p>
      <w:pPr>
        <w:spacing w:after="60" w:before="60"/>
      </w:pPr>
      <w:r>
        <w:rPr>
          <w:rFonts w:ascii="Arial" w:cs="Arial" w:eastAsia="Arial" w:hAnsi="Arial"/>
          <w:color w:val="111827"/>
          <w:sz w:val="22"/>
          <w:szCs w:val="22"/>
        </w:rPr>
        <w:t xml:space="preserve">Transact is the only realistic API integration for a hackathon sprint. Their remuneration API is publicly documented on Postman, it’s REST/JSON, and it went live in May 2024 — no partnership required to access the docs.</w:t>
      </w:r>
    </w:p>
    <w:p>
      <w:pPr>
        <w:spacing w:after="0" w:before="60"/>
      </w:pPr>
      <w:r>
        <w:t xml:space="preserve"/>
      </w:r>
    </w:p>
    <w:p>
      <w:pPr>
        <w:spacing w:after="60" w:before="60"/>
      </w:pPr>
      <w:r>
        <w:rPr>
          <w:rFonts w:ascii="Arial" w:cs="Arial" w:eastAsia="Arial" w:hAnsi="Arial"/>
          <w:color w:val="111827"/>
          <w:sz w:val="22"/>
          <w:szCs w:val="22"/>
        </w:rPr>
        <w:t xml:space="preserve">Optional during onboarding: enter Transact adviser credentials. From that point, Transact income pulls automatically on a schedule. No statement forwarding needed for those clients. Shows a green “Live” badge in the dashboard instead of “Uploaded”.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The pitch line this enables</w:t>
            </w:r>
          </w:p>
          <w:p>
            <w:pPr>
              <w:spacing w:after="0" w:before="0"/>
            </w:pPr>
            <w:r>
              <w:rPr>
                <w:rFonts w:ascii="Arial" w:cs="Arial" w:eastAsia="Arial" w:hAnsi="Arial"/>
                <w:color w:val="111827"/>
                <w:sz w:val="21"/>
                <w:szCs w:val="21"/>
              </w:rPr>
              <w:t xml:space="preserve">“For platforms with APIs, it’s 100% automatic. For the other 22 platforms with no API, you just forward the email. Same result either way.”</w:t>
            </w:r>
          </w:p>
        </w:tc>
      </w:tr>
    </w:tbl>
    <w:p>
      <w:pPr>
        <w:spacing w:after="0" w:before="80"/>
      </w:pPr>
      <w:r>
        <w:t xml:space="preserve"/>
      </w:r>
    </w:p>
    <w:p>
      <w:pPr>
        <w:pBdr>
          <w:bottom w:val="single" w:color="DBEAFE" w:sz="4" w:space="1"/>
        </w:pBdr>
        <w:spacing w:after="160" w:before="160"/>
      </w:pPr>
      <w:r>
        <w:t xml:space="preserve"/>
      </w:r>
    </w:p>
    <w:p>
      <w:pPr>
        <w:pStyle w:val="Heading1"/>
        <w:spacing w:after="120" w:before="360"/>
      </w:pPr>
      <w:r>
        <w:rPr>
          <w:rFonts w:ascii="Arial" w:cs="Arial" w:eastAsia="Arial" w:hAnsi="Arial"/>
          <w:b/>
          <w:bCs/>
          <w:color w:val="111827"/>
          <w:sz w:val="36"/>
          <w:szCs w:val="36"/>
        </w:rPr>
        <w:t xml:space="preserve">4. Build Plan (8–9 Hours)</w:t>
      </w:r>
    </w:p>
    <w:p>
      <w:pPr>
        <w:spacing w:after="40" w:before="40"/>
      </w:pPr>
      <w:r>
        <w:rPr>
          <w:rFonts w:ascii="Arial" w:cs="Arial" w:eastAsia="Arial" w:hAnsi="Arial"/>
          <w:i/>
          <w:iCs/>
          <w:color w:val="6B7280"/>
          <w:sz w:val="20"/>
          <w:szCs w:val="20"/>
        </w:rPr>
        <w:t xml:space="preserve">Ruthless prioritisation. Build what judges can see. Fake everything else.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60"/>
        <w:gridCol w:w="3800"/>
      </w:tblGrid>
      <w:tr>
        <w:tc>
          <w:tcPr>
            <w:tcW w:type="dxa" w:w="9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Hour</w:t>
            </w:r>
          </w:p>
        </w:tc>
        <w:tc>
          <w:tcPr>
            <w:tcW w:type="dxa" w:w="2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Build or fake?</w:t>
            </w:r>
          </w:p>
        </w:tc>
        <w:tc>
          <w:tcPr>
            <w:tcW w:type="dxa" w:w="38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0–1</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Prepare 3–5 realistic sample statements (Quilter XLS, Transact CSV, Fidelity PDF)</w:t>
            </w:r>
          </w:p>
        </w:tc>
        <w:tc>
          <w:tcPr>
            <w:tcW w:type="dxa" w:w="18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Prep — do before code</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Demo data is the biggest risk. No good data = nothing works.</w:t>
            </w:r>
          </w:p>
        </w:tc>
      </w:tr>
      <w:tr>
        <w:tc>
          <w:tcPr>
            <w:tcW w:type="dxa" w:w="9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1–3</w:t>
            </w:r>
          </w:p>
        </w:tc>
        <w:tc>
          <w:tcPr>
            <w:tcW w:type="dxa" w:w="28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Feature 1: File upload + Claude API parsing → structured JSON</w:t>
            </w:r>
          </w:p>
        </w:tc>
        <w:tc>
          <w:tcPr>
            <w:tcW w:type="dxa" w:w="18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Build for real</w:t>
            </w:r>
          </w:p>
        </w:tc>
        <w:tc>
          <w:tcPr>
            <w:tcW w:type="dxa" w:w="38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This is the wow moment. Everything else depends on it.</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3–4</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 4: Onboarding UI + Excel client import</w:t>
            </w:r>
          </w:p>
        </w:tc>
        <w:tc>
          <w:tcPr>
            <w:tcW w:type="dxa" w:w="18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lightweight</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Makes the demo feel like a product, not a script.</w:t>
            </w:r>
          </w:p>
        </w:tc>
      </w:tr>
      <w:tr>
        <w:tc>
          <w:tcPr>
            <w:tcW w:type="dxa" w:w="9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4–6</w:t>
            </w:r>
          </w:p>
        </w:tc>
        <w:tc>
          <w:tcPr>
            <w:tcW w:type="dxa" w:w="28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Feature 2: Matching logic + reconciliation report</w:t>
            </w:r>
          </w:p>
        </w:tc>
        <w:tc>
          <w:tcPr>
            <w:tcW w:type="dxa" w:w="18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Build real match, hardcode dashboard numbers</w:t>
            </w:r>
          </w:p>
        </w:tc>
        <w:tc>
          <w:tcPr>
            <w:tcW w:type="dxa" w:w="38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The actual value. Report output is what judges remember.</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6–7.5</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 3: Email inbound webhook (Postmark/Mailgun)</w:t>
            </w:r>
          </w:p>
        </w:tc>
        <w:tc>
          <w:tcPr>
            <w:tcW w:type="dxa" w:w="18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real webhook, fake the reply UI</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The magic demo moment. ~1hr of real work.</w:t>
            </w:r>
          </w:p>
        </w:tc>
      </w:tr>
      <w:tr>
        <w:tc>
          <w:tcPr>
            <w:tcW w:type="dxa" w:w="9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7.5–8.5</w:t>
            </w:r>
          </w:p>
        </w:tc>
        <w:tc>
          <w:tcPr>
            <w:tcW w:type="dxa" w:w="28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Feature 5: Transact API call (or mock with real field names)</w:t>
            </w:r>
          </w:p>
        </w:tc>
        <w:tc>
          <w:tcPr>
            <w:tcW w:type="dxa" w:w="18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Mock if no time</w:t>
            </w:r>
          </w:p>
        </w:tc>
        <w:tc>
          <w:tcPr>
            <w:tcW w:type="dxa" w:w="38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Proof-point for the vision, not core to winning.</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8.5–9</w:t>
            </w:r>
          </w:p>
        </w:tc>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Polish + pitch rehearsal</w:t>
            </w:r>
          </w:p>
        </w:tc>
        <w:tc>
          <w:tcPr>
            <w:tcW w:type="dxa" w:w="18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Non-negotiable</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 smooth 90-sec demo beats a feature-rich broken one.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D1FAE5" w:val="clear"/>
            <w:tcMar>
              <w:top w:type="dxa" w:w="120"/>
              <w:left w:type="dxa" w:w="160"/>
              <w:bottom w:type="dxa" w:w="120"/>
              <w:right w:type="dxa" w:w="160"/>
            </w:tcMar>
          </w:tcPr>
          <w:p>
            <w:pPr>
              <w:spacing w:after="60" w:before="0"/>
            </w:pPr>
            <w:r>
              <w:rPr>
                <w:rFonts w:ascii="Arial" w:cs="Arial" w:eastAsia="Arial" w:hAnsi="Arial"/>
                <w:b/>
                <w:bCs/>
                <w:color w:val="065F46"/>
                <w:sz w:val="22"/>
                <w:szCs w:val="22"/>
              </w:rPr>
              <w:t xml:space="preserve">Build for real</w:t>
            </w:r>
          </w:p>
          <w:p>
            <w:pPr>
              <w:spacing w:after="40" w:before="0"/>
            </w:pPr>
            <w:r>
              <w:rPr>
                <w:rFonts w:ascii="Arial" w:cs="Arial" w:eastAsia="Arial" w:hAnsi="Arial"/>
                <w:color w:val="111827"/>
                <w:sz w:val="21"/>
                <w:szCs w:val="21"/>
              </w:rPr>
              <w:t xml:space="preserve">Claude API file parsing</w:t>
            </w:r>
          </w:p>
          <w:p>
            <w:pPr>
              <w:spacing w:after="40" w:before="0"/>
            </w:pPr>
            <w:r>
              <w:rPr>
                <w:rFonts w:ascii="Arial" w:cs="Arial" w:eastAsia="Arial" w:hAnsi="Arial"/>
                <w:color w:val="111827"/>
                <w:sz w:val="21"/>
                <w:szCs w:val="21"/>
              </w:rPr>
              <w:t xml:space="preserve">Anomaly explanation (one LLM call)</w:t>
            </w:r>
          </w:p>
          <w:p>
            <w:pPr>
              <w:spacing w:after="40" w:before="0"/>
            </w:pPr>
            <w:r>
              <w:rPr>
                <w:rFonts w:ascii="Arial" w:cs="Arial" w:eastAsia="Arial" w:hAnsi="Arial"/>
                <w:color w:val="111827"/>
                <w:sz w:val="21"/>
                <w:szCs w:val="21"/>
              </w:rPr>
              <w:t xml:space="preserve">Inbound email webhook</w:t>
            </w:r>
          </w:p>
          <w:p>
            <w:pPr>
              <w:spacing w:after="0" w:before="0"/>
            </w:pPr>
            <w:r>
              <w:rPr>
                <w:rFonts w:ascii="Arial" w:cs="Arial" w:eastAsia="Arial" w:hAnsi="Arial"/>
                <w:color w:val="111827"/>
                <w:sz w:val="21"/>
                <w:szCs w:val="21"/>
              </w:rPr>
              <w:t xml:space="preserve">Basic fuzzy name matching</w:t>
            </w:r>
          </w:p>
        </w:tc>
        <w:tc>
          <w:tcPr>
            <w:tcW w:type="dxa" w:w="4680"/>
            <w:tcBorders>
              <w:top w:val="single" w:color="DBEAFE" w:sz="1"/>
              <w:left w:val="single" w:color="DBEAFE" w:sz="1"/>
              <w:bottom w:val="single" w:color="DBEAFE" w:sz="1"/>
              <w:right w:val="single" w:color="DBEAFE" w:sz="1"/>
            </w:tcBorders>
            <w:shd w:fill="FEF3C7" w:val="clear"/>
            <w:tcMar>
              <w:top w:type="dxa" w:w="120"/>
              <w:left w:type="dxa" w:w="160"/>
              <w:bottom w:type="dxa" w:w="120"/>
              <w:right w:type="dxa" w:w="160"/>
            </w:tcMar>
          </w:tcPr>
          <w:p>
            <w:pPr>
              <w:spacing w:after="60" w:before="0"/>
            </w:pPr>
            <w:r>
              <w:rPr>
                <w:rFonts w:ascii="Arial" w:cs="Arial" w:eastAsia="Arial" w:hAnsi="Arial"/>
                <w:b/>
                <w:bCs/>
                <w:color w:val="92400E"/>
                <w:sz w:val="22"/>
                <w:szCs w:val="22"/>
              </w:rPr>
              <w:t xml:space="preserve">Hardcode / fake confidently</w:t>
            </w:r>
          </w:p>
          <w:p>
            <w:pPr>
              <w:spacing w:after="40" w:before="0"/>
            </w:pPr>
            <w:r>
              <w:rPr>
                <w:rFonts w:ascii="Arial" w:cs="Arial" w:eastAsia="Arial" w:hAnsi="Arial"/>
                <w:color w:val="111827"/>
                <w:sz w:val="21"/>
                <w:szCs w:val="21"/>
              </w:rPr>
              <w:t xml:space="preserve">Dashboard totals (£1.24M expected etc.)</w:t>
            </w:r>
          </w:p>
          <w:p>
            <w:pPr>
              <w:spacing w:after="40" w:before="0"/>
            </w:pPr>
            <w:r>
              <w:rPr>
                <w:rFonts w:ascii="Arial" w:cs="Arial" w:eastAsia="Arial" w:hAnsi="Arial"/>
                <w:color w:val="111827"/>
                <w:sz w:val="21"/>
                <w:szCs w:val="21"/>
              </w:rPr>
              <w:t xml:space="preserve">Inbox feed (3–4 pre-loaded statements)</w:t>
            </w:r>
          </w:p>
          <w:p>
            <w:pPr>
              <w:spacing w:after="40" w:before="0"/>
            </w:pPr>
            <w:r>
              <w:rPr>
                <w:rFonts w:ascii="Arial" w:cs="Arial" w:eastAsia="Arial" w:hAnsi="Arial"/>
                <w:color w:val="111827"/>
                <w:sz w:val="21"/>
                <w:szCs w:val="21"/>
              </w:rPr>
              <w:t xml:space="preserve">Client list in onboarding (5–6 realistic names)</w:t>
            </w:r>
          </w:p>
          <w:p>
            <w:pPr>
              <w:spacing w:after="0" w:before="0"/>
            </w:pPr>
            <w:r>
              <w:rPr>
                <w:rFonts w:ascii="Arial" w:cs="Arial" w:eastAsia="Arial" w:hAnsi="Arial"/>
                <w:color w:val="111827"/>
                <w:sz w:val="21"/>
                <w:szCs w:val="21"/>
              </w:rPr>
              <w:t xml:space="preserve">Transact API (mock with real field names)</w:t>
            </w:r>
          </w:p>
        </w:tc>
      </w:tr>
    </w:tbl>
    <w:p>
      <w:pPr>
        <w:spacing w:after="0" w:before="80"/>
      </w:pPr>
      <w:r>
        <w:t xml:space="preserve"/>
      </w:r>
    </w:p>
    <w:p>
      <w:pPr>
        <w:pBdr>
          <w:bottom w:val="single" w:color="DBEAFE" w:sz="4" w:space="1"/>
        </w:pBdr>
        <w:spacing w:after="160" w:before="160"/>
      </w:pPr>
      <w:r>
        <w:t xml:space="preserve"/>
      </w:r>
    </w:p>
    <w:p>
      <w:pPr>
        <w:pStyle w:val="Heading1"/>
        <w:spacing w:after="120" w:before="360"/>
      </w:pPr>
      <w:r>
        <w:rPr>
          <w:rFonts w:ascii="Arial" w:cs="Arial" w:eastAsia="Arial" w:hAnsi="Arial"/>
          <w:b/>
          <w:bCs/>
          <w:color w:val="111827"/>
          <w:sz w:val="36"/>
          <w:szCs w:val="36"/>
        </w:rPr>
        <w:t xml:space="preserve">5. YC-Style Demo Guide</w:t>
      </w:r>
    </w:p>
    <w:p>
      <w:pPr>
        <w:spacing w:after="40" w:before="40"/>
      </w:pPr>
      <w:r>
        <w:rPr>
          <w:rFonts w:ascii="Arial" w:cs="Arial" w:eastAsia="Arial" w:hAnsi="Arial"/>
          <w:i/>
          <w:iCs/>
          <w:color w:val="6B7280"/>
          <w:sz w:val="20"/>
          <w:szCs w:val="20"/>
        </w:rPr>
        <w:t xml:space="preserve">YC demos are not product tours. They are stories that happen to have a product in them.</w:t>
      </w:r>
    </w:p>
    <w:p>
      <w:pPr>
        <w:spacing w:after="0" w:before="80"/>
      </w:pPr>
      <w:r>
        <w:t xml:space="preserve"/>
      </w:r>
    </w:p>
    <w:p>
      <w:pPr>
        <w:pStyle w:val="Heading2"/>
        <w:spacing w:after="100" w:before="280"/>
      </w:pPr>
      <w:r>
        <w:rPr>
          <w:rFonts w:ascii="Arial" w:cs="Arial" w:eastAsia="Arial" w:hAnsi="Arial"/>
          <w:b/>
          <w:bCs/>
          <w:color w:val="1A56DB"/>
          <w:sz w:val="28"/>
          <w:szCs w:val="28"/>
        </w:rPr>
        <w:t xml:space="preserve">5.1 The YC Demo Formula</w:t>
      </w:r>
    </w:p>
    <w:p>
      <w:pPr>
        <w:spacing w:after="60" w:before="60"/>
      </w:pPr>
      <w:r>
        <w:rPr>
          <w:rFonts w:ascii="Arial" w:cs="Arial" w:eastAsia="Arial" w:hAnsi="Arial"/>
          <w:color w:val="111827"/>
          <w:sz w:val="22"/>
          <w:szCs w:val="22"/>
        </w:rPr>
        <w:t xml:space="preserve">Every great YC demo follows the same structure. Pain → insight → product → proof → ask. The product is shown for at most 60–90 seconds. Everything else is human.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5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4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long</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Pain</w:t>
            </w:r>
          </w:p>
        </w:tc>
        <w:tc>
          <w:tcPr>
            <w:tcW w:type="dxa" w:w="5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 sentence that makes the judge feel the problem</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 sec</w:t>
            </w:r>
          </w:p>
        </w:tc>
      </w:tr>
      <w:tr>
        <w:tc>
          <w:tcPr>
            <w:tcW w:type="dxa" w:w="14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Insight</w:t>
            </w:r>
          </w:p>
        </w:tc>
        <w:tc>
          <w:tcPr>
            <w:tcW w:type="dxa" w:w="55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The thing everyone else missed</w:t>
            </w:r>
          </w:p>
        </w:tc>
        <w:tc>
          <w:tcPr>
            <w:tcW w:type="dxa" w:w="24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15 sec</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w:t>
            </w:r>
          </w:p>
        </w:tc>
        <w:tc>
          <w:tcPr>
            <w:tcW w:type="dxa" w:w="5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demo — fewest clicks possible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60–90 sec</w:t>
            </w:r>
          </w:p>
        </w:tc>
      </w:tr>
      <w:tr>
        <w:tc>
          <w:tcPr>
            <w:tcW w:type="dxa" w:w="14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Proof</w:t>
            </w:r>
          </w:p>
        </w:tc>
        <w:tc>
          <w:tcPr>
            <w:tcW w:type="dxa" w:w="55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One number that makes the value undeniable</w:t>
            </w:r>
          </w:p>
        </w:tc>
        <w:tc>
          <w:tcPr>
            <w:tcW w:type="dxa" w:w="24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10 sec</w:t>
            </w:r>
          </w:p>
        </w:tc>
      </w:tr>
      <w:tr>
        <w:tc>
          <w:tcPr>
            <w:tcW w:type="dxa" w:w="1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Ask</w:t>
            </w:r>
          </w:p>
        </w:tc>
        <w:tc>
          <w:tcPr>
            <w:tcW w:type="dxa" w:w="5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One specific thing you want from this room</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sec</w:t>
            </w:r>
          </w:p>
        </w:tc>
      </w:tr>
    </w:tbl>
    <w:p>
      <w:pPr>
        <w:spacing w:after="0" w:before="80"/>
      </w:pPr>
      <w:r>
        <w:t xml:space="preserve"/>
      </w:r>
    </w:p>
    <w:p>
      <w:pPr>
        <w:pStyle w:val="Heading2"/>
        <w:spacing w:after="100" w:before="280"/>
      </w:pPr>
      <w:r>
        <w:rPr>
          <w:rFonts w:ascii="Arial" w:cs="Arial" w:eastAsia="Arial" w:hAnsi="Arial"/>
          <w:b/>
          <w:bCs/>
          <w:color w:val="1A56DB"/>
          <w:sz w:val="28"/>
          <w:szCs w:val="28"/>
        </w:rPr>
        <w:t xml:space="preserve">5.2 The Script (Word for Word)</w:t>
      </w:r>
    </w:p>
    <w:p>
      <w:pPr>
        <w:spacing w:after="40" w:before="40"/>
      </w:pPr>
      <w:r>
        <w:rPr>
          <w:rFonts w:ascii="Arial" w:cs="Arial" w:eastAsia="Arial" w:hAnsi="Arial"/>
          <w:i/>
          <w:iCs/>
          <w:color w:val="6B7280"/>
          <w:sz w:val="20"/>
          <w:szCs w:val="20"/>
        </w:rPr>
        <w:t xml:space="preserve">Practice this out loud at least 5 times before presenting.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840"/>
            <w:tcBorders>
              <w:top w:val="none" w:color="FFFFFF" w:sz="0"/>
              <w:left w:val="none" w:color="FFFFFF" w:sz="0"/>
              <w:bottom w:val="none" w:color="FFFFFF" w:sz="0"/>
              <w:right w:val="none" w:color="FFFFFF" w:sz="0"/>
            </w:tcBorders>
            <w:shd w:fill="EBF2FF" w:val="clear"/>
            <w:tcMar>
              <w:top w:type="dxa" w:w="120"/>
              <w:left w:type="dxa" w:w="200"/>
              <w:bottom w:type="dxa" w:w="120"/>
              <w:right w:type="dxa" w:w="200"/>
            </w:tcMar>
          </w:tcPr>
          <w:p>
            <w:pPr>
              <w:spacing w:after="40" w:before="0"/>
            </w:pPr>
            <w:r>
              <w:rPr>
                <w:rFonts w:ascii="Arial" w:cs="Arial" w:eastAsia="Arial" w:hAnsi="Arial"/>
                <w:b/>
                <w:bCs/>
                <w:color w:val="111827"/>
                <w:sz w:val="23"/>
                <w:szCs w:val="23"/>
              </w:rPr>
              <w:t xml:space="preserve">Open with the pain  </w:t>
            </w:r>
            <w:r>
              <w:rPr>
                <w:rFonts w:ascii="Arial" w:cs="Arial" w:eastAsia="Arial" w:hAnsi="Arial"/>
                <w:i/>
                <w:iCs/>
                <w:color w:val="6B7280"/>
                <w:sz w:val="20"/>
                <w:szCs w:val="20"/>
              </w:rPr>
              <w:t xml:space="preserve">15 sec</w:t>
            </w:r>
          </w:p>
          <w:p>
            <w:pPr>
              <w:spacing w:after="40" w:before="0"/>
            </w:pPr>
            <w:r>
              <w:rPr>
                <w:rFonts w:ascii="Arial" w:cs="Arial" w:eastAsia="Arial" w:hAnsi="Arial"/>
                <w:b/>
                <w:bCs/>
                <w:color w:val="1A56DB"/>
                <w:sz w:val="21"/>
                <w:szCs w:val="21"/>
              </w:rPr>
              <w:t xml:space="preserve">Action: </w:t>
            </w:r>
            <w:r>
              <w:rPr>
                <w:rFonts w:ascii="Arial" w:cs="Arial" w:eastAsia="Arial" w:hAnsi="Arial"/>
                <w:color w:val="111827"/>
                <w:sz w:val="21"/>
                <w:szCs w:val="21"/>
              </w:rPr>
              <w:t xml:space="preserve">Say this exactly: “A UK financial adviser with 80 clients spends a full day every month manually re-keying income statements from 8 different platforms. They’re reconciling £600,000 of their clients’ money in a spreadsheet. Every month, some of it goes missing and they don’t know.”</w:t>
            </w:r>
          </w:p>
          <w:p>
            <w:pPr>
              <w:spacing w:after="0" w:before="0"/>
            </w:pPr>
            <w:r>
              <w:rPr>
                <w:rFonts w:ascii="Arial" w:cs="Arial" w:eastAsia="Arial" w:hAnsi="Arial"/>
                <w:b/>
                <w:bCs/>
                <w:color w:val="065F46"/>
                <w:sz w:val="21"/>
                <w:szCs w:val="21"/>
              </w:rPr>
              <w:t xml:space="preserve">Why it lands: </w:t>
            </w:r>
            <w:r>
              <w:rPr>
                <w:rFonts w:ascii="Arial" w:cs="Arial" w:eastAsia="Arial" w:hAnsi="Arial"/>
                <w:i/>
                <w:iCs/>
                <w:color w:val="111827"/>
                <w:sz w:val="21"/>
                <w:szCs w:val="21"/>
              </w:rPr>
              <w:t xml:space="preserve">No judge will understand income reconciliation. This sentence makes them feel it without needing to know the industry.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840"/>
            <w:tcBorders>
              <w:top w:val="none" w:color="FFFFFF" w:sz="0"/>
              <w:left w:val="none" w:color="FFFFFF" w:sz="0"/>
              <w:bottom w:val="none" w:color="FFFFFF" w:sz="0"/>
              <w:right w:val="none" w:color="FFFFFF" w:sz="0"/>
            </w:tcBorders>
            <w:shd w:fill="EBF2FF" w:val="clear"/>
            <w:tcMar>
              <w:top w:type="dxa" w:w="120"/>
              <w:left w:type="dxa" w:w="200"/>
              <w:bottom w:type="dxa" w:w="120"/>
              <w:right w:type="dxa" w:w="200"/>
            </w:tcMar>
          </w:tcPr>
          <w:p>
            <w:pPr>
              <w:spacing w:after="40" w:before="0"/>
            </w:pPr>
            <w:r>
              <w:rPr>
                <w:rFonts w:ascii="Arial" w:cs="Arial" w:eastAsia="Arial" w:hAnsi="Arial"/>
                <w:b/>
                <w:bCs/>
                <w:color w:val="111827"/>
                <w:sz w:val="23"/>
                <w:szCs w:val="23"/>
              </w:rPr>
              <w:t xml:space="preserve">Deliver the insight  </w:t>
            </w:r>
            <w:r>
              <w:rPr>
                <w:rFonts w:ascii="Arial" w:cs="Arial" w:eastAsia="Arial" w:hAnsi="Arial"/>
                <w:i/>
                <w:iCs/>
                <w:color w:val="6B7280"/>
                <w:sz w:val="20"/>
                <w:szCs w:val="20"/>
              </w:rPr>
              <w:t xml:space="preserve">15 sec</w:t>
            </w:r>
          </w:p>
          <w:p>
            <w:pPr>
              <w:spacing w:after="40" w:before="0"/>
            </w:pPr>
            <w:r>
              <w:rPr>
                <w:rFonts w:ascii="Arial" w:cs="Arial" w:eastAsia="Arial" w:hAnsi="Arial"/>
                <w:b/>
                <w:bCs/>
                <w:color w:val="1A56DB"/>
                <w:sz w:val="21"/>
                <w:szCs w:val="21"/>
              </w:rPr>
              <w:t xml:space="preserve">Action: </w:t>
            </w:r>
            <w:r>
              <w:rPr>
                <w:rFonts w:ascii="Arial" w:cs="Arial" w:eastAsia="Arial" w:hAnsi="Arial"/>
                <w:color w:val="111827"/>
                <w:sz w:val="21"/>
                <w:szCs w:val="21"/>
              </w:rPr>
              <w:t xml:space="preserve">Say: “The insight is that these firms already receive every statement by email. They just don’t have anything smart to do with them. We give them one email address. They forward their statements. We do the rest.”</w:t>
            </w:r>
          </w:p>
          <w:p>
            <w:pPr>
              <w:spacing w:after="0" w:before="0"/>
            </w:pPr>
            <w:r>
              <w:rPr>
                <w:rFonts w:ascii="Arial" w:cs="Arial" w:eastAsia="Arial" w:hAnsi="Arial"/>
                <w:b/>
                <w:bCs/>
                <w:color w:val="065F46"/>
                <w:sz w:val="21"/>
                <w:szCs w:val="21"/>
              </w:rPr>
              <w:t xml:space="preserve">Why it lands: </w:t>
            </w:r>
            <w:r>
              <w:rPr>
                <w:rFonts w:ascii="Arial" w:cs="Arial" w:eastAsia="Arial" w:hAnsi="Arial"/>
                <w:i/>
                <w:iCs/>
                <w:color w:val="111827"/>
                <w:sz w:val="21"/>
                <w:szCs w:val="21"/>
              </w:rPr>
              <w:t xml:space="preserve">This is the moment the idea clicks. Forward an email is the simplest possible action. It lands before you’ve shown anything.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840"/>
            <w:tcBorders>
              <w:top w:val="none" w:color="FFFFFF" w:sz="0"/>
              <w:left w:val="none" w:color="FFFFFF" w:sz="0"/>
              <w:bottom w:val="none" w:color="FFFFFF" w:sz="0"/>
              <w:right w:val="none" w:color="FFFFFF" w:sz="0"/>
            </w:tcBorders>
            <w:shd w:fill="EBF2FF" w:val="clear"/>
            <w:tcMar>
              <w:top w:type="dxa" w:w="120"/>
              <w:left w:type="dxa" w:w="200"/>
              <w:bottom w:type="dxa" w:w="120"/>
              <w:right w:type="dxa" w:w="200"/>
            </w:tcMar>
          </w:tcPr>
          <w:p>
            <w:pPr>
              <w:spacing w:after="40" w:before="0"/>
            </w:pPr>
            <w:r>
              <w:rPr>
                <w:rFonts w:ascii="Arial" w:cs="Arial" w:eastAsia="Arial" w:hAnsi="Arial"/>
                <w:b/>
                <w:bCs/>
                <w:color w:val="111827"/>
                <w:sz w:val="23"/>
                <w:szCs w:val="23"/>
              </w:rPr>
              <w:t xml:space="preserve">Show the onboarding  </w:t>
            </w:r>
            <w:r>
              <w:rPr>
                <w:rFonts w:ascii="Arial" w:cs="Arial" w:eastAsia="Arial" w:hAnsi="Arial"/>
                <w:i/>
                <w:iCs/>
                <w:color w:val="6B7280"/>
                <w:sz w:val="20"/>
                <w:szCs w:val="20"/>
              </w:rPr>
              <w:t xml:space="preserve">20 sec</w:t>
            </w:r>
          </w:p>
          <w:p>
            <w:pPr>
              <w:spacing w:after="40" w:before="0"/>
            </w:pPr>
            <w:r>
              <w:rPr>
                <w:rFonts w:ascii="Arial" w:cs="Arial" w:eastAsia="Arial" w:hAnsi="Arial"/>
                <w:b/>
                <w:bCs/>
                <w:color w:val="1A56DB"/>
                <w:sz w:val="21"/>
                <w:szCs w:val="21"/>
              </w:rPr>
              <w:t xml:space="preserve">Action: </w:t>
            </w:r>
            <w:r>
              <w:rPr>
                <w:rFonts w:ascii="Arial" w:cs="Arial" w:eastAsia="Arial" w:hAnsi="Arial"/>
                <w:color w:val="111827"/>
                <w:sz w:val="21"/>
                <w:szCs w:val="21"/>
              </w:rPr>
              <w:t xml:space="preserve">Live on screen: show the 3-step onboarding. Click through firm name → upload the pre-prepared client Excel → receive the unique email address. Say: “Setup takes 4 minutes.”</w:t>
            </w:r>
          </w:p>
          <w:p>
            <w:pPr>
              <w:spacing w:after="0" w:before="0"/>
            </w:pPr>
            <w:r>
              <w:rPr>
                <w:rFonts w:ascii="Arial" w:cs="Arial" w:eastAsia="Arial" w:hAnsi="Arial"/>
                <w:b/>
                <w:bCs/>
                <w:color w:val="065F46"/>
                <w:sz w:val="21"/>
                <w:szCs w:val="21"/>
              </w:rPr>
              <w:t xml:space="preserve">Why it lands: </w:t>
            </w:r>
            <w:r>
              <w:rPr>
                <w:rFonts w:ascii="Arial" w:cs="Arial" w:eastAsia="Arial" w:hAnsi="Arial"/>
                <w:i/>
                <w:iCs/>
                <w:color w:val="111827"/>
                <w:sz w:val="21"/>
                <w:szCs w:val="21"/>
              </w:rPr>
              <w:t xml:space="preserve">Judges need to believe real customers could actually use this. Short onboarding proves it’s a product, not a script.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840"/>
            <w:tcBorders>
              <w:top w:val="none" w:color="FFFFFF" w:sz="0"/>
              <w:left w:val="none" w:color="FFFFFF" w:sz="0"/>
              <w:bottom w:val="none" w:color="FFFFFF" w:sz="0"/>
              <w:right w:val="none" w:color="FFFFFF" w:sz="0"/>
            </w:tcBorders>
            <w:shd w:fill="EBF2FF" w:val="clear"/>
            <w:tcMar>
              <w:top w:type="dxa" w:w="120"/>
              <w:left w:type="dxa" w:w="200"/>
              <w:bottom w:type="dxa" w:w="120"/>
              <w:right w:type="dxa" w:w="200"/>
            </w:tcMar>
          </w:tcPr>
          <w:p>
            <w:pPr>
              <w:spacing w:after="40" w:before="0"/>
            </w:pPr>
            <w:r>
              <w:rPr>
                <w:rFonts w:ascii="Arial" w:cs="Arial" w:eastAsia="Arial" w:hAnsi="Arial"/>
                <w:b/>
                <w:bCs/>
                <w:color w:val="111827"/>
                <w:sz w:val="23"/>
                <w:szCs w:val="23"/>
              </w:rPr>
              <w:t xml:space="preserve">The magic moment — email to report  </w:t>
            </w:r>
            <w:r>
              <w:rPr>
                <w:rFonts w:ascii="Arial" w:cs="Arial" w:eastAsia="Arial" w:hAnsi="Arial"/>
                <w:i/>
                <w:iCs/>
                <w:color w:val="6B7280"/>
                <w:sz w:val="20"/>
                <w:szCs w:val="20"/>
              </w:rPr>
              <w:t xml:space="preserve">30 sec</w:t>
            </w:r>
          </w:p>
          <w:p>
            <w:pPr>
              <w:spacing w:after="40" w:before="0"/>
            </w:pPr>
            <w:r>
              <w:rPr>
                <w:rFonts w:ascii="Arial" w:cs="Arial" w:eastAsia="Arial" w:hAnsi="Arial"/>
                <w:b/>
                <w:bCs/>
                <w:color w:val="1A56DB"/>
                <w:sz w:val="21"/>
                <w:szCs w:val="21"/>
              </w:rPr>
              <w:t xml:space="preserve">Action: </w:t>
            </w:r>
            <w:r>
              <w:rPr>
                <w:rFonts w:ascii="Arial" w:cs="Arial" w:eastAsia="Arial" w:hAnsi="Arial"/>
                <w:color w:val="111827"/>
                <w:sz w:val="21"/>
                <w:szCs w:val="21"/>
              </w:rPr>
              <w:t xml:space="preserve">Live: open Gmail, forward the pre-prepared Quilter XLS to the demo email address. Wait. (Email reply should arrive in under 60 sec — have it pre-staged if nervous.) Open the reply. Show the report. Say: “Quilter statement. 847 line items. Reconciled in 40 seconds. Two anomalies.”</w:t>
            </w:r>
          </w:p>
          <w:p>
            <w:pPr>
              <w:spacing w:after="0" w:before="0"/>
            </w:pPr>
            <w:r>
              <w:rPr>
                <w:rFonts w:ascii="Arial" w:cs="Arial" w:eastAsia="Arial" w:hAnsi="Arial"/>
                <w:b/>
                <w:bCs/>
                <w:color w:val="065F46"/>
                <w:sz w:val="21"/>
                <w:szCs w:val="21"/>
              </w:rPr>
              <w:t xml:space="preserve">Why it lands: </w:t>
            </w:r>
            <w:r>
              <w:rPr>
                <w:rFonts w:ascii="Arial" w:cs="Arial" w:eastAsia="Arial" w:hAnsi="Arial"/>
                <w:i/>
                <w:iCs/>
                <w:color w:val="111827"/>
                <w:sz w:val="21"/>
                <w:szCs w:val="21"/>
              </w:rPr>
              <w:t xml:space="preserve">This is the demo’s centrepiece. The email lands. The report appears. The room reacts. Don’t rush past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840"/>
            <w:tcBorders>
              <w:top w:val="none" w:color="FFFFFF" w:sz="0"/>
              <w:left w:val="none" w:color="FFFFFF" w:sz="0"/>
              <w:bottom w:val="none" w:color="FFFFFF" w:sz="0"/>
              <w:right w:val="none" w:color="FFFFFF" w:sz="0"/>
            </w:tcBorders>
            <w:shd w:fill="EBF2FF" w:val="clear"/>
            <w:tcMar>
              <w:top w:type="dxa" w:w="120"/>
              <w:left w:type="dxa" w:w="200"/>
              <w:bottom w:type="dxa" w:w="120"/>
              <w:right w:type="dxa" w:w="200"/>
            </w:tcMar>
          </w:tcPr>
          <w:p>
            <w:pPr>
              <w:spacing w:after="40" w:before="0"/>
            </w:pPr>
            <w:r>
              <w:rPr>
                <w:rFonts w:ascii="Arial" w:cs="Arial" w:eastAsia="Arial" w:hAnsi="Arial"/>
                <w:b/>
                <w:bCs/>
                <w:color w:val="111827"/>
                <w:sz w:val="23"/>
                <w:szCs w:val="23"/>
              </w:rPr>
              <w:t xml:space="preserve">Read one anomaly out loud  </w:t>
            </w:r>
            <w:r>
              <w:rPr>
                <w:rFonts w:ascii="Arial" w:cs="Arial" w:eastAsia="Arial" w:hAnsi="Arial"/>
                <w:i/>
                <w:iCs/>
                <w:color w:val="6B7280"/>
                <w:sz w:val="20"/>
                <w:szCs w:val="20"/>
              </w:rPr>
              <w:t xml:space="preserve">20 sec</w:t>
            </w:r>
          </w:p>
          <w:p>
            <w:pPr>
              <w:spacing w:after="40" w:before="0"/>
            </w:pPr>
            <w:r>
              <w:rPr>
                <w:rFonts w:ascii="Arial" w:cs="Arial" w:eastAsia="Arial" w:hAnsi="Arial"/>
                <w:b/>
                <w:bCs/>
                <w:color w:val="1A56DB"/>
                <w:sz w:val="21"/>
                <w:szCs w:val="21"/>
              </w:rPr>
              <w:t xml:space="preserve">Action: </w:t>
            </w:r>
            <w:r>
              <w:rPr>
                <w:rFonts w:ascii="Arial" w:cs="Arial" w:eastAsia="Arial" w:hAnsi="Arial"/>
                <w:color w:val="111827"/>
                <w:sz w:val="21"/>
                <w:szCs w:val="21"/>
              </w:rPr>
              <w:t xml:space="preserve">Click the first anomaly. Read the AI explanation: “14 client accounts show zero income this month against an expected £8,400. Most likely cause: Quilter quarterly payment cycle. Next payment expected 15 November. No action required.”</w:t>
            </w:r>
          </w:p>
          <w:p>
            <w:pPr>
              <w:spacing w:after="0" w:before="0"/>
            </w:pPr>
            <w:r>
              <w:rPr>
                <w:rFonts w:ascii="Arial" w:cs="Arial" w:eastAsia="Arial" w:hAnsi="Arial"/>
                <w:b/>
                <w:bCs/>
                <w:color w:val="065F46"/>
                <w:sz w:val="21"/>
                <w:szCs w:val="21"/>
              </w:rPr>
              <w:t xml:space="preserve">Why it lands: </w:t>
            </w:r>
            <w:r>
              <w:rPr>
                <w:rFonts w:ascii="Arial" w:cs="Arial" w:eastAsia="Arial" w:hAnsi="Arial"/>
                <w:i/>
                <w:iCs/>
                <w:color w:val="111827"/>
                <w:sz w:val="21"/>
                <w:szCs w:val="21"/>
              </w:rPr>
              <w:t xml:space="preserve">This is the proof that AI is doing real work, not just reformatting a spreadsheet. Plain English explanation is what makes this feel like magic.</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6</w:t>
            </w:r>
          </w:p>
        </w:tc>
        <w:tc>
          <w:tcPr>
            <w:tcW w:type="dxa" w:w="8840"/>
            <w:tcBorders>
              <w:top w:val="none" w:color="FFFFFF" w:sz="0"/>
              <w:left w:val="none" w:color="FFFFFF" w:sz="0"/>
              <w:bottom w:val="none" w:color="FFFFFF" w:sz="0"/>
              <w:right w:val="none" w:color="FFFFFF" w:sz="0"/>
            </w:tcBorders>
            <w:shd w:fill="EBF2FF" w:val="clear"/>
            <w:tcMar>
              <w:top w:type="dxa" w:w="120"/>
              <w:left w:type="dxa" w:w="200"/>
              <w:bottom w:type="dxa" w:w="120"/>
              <w:right w:type="dxa" w:w="200"/>
            </w:tcMar>
          </w:tcPr>
          <w:p>
            <w:pPr>
              <w:spacing w:after="40" w:before="0"/>
            </w:pPr>
            <w:r>
              <w:rPr>
                <w:rFonts w:ascii="Arial" w:cs="Arial" w:eastAsia="Arial" w:hAnsi="Arial"/>
                <w:b/>
                <w:bCs/>
                <w:color w:val="111827"/>
                <w:sz w:val="23"/>
                <w:szCs w:val="23"/>
              </w:rPr>
              <w:t xml:space="preserve">Land the number  </w:t>
            </w:r>
            <w:r>
              <w:rPr>
                <w:rFonts w:ascii="Arial" w:cs="Arial" w:eastAsia="Arial" w:hAnsi="Arial"/>
                <w:i/>
                <w:iCs/>
                <w:color w:val="6B7280"/>
                <w:sz w:val="20"/>
                <w:szCs w:val="20"/>
              </w:rPr>
              <w:t xml:space="preserve">10 sec</w:t>
            </w:r>
          </w:p>
          <w:p>
            <w:pPr>
              <w:spacing w:after="40" w:before="0"/>
            </w:pPr>
            <w:r>
              <w:rPr>
                <w:rFonts w:ascii="Arial" w:cs="Arial" w:eastAsia="Arial" w:hAnsi="Arial"/>
                <w:b/>
                <w:bCs/>
                <w:color w:val="1A56DB"/>
                <w:sz w:val="21"/>
                <w:szCs w:val="21"/>
              </w:rPr>
              <w:t xml:space="preserve">Action: </w:t>
            </w:r>
            <w:r>
              <w:rPr>
                <w:rFonts w:ascii="Arial" w:cs="Arial" w:eastAsia="Arial" w:hAnsi="Arial"/>
                <w:color w:val="111827"/>
                <w:sz w:val="21"/>
                <w:szCs w:val="21"/>
              </w:rPr>
              <w:t xml:space="preserve">Say: “The average mid-size IFA firm reconciles £600K a month. IFA Dataflow charges them £300 a month for a 24-hour turnaround with no anomaly detection. We do it in 40 seconds.”</w:t>
            </w:r>
          </w:p>
          <w:p>
            <w:pPr>
              <w:spacing w:after="0" w:before="0"/>
            </w:pPr>
            <w:r>
              <w:rPr>
                <w:rFonts w:ascii="Arial" w:cs="Arial" w:eastAsia="Arial" w:hAnsi="Arial"/>
                <w:b/>
                <w:bCs/>
                <w:color w:val="065F46"/>
                <w:sz w:val="21"/>
                <w:szCs w:val="21"/>
              </w:rPr>
              <w:t xml:space="preserve">Why it lands: </w:t>
            </w:r>
            <w:r>
              <w:rPr>
                <w:rFonts w:ascii="Arial" w:cs="Arial" w:eastAsia="Arial" w:hAnsi="Arial"/>
                <w:i/>
                <w:iCs/>
                <w:color w:val="111827"/>
                <w:sz w:val="21"/>
                <w:szCs w:val="21"/>
              </w:rPr>
              <w:t xml:space="preserve">A specific competitor comparison with a time advantage is the most convincing proof point possible. 24 hours vs 40 seconds.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none" w:color="FFFFFF" w:sz="0"/>
              <w:left w:val="none" w:color="FFFFFF" w:sz="0"/>
              <w:bottom w:val="none" w:color="FFFFFF" w:sz="0"/>
              <w:right w:val="none" w:color="FFFFFF" w:sz="0"/>
            </w:tcBorders>
            <w:shd w:fill="1A56D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7</w:t>
            </w:r>
          </w:p>
        </w:tc>
        <w:tc>
          <w:tcPr>
            <w:tcW w:type="dxa" w:w="8840"/>
            <w:tcBorders>
              <w:top w:val="none" w:color="FFFFFF" w:sz="0"/>
              <w:left w:val="none" w:color="FFFFFF" w:sz="0"/>
              <w:bottom w:val="none" w:color="FFFFFF" w:sz="0"/>
              <w:right w:val="none" w:color="FFFFFF" w:sz="0"/>
            </w:tcBorders>
            <w:shd w:fill="EBF2FF" w:val="clear"/>
            <w:tcMar>
              <w:top w:type="dxa" w:w="120"/>
              <w:left w:type="dxa" w:w="200"/>
              <w:bottom w:type="dxa" w:w="120"/>
              <w:right w:type="dxa" w:w="200"/>
            </w:tcMar>
          </w:tcPr>
          <w:p>
            <w:pPr>
              <w:spacing w:after="40" w:before="0"/>
            </w:pPr>
            <w:r>
              <w:rPr>
                <w:rFonts w:ascii="Arial" w:cs="Arial" w:eastAsia="Arial" w:hAnsi="Arial"/>
                <w:b/>
                <w:bCs/>
                <w:color w:val="111827"/>
                <w:sz w:val="23"/>
                <w:szCs w:val="23"/>
              </w:rPr>
              <w:t xml:space="preserve">The ask  </w:t>
            </w:r>
            <w:r>
              <w:rPr>
                <w:rFonts w:ascii="Arial" w:cs="Arial" w:eastAsia="Arial" w:hAnsi="Arial"/>
                <w:i/>
                <w:iCs/>
                <w:color w:val="6B7280"/>
                <w:sz w:val="20"/>
                <w:szCs w:val="20"/>
              </w:rPr>
              <w:t xml:space="preserve">10 sec</w:t>
            </w:r>
          </w:p>
          <w:p>
            <w:pPr>
              <w:spacing w:after="40" w:before="0"/>
            </w:pPr>
            <w:r>
              <w:rPr>
                <w:rFonts w:ascii="Arial" w:cs="Arial" w:eastAsia="Arial" w:hAnsi="Arial"/>
                <w:b/>
                <w:bCs/>
                <w:color w:val="1A56DB"/>
                <w:sz w:val="21"/>
                <w:szCs w:val="21"/>
              </w:rPr>
              <w:t xml:space="preserve">Action: </w:t>
            </w:r>
            <w:r>
              <w:rPr>
                <w:rFonts w:ascii="Arial" w:cs="Arial" w:eastAsia="Arial" w:hAnsi="Arial"/>
                <w:color w:val="111827"/>
                <w:sz w:val="21"/>
                <w:szCs w:val="21"/>
              </w:rPr>
              <w:t xml:space="preserve">Say: “We’re talking to three IFA firms next week. If anyone in this room has a contact at an IFA practice or a wealth management network, that introduction is worth more to us than any prize today.”</w:t>
            </w:r>
          </w:p>
          <w:p>
            <w:pPr>
              <w:spacing w:after="0" w:before="0"/>
            </w:pPr>
            <w:r>
              <w:rPr>
                <w:rFonts w:ascii="Arial" w:cs="Arial" w:eastAsia="Arial" w:hAnsi="Arial"/>
                <w:b/>
                <w:bCs/>
                <w:color w:val="065F46"/>
                <w:sz w:val="21"/>
                <w:szCs w:val="21"/>
              </w:rPr>
              <w:t xml:space="preserve">Why it lands: </w:t>
            </w:r>
            <w:r>
              <w:rPr>
                <w:rFonts w:ascii="Arial" w:cs="Arial" w:eastAsia="Arial" w:hAnsi="Arial"/>
                <w:i/>
                <w:iCs/>
                <w:color w:val="111827"/>
                <w:sz w:val="21"/>
                <w:szCs w:val="21"/>
              </w:rPr>
              <w:t xml:space="preserve">A specific, humble ask makes you memorable. You’re not begging for votes — you’re already thinking about customers. Tom Blomfield will notice this.</w:t>
            </w:r>
          </w:p>
        </w:tc>
      </w:tr>
    </w:tbl>
    <w:p>
      <w:pPr>
        <w:spacing w:after="0" w:before="80"/>
      </w:pPr>
      <w:r>
        <w:t xml:space="preserve"/>
      </w:r>
    </w:p>
    <w:p>
      <w:pPr>
        <w:pStyle w:val="Heading2"/>
        <w:spacing w:after="100" w:before="280"/>
      </w:pPr>
      <w:r>
        <w:rPr>
          <w:rFonts w:ascii="Arial" w:cs="Arial" w:eastAsia="Arial" w:hAnsi="Arial"/>
          <w:b/>
          <w:bCs/>
          <w:color w:val="1A56DB"/>
          <w:sz w:val="28"/>
          <w:szCs w:val="28"/>
        </w:rPr>
        <w:t xml:space="preserve">5.3 How to Film It</w:t>
      </w:r>
    </w:p>
    <w:p>
      <w:pPr>
        <w:spacing w:after="0" w:before="40"/>
      </w:pPr>
      <w:r>
        <w:t xml:space="preserve"/>
      </w:r>
    </w:p>
    <w:p>
      <w:pPr>
        <w:spacing w:after="60" w:before="60"/>
      </w:pPr>
      <w:r>
        <w:rPr>
          <w:rFonts w:ascii="Arial" w:cs="Arial" w:eastAsia="Arial" w:hAnsi="Arial"/>
          <w:color w:val="111827"/>
          <w:sz w:val="22"/>
          <w:szCs w:val="22"/>
        </w:rPr>
        <w:t xml:space="preserve">YC-style demos are recorded as screen recordings with face-cam, or live on stage. Either way the same rules apply.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1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4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demo environment — use production (or production-looking) URLs</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demo.localhost screams prototype</w:t>
            </w:r>
          </w:p>
        </w:tc>
      </w:tr>
      <w:tr>
        <w:tc>
          <w:tcPr>
            <w:tcW w:type="dxa" w:w="42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Use a real email client (Gmail) for the forwarding moment, not a fake UI</w:t>
            </w:r>
          </w:p>
        </w:tc>
        <w:tc>
          <w:tcPr>
            <w:tcW w:type="dxa" w:w="51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Realness is the point of that moment</w:t>
            </w:r>
          </w:p>
        </w:tc>
      </w:tr>
      <w:tr>
        <w:tc>
          <w:tcPr>
            <w:tcW w:type="dxa" w:w="4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Realistic data — use actual firm names (Quilter, Smith &amp; Partners) not ‘Test Company 1’</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Fake data breaks immersion instantly</w:t>
            </w:r>
          </w:p>
        </w:tc>
      </w:tr>
      <w:tr>
        <w:tc>
          <w:tcPr>
            <w:tcW w:type="dxa" w:w="42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Cursor movements are slow and deliberate — no frantic clicking</w:t>
            </w:r>
          </w:p>
        </w:tc>
        <w:tc>
          <w:tcPr>
            <w:tcW w:type="dxa" w:w="51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Nervous clicking signals the demo might break</w:t>
            </w:r>
          </w:p>
        </w:tc>
      </w:tr>
      <w:tr>
        <w:tc>
          <w:tcPr>
            <w:tcW w:type="dxa" w:w="4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Never say ‘as you can see’ — just say what it does</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Filler language dilutes confidence</w:t>
            </w:r>
          </w:p>
        </w:tc>
      </w:tr>
      <w:tr>
        <w:tc>
          <w:tcPr>
            <w:tcW w:type="dxa" w:w="42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Have the anomaly explanation pre-visible — don’t make judges wait for it to load</w:t>
            </w:r>
          </w:p>
        </w:tc>
        <w:tc>
          <w:tcPr>
            <w:tcW w:type="dxa" w:w="51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The explanation is the wow moment, not the loading spinner</w:t>
            </w:r>
          </w:p>
        </w:tc>
      </w:tr>
      <w:tr>
        <w:tc>
          <w:tcPr>
            <w:tcW w:type="dxa" w:w="4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If something breaks: say ‘let me show you this separately’ and pivot to a screenshot</w:t>
            </w:r>
          </w:p>
        </w:tc>
        <w:tc>
          <w:tcPr>
            <w:tcW w:type="dxa" w:w="5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Judges know prototypes break. Panic is the real killer.</w:t>
            </w:r>
          </w:p>
        </w:tc>
      </w:tr>
    </w:tbl>
    <w:p>
      <w:pPr>
        <w:spacing w:after="0" w:before="80"/>
      </w:pPr>
      <w:r>
        <w:t xml:space="preserve"/>
      </w:r>
    </w:p>
    <w:p>
      <w:pPr>
        <w:pStyle w:val="Heading2"/>
        <w:spacing w:after="100" w:before="280"/>
      </w:pPr>
      <w:r>
        <w:rPr>
          <w:rFonts w:ascii="Arial" w:cs="Arial" w:eastAsia="Arial" w:hAnsi="Arial"/>
          <w:b/>
          <w:bCs/>
          <w:color w:val="1A56DB"/>
          <w:sz w:val="28"/>
          <w:szCs w:val="28"/>
        </w:rPr>
        <w:t xml:space="preserve">5.4 If Tom Blomfield Asks a Question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“How is this different from End Close?”</w:t>
            </w:r>
          </w:p>
        </w:tc>
        <w:tc>
          <w:tcPr>
            <w:tcW w:type="dxa" w:w="6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 Close requires clean payment APIs. We parse unstructured PDFs and XLS from 22 platforms that have no API. Different data problem entirely.</w:t>
            </w:r>
          </w:p>
        </w:tc>
      </w:tr>
      <w:tr>
        <w:tc>
          <w:tcPr>
            <w:tcW w:type="dxa" w:w="32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“Teach me something about this industry I don’t know”</w:t>
            </w:r>
          </w:p>
        </w:tc>
        <w:tc>
          <w:tcPr>
            <w:tcW w:type="dxa" w:w="61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Only 7 of 29 UK investment platforms expose an income API. Quilter — the largest by net flows — has no income feed at all. That’s why this problem still exists.</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“Why you?”</w:t>
            </w:r>
          </w:p>
        </w:tc>
        <w:tc>
          <w:tcPr>
            <w:tcW w:type="dxa" w:w="6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Answer honestly based on your background. If you’ve worked in fintech ops or wealth management, say it. If not, say: ‘We’ve spoken to 6 IFA operations managers in the last two weeks. We know the problem better than the incumbents do.’</w:t>
            </w:r>
          </w:p>
        </w:tc>
      </w:tr>
      <w:tr>
        <w:tc>
          <w:tcPr>
            <w:tcW w:type="dxa" w:w="32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“What’s the business model?”</w:t>
            </w:r>
          </w:p>
        </w:tc>
        <w:tc>
          <w:tcPr>
            <w:tcW w:type="dxa" w:w="61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£299/month SaaS per firm. IFA Dataflow charges £300 for a slower, dumber, manual version. We replace them at the same price point and automate the whole thing.</w:t>
            </w:r>
          </w:p>
        </w:tc>
      </w:tr>
      <w:tr>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“What’s the network play?”</w:t>
            </w:r>
          </w:p>
        </w:tc>
        <w:tc>
          <w:tcPr>
            <w:tcW w:type="dxa" w:w="61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Every IFA firm we sign is also an Appointed Representative inside a large network. Once we’re inside 20 firms at Openwork, we walk into Openwork HQ with a ready-made case for the enterprise contract.</w:t>
            </w:r>
          </w:p>
        </w:tc>
      </w:tr>
    </w:tbl>
    <w:p>
      <w:pPr>
        <w:spacing w:after="0" w:before="80"/>
      </w:pPr>
      <w:r>
        <w:t xml:space="preserve"/>
      </w:r>
    </w:p>
    <w:p>
      <w:pPr>
        <w:pBdr>
          <w:bottom w:val="single" w:color="DBEAFE" w:sz="4" w:space="1"/>
        </w:pBdr>
        <w:spacing w:after="160" w:before="160"/>
      </w:pPr>
      <w:r>
        <w:t xml:space="preserve"/>
      </w:r>
    </w:p>
    <w:p>
      <w:pPr>
        <w:pStyle w:val="Heading1"/>
        <w:spacing w:after="120" w:before="360"/>
      </w:pPr>
      <w:r>
        <w:rPr>
          <w:rFonts w:ascii="Arial" w:cs="Arial" w:eastAsia="Arial" w:hAnsi="Arial"/>
          <w:b/>
          <w:bCs/>
          <w:color w:val="111827"/>
          <w:sz w:val="36"/>
          <w:szCs w:val="36"/>
        </w:rPr>
        <w:t xml:space="preserve">6. Why This Wins the Room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judges look for</w:t>
            </w:r>
          </w:p>
        </w:tc>
        <w:tc>
          <w:tcPr>
            <w:tcW w:type="dxa" w:w="5760"/>
            <w:tcBorders>
              <w:top w:val="single" w:color="DBEAFE" w:sz="1"/>
              <w:left w:val="single" w:color="DBEAFE" w:sz="1"/>
              <w:bottom w:val="single" w:color="DBEAFE" w:sz="1"/>
              <w:right w:val="single" w:color="DBEAFE"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this delivers it</w:t>
            </w:r>
          </w:p>
        </w:tc>
      </w:tr>
      <w:tr>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 problem</w:t>
            </w:r>
          </w:p>
        </w:tc>
        <w:tc>
          <w:tcPr>
            <w:tcW w:type="dxa" w:w="5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£426m SJP remediation, IFA Dataflow still manual after 20 years, 30,000 advisers affected</w:t>
            </w:r>
          </w:p>
        </w:tc>
      </w:tr>
      <w:tr>
        <w:tc>
          <w:tcPr>
            <w:tcW w:type="dxa" w:w="36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Insight others missed</w:t>
            </w:r>
          </w:p>
        </w:tc>
        <w:tc>
          <w:tcPr>
            <w:tcW w:type="dxa" w:w="57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They already get statements by email. One address is the entire onboarding.</w:t>
            </w:r>
          </w:p>
        </w:tc>
      </w:tr>
      <w:tr>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Working product</w:t>
            </w:r>
          </w:p>
        </w:tc>
        <w:tc>
          <w:tcPr>
            <w:tcW w:type="dxa" w:w="5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Live file parse, live email webhook, live anomaly explanation</w:t>
            </w:r>
          </w:p>
        </w:tc>
      </w:tr>
      <w:tr>
        <w:tc>
          <w:tcPr>
            <w:tcW w:type="dxa" w:w="360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Clear customer</w:t>
            </w:r>
          </w:p>
        </w:tc>
        <w:tc>
          <w:tcPr>
            <w:tcW w:type="dxa" w:w="5760"/>
            <w:tcBorders>
              <w:top w:val="single" w:color="DBEAFE" w:sz="1"/>
              <w:left w:val="single" w:color="DBEAFE" w:sz="1"/>
              <w:bottom w:val="single" w:color="DBEAFE" w:sz="1"/>
              <w:right w:val="single" w:color="DBEAFE" w:sz="1"/>
            </w:tcBorders>
            <w:shd w:fill="EBF2FF" w:val="clear"/>
            <w:tcMar>
              <w:top w:type="dxa" w:w="80"/>
              <w:left w:type="dxa" w:w="120"/>
              <w:bottom w:type="dxa" w:w="80"/>
              <w:right w:type="dxa" w:w="120"/>
            </w:tcMar>
          </w:tcPr>
          <w:p>
            <w:r>
              <w:rPr>
                <w:rFonts w:ascii="Arial" w:cs="Arial" w:eastAsia="Arial" w:hAnsi="Arial"/>
                <w:color w:val="111827"/>
                <w:sz w:val="20"/>
                <w:szCs w:val="20"/>
              </w:rPr>
              <w:t xml:space="preserve">IFA operations manager. Specific person. Specific pain. Specific budget already spent on IFA Dataflow.</w:t>
            </w:r>
          </w:p>
        </w:tc>
      </w:tr>
      <w:tr>
        <w:tc>
          <w:tcPr>
            <w:tcW w:type="dxa" w:w="36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Founder energy</w:t>
            </w:r>
          </w:p>
        </w:tc>
        <w:tc>
          <w:tcPr>
            <w:tcW w:type="dxa" w:w="5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You know the domain, you built in 9 hours, you’re asking for introductions not praise</w:t>
            </w:r>
          </w:p>
        </w:tc>
      </w:tr>
    </w:tbl>
    <w:p>
      <w:pPr>
        <w:spacing w:after="0" w:before="80"/>
      </w:pPr>
      <w:r>
        <w:t xml:space="preserve"/>
      </w:r>
    </w:p>
    <w:p>
      <w:pPr>
        <w:spacing w:after="0" w:before="200"/>
        <w:jc w:val="center"/>
      </w:pPr>
      <w:r>
        <w:rPr>
          <w:rFonts w:ascii="Arial" w:cs="Arial" w:eastAsia="Arial" w:hAnsi="Arial"/>
          <w:b/>
          <w:bCs/>
          <w:color w:val="1A56DB"/>
          <w:sz w:val="24"/>
          <w:szCs w:val="24"/>
        </w:rPr>
        <w:t xml:space="preserve">Good luck. Build fast. Demo clean.</w:t>
      </w:r>
    </w:p>
    <w:p>
      <w:pPr>
        <w:spacing w:after="0" w:before="40"/>
        <w:jc w:val="center"/>
      </w:pPr>
      <w:r>
        <w:rPr>
          <w:rFonts w:ascii="Arial" w:cs="Arial" w:eastAsia="Arial" w:hAnsi="Arial"/>
          <w:i/>
          <w:iCs/>
          <w:color w:val="6B7280"/>
          <w:sz w:val="20"/>
          <w:szCs w:val="20"/>
        </w:rPr>
        <w:t xml:space="preserve">HackLondon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2026-04-24T22:22:56.330Z</dcterms:created>
  <dcterms:modified xsi:type="dcterms:W3CDTF">2026-04-24T22:22:56.330Z</dcterms:modified>
</cp:coreProperties>
</file>

<file path=docProps/custom.xml><?xml version="1.0" encoding="utf-8"?>
<Properties xmlns="http://schemas.openxmlformats.org/officeDocument/2006/custom-properties" xmlns:vt="http://schemas.openxmlformats.org/officeDocument/2006/docPropsVTypes"/>
</file>