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40"/>
        <w:jc w:val="center"/>
      </w:pPr>
      <w:r>
        <w:rPr>
          <w:rFonts w:ascii="Calibri" w:cs="Calibri" w:eastAsia="Calibri" w:hAnsi="Calibri"/>
          <w:b/>
          <w:bCs/>
          <w:color w:val="1F4E79"/>
          <w:sz w:val="40"/>
          <w:szCs w:val="40"/>
        </w:rPr>
        <w:t xml:space="preserve">CI/CD PIPELINE FOR AN IT SERVICE DESK PORTAL</w:t>
      </w:r>
    </w:p>
    <w:p>
      <w:pPr>
        <w:spacing w:after="100"/>
        <w:jc w:val="center"/>
      </w:pPr>
      <w:r>
        <w:rPr>
          <w:rFonts w:ascii="Calibri" w:cs="Calibri" w:eastAsia="Calibri" w:hAnsi="Calibri"/>
          <w:b/>
          <w:bCs/>
          <w:color w:val="595959"/>
          <w:sz w:val="28"/>
          <w:szCs w:val="28"/>
        </w:rPr>
        <w:t xml:space="preserve">Week 1 Deliverable</w:t>
      </w:r>
    </w:p>
    <w:p>
      <w:pPr>
        <w:spacing w:after="700"/>
        <w:jc w:val="center"/>
      </w:pPr>
      <w:r>
        <w:rPr>
          <w:rFonts w:ascii="Calibri" w:cs="Calibri" w:eastAsia="Calibri" w:hAnsi="Calibri"/>
          <w:i/>
          <w:iCs/>
          <w:color w:val="595959"/>
          <w:sz w:val="26"/>
          <w:szCs w:val="26"/>
        </w:rPr>
        <w:t xml:space="preserve">Problem Definition and Scope Document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DCE6F1" w:val="clear"/>
            <w:tcMar>
              <w:top w:type="dxa" w:w="120"/>
              <w:left w:type="dxa" w:w="140"/>
              <w:bottom w:type="dxa" w:w="120"/>
              <w:right w:type="dxa" w:w="140"/>
            </w:tcMar>
            <w:vAlign w:val="center"/>
          </w:tcPr>
          <w:p>
            <w:pPr>
              <w:spacing w:after="40" w:line="264"/>
            </w:pPr>
            <w:r>
              <w:rPr>
                <w:rFonts w:ascii="Calibri" w:cs="Calibri" w:eastAsia="Calibri" w:hAnsi="Calibri"/>
                <w:b/>
                <w:bCs/>
                <w:sz w:val="20"/>
                <w:szCs w:val="20"/>
              </w:rPr>
              <w:t xml:space="preserve">Course / Subject</w:t>
            </w:r>
          </w:p>
        </w:tc>
        <w:tc>
          <w:tcPr>
            <w:tcW w:type="dxa" w:w="6800"/>
            <w:tcMar>
              <w:top w:type="dxa" w:w="120"/>
              <w:left w:type="dxa" w:w="140"/>
              <w:bottom w:type="dxa" w:w="120"/>
              <w:right w:type="dxa" w:w="140"/>
            </w:tcMar>
            <w:vAlign w:val="center"/>
          </w:tcPr>
          <w:p>
            <w:pPr>
              <w:spacing w:after="40" w:line="264"/>
            </w:pPr>
            <w:r>
              <w:rPr>
                <w:rFonts w:ascii="Calibri" w:cs="Calibri" w:eastAsia="Calibri" w:hAnsi="Calibri"/>
                <w:sz w:val="20"/>
                <w:szCs w:val="20"/>
              </w:rPr>
              <w:t xml:space="preserve">[Course Name / Code — e.g., B.E. Computer Engineering, Semester VII — Project Work I]</w:t>
            </w:r>
          </w:p>
        </w:tc>
      </w:tr>
      <w:tr>
        <w:tc>
          <w:tcPr>
            <w:tcW w:type="dxa" w:w="2600"/>
            <w:shd w:fill="DCE6F1" w:val="clear"/>
            <w:tcMar>
              <w:top w:type="dxa" w:w="120"/>
              <w:left w:type="dxa" w:w="140"/>
              <w:bottom w:type="dxa" w:w="120"/>
              <w:right w:type="dxa" w:w="140"/>
            </w:tcMar>
            <w:vAlign w:val="center"/>
          </w:tcPr>
          <w:p>
            <w:pPr>
              <w:spacing w:after="40" w:line="264"/>
            </w:pPr>
            <w:r>
              <w:rPr>
                <w:rFonts w:ascii="Calibri" w:cs="Calibri" w:eastAsia="Calibri" w:hAnsi="Calibri"/>
                <w:b/>
                <w:bCs/>
                <w:sz w:val="20"/>
                <w:szCs w:val="20"/>
              </w:rPr>
              <w:t xml:space="preserve">Project Title</w:t>
            </w:r>
          </w:p>
        </w:tc>
        <w:tc>
          <w:tcPr>
            <w:tcW w:type="dxa" w:w="6800"/>
            <w:tcMar>
              <w:top w:type="dxa" w:w="120"/>
              <w:left w:type="dxa" w:w="140"/>
              <w:bottom w:type="dxa" w:w="120"/>
              <w:right w:type="dxa" w:w="140"/>
            </w:tcMar>
            <w:vAlign w:val="center"/>
          </w:tcPr>
          <w:p>
            <w:pPr>
              <w:spacing w:after="40" w:line="264"/>
            </w:pPr>
            <w:r>
              <w:rPr>
                <w:rFonts w:ascii="Calibri" w:cs="Calibri" w:eastAsia="Calibri" w:hAnsi="Calibri"/>
                <w:sz w:val="20"/>
                <w:szCs w:val="20"/>
              </w:rPr>
              <w:t xml:space="preserve">CI/CD Pipeline for an IT Service Desk Portal</w:t>
            </w:r>
          </w:p>
        </w:tc>
      </w:tr>
      <w:tr>
        <w:tc>
          <w:tcPr>
            <w:tcW w:type="dxa" w:w="2600"/>
            <w:shd w:fill="DCE6F1" w:val="clear"/>
            <w:tcMar>
              <w:top w:type="dxa" w:w="120"/>
              <w:left w:type="dxa" w:w="140"/>
              <w:bottom w:type="dxa" w:w="120"/>
              <w:right w:type="dxa" w:w="140"/>
            </w:tcMar>
            <w:vAlign w:val="center"/>
          </w:tcPr>
          <w:p>
            <w:pPr>
              <w:spacing w:after="40" w:line="264"/>
            </w:pPr>
            <w:r>
              <w:rPr>
                <w:rFonts w:ascii="Calibri" w:cs="Calibri" w:eastAsia="Calibri" w:hAnsi="Calibri"/>
                <w:b/>
                <w:bCs/>
                <w:sz w:val="20"/>
                <w:szCs w:val="20"/>
              </w:rPr>
              <w:t xml:space="preserve">Team Members</w:t>
            </w:r>
          </w:p>
        </w:tc>
        <w:tc>
          <w:tcPr>
            <w:tcW w:type="dxa" w:w="6800"/>
            <w:tcMar>
              <w:top w:type="dxa" w:w="120"/>
              <w:left w:type="dxa" w:w="140"/>
              <w:bottom w:type="dxa" w:w="120"/>
              <w:right w:type="dxa" w:w="140"/>
            </w:tcMar>
            <w:vAlign w:val="center"/>
          </w:tcPr>
          <w:p>
            <w:pPr>
              <w:spacing w:after="40" w:line="264"/>
            </w:pPr>
            <w:r>
              <w:rPr>
                <w:rFonts w:ascii="Calibri" w:cs="Calibri" w:eastAsia="Calibri" w:hAnsi="Calibri"/>
                <w:sz w:val="20"/>
                <w:szCs w:val="20"/>
              </w:rPr>
              <w:t xml:space="preserve">[Student Name 1 — Roll No.]</w:t>
            </w:r>
          </w:p>
          <w:p>
            <w:pPr>
              <w:spacing w:after="40" w:line="264"/>
            </w:pPr>
            <w:r>
              <w:rPr>
                <w:rFonts w:ascii="Calibri" w:cs="Calibri" w:eastAsia="Calibri" w:hAnsi="Calibri"/>
                <w:sz w:val="20"/>
                <w:szCs w:val="20"/>
              </w:rPr>
              <w:t xml:space="preserve">[Student Name 2 — Roll No.]</w:t>
            </w:r>
          </w:p>
          <w:p>
            <w:pPr>
              <w:spacing w:after="40" w:line="264"/>
            </w:pPr>
            <w:r>
              <w:rPr>
                <w:rFonts w:ascii="Calibri" w:cs="Calibri" w:eastAsia="Calibri" w:hAnsi="Calibri"/>
                <w:sz w:val="20"/>
                <w:szCs w:val="20"/>
              </w:rPr>
              <w:t xml:space="preserve">[Student Name 3 — Roll No.]</w:t>
            </w:r>
          </w:p>
          <w:p>
            <w:pPr>
              <w:spacing w:after="40" w:line="264"/>
            </w:pPr>
            <w:r>
              <w:rPr>
                <w:rFonts w:ascii="Calibri" w:cs="Calibri" w:eastAsia="Calibri" w:hAnsi="Calibri"/>
                <w:sz w:val="20"/>
                <w:szCs w:val="20"/>
              </w:rPr>
              <w:t xml:space="preserve">[Student Name 4 — Roll No.]</w:t>
            </w:r>
          </w:p>
        </w:tc>
      </w:tr>
      <w:tr>
        <w:tc>
          <w:tcPr>
            <w:tcW w:type="dxa" w:w="2600"/>
            <w:shd w:fill="DCE6F1" w:val="clear"/>
            <w:tcMar>
              <w:top w:type="dxa" w:w="120"/>
              <w:left w:type="dxa" w:w="140"/>
              <w:bottom w:type="dxa" w:w="120"/>
              <w:right w:type="dxa" w:w="140"/>
            </w:tcMar>
            <w:vAlign w:val="center"/>
          </w:tcPr>
          <w:p>
            <w:pPr>
              <w:spacing w:after="40" w:line="264"/>
            </w:pPr>
            <w:r>
              <w:rPr>
                <w:rFonts w:ascii="Calibri" w:cs="Calibri" w:eastAsia="Calibri" w:hAnsi="Calibri"/>
                <w:b/>
                <w:bCs/>
                <w:sz w:val="20"/>
                <w:szCs w:val="20"/>
              </w:rPr>
              <w:t xml:space="preserve">Project Guide / Faculty</w:t>
            </w:r>
          </w:p>
        </w:tc>
        <w:tc>
          <w:tcPr>
            <w:tcW w:type="dxa" w:w="6800"/>
            <w:tcMar>
              <w:top w:type="dxa" w:w="120"/>
              <w:left w:type="dxa" w:w="140"/>
              <w:bottom w:type="dxa" w:w="120"/>
              <w:right w:type="dxa" w:w="140"/>
            </w:tcMar>
            <w:vAlign w:val="center"/>
          </w:tcPr>
          <w:p>
            <w:pPr>
              <w:spacing w:after="40" w:line="264"/>
            </w:pPr>
            <w:r>
              <w:rPr>
                <w:rFonts w:ascii="Calibri" w:cs="Calibri" w:eastAsia="Calibri" w:hAnsi="Calibri"/>
                <w:sz w:val="20"/>
                <w:szCs w:val="20"/>
              </w:rPr>
              <w:t xml:space="preserve">[Faculty Guide Name, Designation]</w:t>
            </w:r>
          </w:p>
        </w:tc>
      </w:tr>
      <w:tr>
        <w:tc>
          <w:tcPr>
            <w:tcW w:type="dxa" w:w="2600"/>
            <w:shd w:fill="DCE6F1" w:val="clear"/>
            <w:tcMar>
              <w:top w:type="dxa" w:w="120"/>
              <w:left w:type="dxa" w:w="140"/>
              <w:bottom w:type="dxa" w:w="120"/>
              <w:right w:type="dxa" w:w="140"/>
            </w:tcMar>
            <w:vAlign w:val="center"/>
          </w:tcPr>
          <w:p>
            <w:pPr>
              <w:spacing w:after="40" w:line="264"/>
            </w:pPr>
            <w:r>
              <w:rPr>
                <w:rFonts w:ascii="Calibri" w:cs="Calibri" w:eastAsia="Calibri" w:hAnsi="Calibri"/>
                <w:b/>
                <w:bCs/>
                <w:sz w:val="20"/>
                <w:szCs w:val="20"/>
              </w:rPr>
              <w:t xml:space="preserve">Department</w:t>
            </w:r>
          </w:p>
        </w:tc>
        <w:tc>
          <w:tcPr>
            <w:tcW w:type="dxa" w:w="6800"/>
            <w:tcMar>
              <w:top w:type="dxa" w:w="120"/>
              <w:left w:type="dxa" w:w="140"/>
              <w:bottom w:type="dxa" w:w="120"/>
              <w:right w:type="dxa" w:w="140"/>
            </w:tcMar>
            <w:vAlign w:val="center"/>
          </w:tcPr>
          <w:p>
            <w:pPr>
              <w:spacing w:after="40" w:line="264"/>
            </w:pPr>
            <w:r>
              <w:rPr>
                <w:rFonts w:ascii="Calibri" w:cs="Calibri" w:eastAsia="Calibri" w:hAnsi="Calibri"/>
                <w:sz w:val="20"/>
                <w:szCs w:val="20"/>
              </w:rPr>
              <w:t xml:space="preserve">[Department of Computer Engineering]</w:t>
            </w:r>
          </w:p>
        </w:tc>
      </w:tr>
      <w:tr>
        <w:tc>
          <w:tcPr>
            <w:tcW w:type="dxa" w:w="2600"/>
            <w:shd w:fill="DCE6F1" w:val="clear"/>
            <w:tcMar>
              <w:top w:type="dxa" w:w="120"/>
              <w:left w:type="dxa" w:w="140"/>
              <w:bottom w:type="dxa" w:w="120"/>
              <w:right w:type="dxa" w:w="140"/>
            </w:tcMar>
            <w:vAlign w:val="center"/>
          </w:tcPr>
          <w:p>
            <w:pPr>
              <w:spacing w:after="40" w:line="264"/>
            </w:pPr>
            <w:r>
              <w:rPr>
                <w:rFonts w:ascii="Calibri" w:cs="Calibri" w:eastAsia="Calibri" w:hAnsi="Calibri"/>
                <w:b/>
                <w:bCs/>
                <w:sz w:val="20"/>
                <w:szCs w:val="20"/>
              </w:rPr>
              <w:t xml:space="preserve">Institution</w:t>
            </w:r>
          </w:p>
        </w:tc>
        <w:tc>
          <w:tcPr>
            <w:tcW w:type="dxa" w:w="6800"/>
            <w:tcMar>
              <w:top w:type="dxa" w:w="120"/>
              <w:left w:type="dxa" w:w="140"/>
              <w:bottom w:type="dxa" w:w="120"/>
              <w:right w:type="dxa" w:w="140"/>
            </w:tcMar>
            <w:vAlign w:val="center"/>
          </w:tcPr>
          <w:p>
            <w:pPr>
              <w:spacing w:after="40" w:line="264"/>
            </w:pPr>
            <w:r>
              <w:rPr>
                <w:rFonts w:ascii="Calibri" w:cs="Calibri" w:eastAsia="Calibri" w:hAnsi="Calibri"/>
                <w:sz w:val="20"/>
                <w:szCs w:val="20"/>
              </w:rPr>
              <w:t xml:space="preserve">[Institution / College Name]</w:t>
            </w:r>
          </w:p>
        </w:tc>
      </w:tr>
      <w:tr>
        <w:tc>
          <w:tcPr>
            <w:tcW w:type="dxa" w:w="2600"/>
            <w:shd w:fill="DCE6F1" w:val="clear"/>
            <w:tcMar>
              <w:top w:type="dxa" w:w="120"/>
              <w:left w:type="dxa" w:w="140"/>
              <w:bottom w:type="dxa" w:w="120"/>
              <w:right w:type="dxa" w:w="140"/>
            </w:tcMar>
            <w:vAlign w:val="center"/>
          </w:tcPr>
          <w:p>
            <w:pPr>
              <w:spacing w:after="40" w:line="264"/>
            </w:pPr>
            <w:r>
              <w:rPr>
                <w:rFonts w:ascii="Calibri" w:cs="Calibri" w:eastAsia="Calibri" w:hAnsi="Calibri"/>
                <w:b/>
                <w:bCs/>
                <w:sz w:val="20"/>
                <w:szCs w:val="20"/>
              </w:rPr>
              <w:t xml:space="preserve">Academic Year</w:t>
            </w:r>
          </w:p>
        </w:tc>
        <w:tc>
          <w:tcPr>
            <w:tcW w:type="dxa" w:w="6800"/>
            <w:tcMar>
              <w:top w:type="dxa" w:w="120"/>
              <w:left w:type="dxa" w:w="140"/>
              <w:bottom w:type="dxa" w:w="120"/>
              <w:right w:type="dxa" w:w="140"/>
            </w:tcMar>
            <w:vAlign w:val="center"/>
          </w:tcPr>
          <w:p>
            <w:pPr>
              <w:spacing w:after="40" w:line="264"/>
            </w:pPr>
            <w:r>
              <w:rPr>
                <w:rFonts w:ascii="Calibri" w:cs="Calibri" w:eastAsia="Calibri" w:hAnsi="Calibri"/>
                <w:sz w:val="20"/>
                <w:szCs w:val="20"/>
              </w:rPr>
              <w:t xml:space="preserve">[20XX – 20XX]</w:t>
            </w:r>
          </w:p>
        </w:tc>
      </w:tr>
      <w:tr>
        <w:tc>
          <w:tcPr>
            <w:tcW w:type="dxa" w:w="2600"/>
            <w:shd w:fill="DCE6F1" w:val="clear"/>
            <w:tcMar>
              <w:top w:type="dxa" w:w="120"/>
              <w:left w:type="dxa" w:w="140"/>
              <w:bottom w:type="dxa" w:w="120"/>
              <w:right w:type="dxa" w:w="140"/>
            </w:tcMar>
            <w:vAlign w:val="center"/>
          </w:tcPr>
          <w:p>
            <w:pPr>
              <w:spacing w:after="40" w:line="264"/>
            </w:pPr>
            <w:r>
              <w:rPr>
                <w:rFonts w:ascii="Calibri" w:cs="Calibri" w:eastAsia="Calibri" w:hAnsi="Calibri"/>
                <w:b/>
                <w:bCs/>
                <w:sz w:val="20"/>
                <w:szCs w:val="20"/>
              </w:rPr>
              <w:t xml:space="preserve">Document Version</w:t>
            </w:r>
          </w:p>
        </w:tc>
        <w:tc>
          <w:tcPr>
            <w:tcW w:type="dxa" w:w="6800"/>
            <w:tcMar>
              <w:top w:type="dxa" w:w="120"/>
              <w:left w:type="dxa" w:w="140"/>
              <w:bottom w:type="dxa" w:w="120"/>
              <w:right w:type="dxa" w:w="140"/>
            </w:tcMar>
            <w:vAlign w:val="center"/>
          </w:tcPr>
          <w:p>
            <w:pPr>
              <w:spacing w:after="40" w:line="264"/>
            </w:pPr>
            <w:r>
              <w:rPr>
                <w:rFonts w:ascii="Calibri" w:cs="Calibri" w:eastAsia="Calibri" w:hAnsi="Calibri"/>
                <w:sz w:val="20"/>
                <w:szCs w:val="20"/>
              </w:rPr>
              <w:t xml:space="preserve">1.0 (Week 1 Submission)</w:t>
            </w:r>
          </w:p>
        </w:tc>
      </w:tr>
      <w:tr>
        <w:tc>
          <w:tcPr>
            <w:tcW w:type="dxa" w:w="2600"/>
            <w:shd w:fill="DCE6F1" w:val="clear"/>
            <w:tcMar>
              <w:top w:type="dxa" w:w="120"/>
              <w:left w:type="dxa" w:w="140"/>
              <w:bottom w:type="dxa" w:w="120"/>
              <w:right w:type="dxa" w:w="140"/>
            </w:tcMar>
            <w:vAlign w:val="center"/>
          </w:tcPr>
          <w:p>
            <w:pPr>
              <w:spacing w:after="40" w:line="264"/>
            </w:pPr>
            <w:r>
              <w:rPr>
                <w:rFonts w:ascii="Calibri" w:cs="Calibri" w:eastAsia="Calibri" w:hAnsi="Calibri"/>
                <w:b/>
                <w:bCs/>
                <w:sz w:val="20"/>
                <w:szCs w:val="20"/>
              </w:rPr>
              <w:t xml:space="preserve">Submission Date</w:t>
            </w:r>
          </w:p>
        </w:tc>
        <w:tc>
          <w:tcPr>
            <w:tcW w:type="dxa" w:w="6800"/>
            <w:tcMar>
              <w:top w:type="dxa" w:w="120"/>
              <w:left w:type="dxa" w:w="140"/>
              <w:bottom w:type="dxa" w:w="120"/>
              <w:right w:type="dxa" w:w="140"/>
            </w:tcMar>
            <w:vAlign w:val="center"/>
          </w:tcPr>
          <w:p>
            <w:pPr>
              <w:spacing w:after="40" w:line="264"/>
            </w:pPr>
            <w:r>
              <w:rPr>
                <w:rFonts w:ascii="Calibri" w:cs="Calibri" w:eastAsia="Calibri" w:hAnsi="Calibri"/>
                <w:sz w:val="20"/>
                <w:szCs w:val="20"/>
              </w:rPr>
              <w:t xml:space="preserve">[DD / MM / YYYY]</w:t>
            </w:r>
          </w:p>
        </w:tc>
      </w:tr>
    </w:tbl>
    <w:p>
      <w:r>
        <w:br w:type="page"/>
      </w:r>
    </w:p>
    <w:p>
      <w:pPr>
        <w:pStyle w:val="Heading1"/>
        <w:pBdr>
          <w:bottom w:val="single" w:color="1F4E79" w:sz="6" w:space="4"/>
        </w:pBdr>
        <w:spacing w:after="200" w:before="360"/>
      </w:pPr>
      <w:r>
        <w:rPr>
          <w:rFonts w:ascii="Calibri" w:cs="Calibri" w:eastAsia="Calibri" w:hAnsi="Calibri"/>
          <w:b/>
          <w:bCs/>
          <w:color w:val="1F4E79"/>
          <w:sz w:val="30"/>
          <w:szCs w:val="30"/>
        </w:rPr>
        <w:t xml:space="preserve">1. Introduction</w:t>
      </w:r>
    </w:p>
    <w:p>
      <w:pPr>
        <w:pStyle w:val="Heading2"/>
        <w:spacing w:after="140" w:before="260"/>
      </w:pPr>
      <w:r>
        <w:rPr>
          <w:rFonts w:ascii="Calibri" w:cs="Calibri" w:eastAsia="Calibri" w:hAnsi="Calibri"/>
          <w:b/>
          <w:bCs/>
          <w:color w:val="1F4E79"/>
          <w:sz w:val="24"/>
          <w:szCs w:val="24"/>
        </w:rPr>
        <w:t xml:space="preserve">1.1 Background</w:t>
      </w:r>
    </w:p>
    <w:p>
      <w:pPr>
        <w:spacing w:after="160" w:line="276"/>
        <w:jc w:val="both"/>
      </w:pPr>
      <w:r>
        <w:rPr>
          <w:rFonts w:ascii="Calibri" w:cs="Calibri" w:eastAsia="Calibri" w:hAnsi="Calibri"/>
          <w:sz w:val="22"/>
          <w:szCs w:val="22"/>
        </w:rPr>
        <w:t xml:space="preserve">Every organisation, regardless of its size, depends on a functioning IT infrastructure — desktops, laptops, printers, network access, business software, and email systems. When any of these fail or malfunction, employees are typically dependent on the IT support function to restore service. In small and medium-sized organisations, and even in academic institutions, this process is frequently informal: issues are reported by walking up to the IT desk, sending an email, or messaging over chat applications. As the organisation grows, this informal approach becomes difficult to track, prioritise, and audit.</w:t>
      </w:r>
    </w:p>
    <w:p>
      <w:pPr>
        <w:spacing w:after="160" w:line="276"/>
        <w:jc w:val="both"/>
      </w:pPr>
      <w:r>
        <w:rPr>
          <w:rFonts w:ascii="Calibri" w:cs="Calibri" w:eastAsia="Calibri" w:hAnsi="Calibri"/>
          <w:sz w:val="22"/>
          <w:szCs w:val="22"/>
        </w:rPr>
        <w:t xml:space="preserve">This project is undertaken as part of the academic curriculum to design and build a web-based IT Service Desk Portal, and — as the primary learning objective of the course — to progressively wrap that application in a complete DevOps / Continuous Integration and Continuous Delivery (CI/CD) workflow. The IT Service Desk Portal itself is a realistic but intentionally scoped-down application; its purpose is to provide a working, evolving codebase around which the CI/CD pipeline (version control, automated build, automated testing, containerisation, and automated deployment/configuration) can be constructed and demonstrated over the 15-week duration of the project.</w:t>
      </w:r>
    </w:p>
    <w:p>
      <w:pPr>
        <w:pStyle w:val="Heading2"/>
        <w:spacing w:after="140" w:before="260"/>
      </w:pPr>
      <w:r>
        <w:rPr>
          <w:rFonts w:ascii="Calibri" w:cs="Calibri" w:eastAsia="Calibri" w:hAnsi="Calibri"/>
          <w:b/>
          <w:bCs/>
          <w:color w:val="1F4E79"/>
          <w:sz w:val="24"/>
          <w:szCs w:val="24"/>
        </w:rPr>
        <w:t xml:space="preserve">1.2 Context of the Project</w:t>
      </w:r>
    </w:p>
    <w:p>
      <w:pPr>
        <w:spacing w:after="160" w:line="276"/>
        <w:jc w:val="both"/>
      </w:pPr>
      <w:r>
        <w:rPr>
          <w:rFonts w:ascii="Calibri" w:cs="Calibri" w:eastAsia="Calibri" w:hAnsi="Calibri"/>
          <w:sz w:val="22"/>
          <w:szCs w:val="22"/>
        </w:rPr>
        <w:t xml:space="preserve">The broader subject of this project is DevOps engineering practice, taught through a concrete, hands-on artefact. Rather than studying CI/CD tools in isolation, the course requires students to build a non-trivial application and then instrument it with the same tools used in industry: Git and GitHub for version control and collaboration, Jenkins for build and pipeline automation, Selenium for automated functional testing, Docker for containerisation, and Ansible or Puppet for configuration management and deployment automation. The IT Service Desk Portal was assigned as the application domain because it is functionally self-contained, does not require specialised domain knowledge to design, and naturally supports incremental feature development — which maps well onto a 15-week, sprint-like academic schedule.</w:t>
      </w:r>
    </w:p>
    <w:p>
      <w:pPr>
        <w:pStyle w:val="Heading2"/>
        <w:spacing w:after="140" w:before="260"/>
      </w:pPr>
      <w:r>
        <w:rPr>
          <w:rFonts w:ascii="Calibri" w:cs="Calibri" w:eastAsia="Calibri" w:hAnsi="Calibri"/>
          <w:b/>
          <w:bCs/>
          <w:color w:val="1F4E79"/>
          <w:sz w:val="24"/>
          <w:szCs w:val="24"/>
        </w:rPr>
        <w:t xml:space="preserve">1.3 Why IT Service Management Requires a Centralised Portal</w:t>
      </w:r>
    </w:p>
    <w:p>
      <w:pPr>
        <w:spacing w:after="160" w:line="276"/>
        <w:jc w:val="both"/>
      </w:pPr>
      <w:r>
        <w:rPr>
          <w:rFonts w:ascii="Calibri" w:cs="Calibri" w:eastAsia="Calibri" w:hAnsi="Calibri"/>
          <w:sz w:val="22"/>
          <w:szCs w:val="22"/>
        </w:rPr>
        <w:t xml:space="preserve">Unstructured issue reporting — over email, phone calls, or verbal requests — has several well-documented shortcomings: there is no single record of what was reported and when, no way to track whether an issue is open, in progress, or resolved, no visibility for management into recurring problems, and no easy way for an employee to check the status of their own request without contacting support again. A centralised Service Desk Portal addresses these shortcomings by giving every stakeholder — the employee reporting an issue, the support staff resolving it, and the administrator overseeing the process — a single, shared, and persistent system of record.</w:t>
      </w:r>
    </w:p>
    <w:p>
      <w:pPr>
        <w:pStyle w:val="Heading1"/>
        <w:pBdr>
          <w:bottom w:val="single" w:color="1F4E79" w:sz="6" w:space="4"/>
        </w:pBdr>
        <w:spacing w:after="200" w:before="360"/>
      </w:pPr>
      <w:r>
        <w:rPr>
          <w:rFonts w:ascii="Calibri" w:cs="Calibri" w:eastAsia="Calibri" w:hAnsi="Calibri"/>
          <w:b/>
          <w:bCs/>
          <w:color w:val="1F4E79"/>
          <w:sz w:val="30"/>
          <w:szCs w:val="30"/>
        </w:rPr>
        <w:t xml:space="preserve">2. Problem Definition</w:t>
      </w:r>
    </w:p>
    <w:p>
      <w:pPr>
        <w:pStyle w:val="Heading2"/>
        <w:spacing w:after="140" w:before="260"/>
      </w:pPr>
      <w:r>
        <w:rPr>
          <w:rFonts w:ascii="Calibri" w:cs="Calibri" w:eastAsia="Calibri" w:hAnsi="Calibri"/>
          <w:b/>
          <w:bCs/>
          <w:color w:val="1F4E79"/>
          <w:sz w:val="24"/>
          <w:szCs w:val="24"/>
        </w:rPr>
        <w:t xml:space="preserve">2.1 Current Problems with Manual / Unstructured IT Issue Reporting</w:t>
      </w:r>
    </w:p>
    <w:p>
      <w:pPr>
        <w:pStyle w:val="ListParagraph"/>
        <w:numPr>
          <w:ilvl w:val="0"/>
          <w:numId w:val="2"/>
        </w:numPr>
        <w:spacing w:after="100" w:line="276"/>
      </w:pPr>
      <w:r>
        <w:rPr>
          <w:rFonts w:ascii="Calibri" w:cs="Calibri" w:eastAsia="Calibri" w:hAnsi="Calibri"/>
          <w:sz w:val="22"/>
          <w:szCs w:val="22"/>
        </w:rPr>
        <w:t xml:space="preserve">Issues reported through email, phone, or verbal communication are not logged in a consistent, searchable format.</w:t>
      </w:r>
    </w:p>
    <w:p>
      <w:pPr>
        <w:pStyle w:val="ListParagraph"/>
        <w:numPr>
          <w:ilvl w:val="0"/>
          <w:numId w:val="2"/>
        </w:numPr>
        <w:spacing w:after="100" w:line="276"/>
      </w:pPr>
      <w:r>
        <w:rPr>
          <w:rFonts w:ascii="Calibri" w:cs="Calibri" w:eastAsia="Calibri" w:hAnsi="Calibri"/>
          <w:sz w:val="22"/>
          <w:szCs w:val="22"/>
        </w:rPr>
        <w:t xml:space="preserve">There is no unique identifier or reference number for a reported issue, making it difficult to follow up.</w:t>
      </w:r>
    </w:p>
    <w:p>
      <w:pPr>
        <w:pStyle w:val="ListParagraph"/>
        <w:numPr>
          <w:ilvl w:val="0"/>
          <w:numId w:val="2"/>
        </w:numPr>
        <w:spacing w:after="100" w:line="276"/>
      </w:pPr>
      <w:r>
        <w:rPr>
          <w:rFonts w:ascii="Calibri" w:cs="Calibri" w:eastAsia="Calibri" w:hAnsi="Calibri"/>
          <w:sz w:val="22"/>
          <w:szCs w:val="22"/>
        </w:rPr>
        <w:t xml:space="preserve">IT support staff have no shared queue; requests may be duplicated, missed, or handled inconsistently between staff members.</w:t>
      </w:r>
    </w:p>
    <w:p>
      <w:pPr>
        <w:pStyle w:val="ListParagraph"/>
        <w:numPr>
          <w:ilvl w:val="0"/>
          <w:numId w:val="2"/>
        </w:numPr>
        <w:spacing w:after="100" w:line="276"/>
      </w:pPr>
      <w:r>
        <w:rPr>
          <w:rFonts w:ascii="Calibri" w:cs="Calibri" w:eastAsia="Calibri" w:hAnsi="Calibri"/>
          <w:sz w:val="22"/>
          <w:szCs w:val="22"/>
        </w:rPr>
        <w:t xml:space="preserve">Employees have no way to check the status of a previously reported issue without contacting support again.</w:t>
      </w:r>
    </w:p>
    <w:p>
      <w:pPr>
        <w:pStyle w:val="ListParagraph"/>
        <w:numPr>
          <w:ilvl w:val="0"/>
          <w:numId w:val="2"/>
        </w:numPr>
        <w:spacing w:after="100" w:line="276"/>
      </w:pPr>
      <w:r>
        <w:rPr>
          <w:rFonts w:ascii="Calibri" w:cs="Calibri" w:eastAsia="Calibri" w:hAnsi="Calibri"/>
          <w:sz w:val="22"/>
          <w:szCs w:val="22"/>
        </w:rPr>
        <w:t xml:space="preserve">There is no historical record that management can review to identify recurring problems, response times, or workload distribution.</w:t>
      </w:r>
    </w:p>
    <w:p>
      <w:pPr>
        <w:pStyle w:val="ListParagraph"/>
        <w:numPr>
          <w:ilvl w:val="0"/>
          <w:numId w:val="2"/>
        </w:numPr>
        <w:spacing w:after="100" w:line="276"/>
      </w:pPr>
      <w:r>
        <w:rPr>
          <w:rFonts w:ascii="Calibri" w:cs="Calibri" w:eastAsia="Calibri" w:hAnsi="Calibri"/>
          <w:sz w:val="22"/>
          <w:szCs w:val="22"/>
        </w:rPr>
        <w:t xml:space="preserve">Accountability is unclear — it is difficult to determine who is responsible for an unresolved issue or how long it has been pending.</w:t>
      </w:r>
    </w:p>
    <w:p>
      <w:pPr>
        <w:pStyle w:val="Heading2"/>
        <w:spacing w:after="140" w:before="260"/>
      </w:pPr>
      <w:r>
        <w:rPr>
          <w:rFonts w:ascii="Calibri" w:cs="Calibri" w:eastAsia="Calibri" w:hAnsi="Calibri"/>
          <w:b/>
          <w:bCs/>
          <w:color w:val="1F4E79"/>
          <w:sz w:val="24"/>
          <w:szCs w:val="24"/>
        </w:rPr>
        <w:t xml:space="preserve">2.2 Impact on Employees and IT Support Teams</w:t>
      </w:r>
    </w:p>
    <w:p>
      <w:pPr>
        <w:spacing w:after="160" w:line="276"/>
        <w:jc w:val="both"/>
      </w:pPr>
      <w:r>
        <w:rPr>
          <w:rFonts w:ascii="Calibri" w:cs="Calibri" w:eastAsia="Calibri" w:hAnsi="Calibri"/>
          <w:sz w:val="22"/>
          <w:szCs w:val="22"/>
        </w:rPr>
        <w:t xml:space="preserve">For employees, the absence of a structured system results in uncertainty and repeated follow-up communication, which is frustrating and time-consuming. For IT support staff, the absence of a shared, prioritised queue leads to disorganised work, difficulty in demonstrating workload or performance, and a higher likelihood of issues being overlooked. For the organisation as a whole, the lack of recorded data prevents any meaningful analysis of common failure patterns, response efficiency, or staffing needs.</w:t>
      </w:r>
    </w:p>
    <w:p>
      <w:pPr>
        <w:pStyle w:val="Heading2"/>
        <w:spacing w:after="140" w:before="260"/>
      </w:pPr>
      <w:r>
        <w:rPr>
          <w:rFonts w:ascii="Calibri" w:cs="Calibri" w:eastAsia="Calibri" w:hAnsi="Calibri"/>
          <w:b/>
          <w:bCs/>
          <w:color w:val="1F4E79"/>
          <w:sz w:val="24"/>
          <w:szCs w:val="24"/>
        </w:rPr>
        <w:t xml:space="preserve">2.3 Formal Problem Statement</w:t>
      </w:r>
    </w:p>
    <w:p>
      <w:pPr>
        <w:pBdr>
          <w:top w:val="single" w:color="1F4E79" w:sz="6" w:space="8"/>
          <w:bottom w:val="single" w:color="1F4E79" w:sz="6" w:space="8"/>
          <w:left w:val="single" w:color="1F4E79" w:sz="6" w:space="8"/>
          <w:right w:val="single" w:color="1F4E79" w:sz="6" w:space="8"/>
        </w:pBdr>
        <w:shd w:fill="F2F6FA" w:val="clear"/>
        <w:spacing w:after="240" w:before="120"/>
      </w:pPr>
      <w:r>
        <w:rPr>
          <w:rFonts w:ascii="Calibri" w:cs="Calibri" w:eastAsia="Calibri" w:hAnsi="Calibri"/>
          <w:i/>
          <w:iCs/>
          <w:sz w:val="22"/>
          <w:szCs w:val="22"/>
        </w:rPr>
        <w:t xml:space="preserve">"There is no centralised, trackable system through which employees of an organisation can report IT-related issues and through which IT support staff can manage, prioritise, and resolve them. This results in lost or duplicated requests, unclear ownership, delayed resolution, and no historical record for review. This project addresses this gap by designing and developing an IT Service Desk Portal, and — as its core engineering objective — by implementing an automated CI/CD pipeline that governs how this portal is built, tested, containerised, and deployed throughout its development lifecycle."</w:t>
      </w:r>
    </w:p>
    <w:p>
      <w:pPr>
        <w:pStyle w:val="Heading1"/>
        <w:pBdr>
          <w:bottom w:val="single" w:color="1F4E79" w:sz="6" w:space="4"/>
        </w:pBdr>
        <w:spacing w:after="200" w:before="360"/>
      </w:pPr>
      <w:r>
        <w:rPr>
          <w:rFonts w:ascii="Calibri" w:cs="Calibri" w:eastAsia="Calibri" w:hAnsi="Calibri"/>
          <w:b/>
          <w:bCs/>
          <w:color w:val="1F4E79"/>
          <w:sz w:val="30"/>
          <w:szCs w:val="30"/>
        </w:rPr>
        <w:t xml:space="preserve">3. Proposed Project Overview</w:t>
      </w:r>
    </w:p>
    <w:p>
      <w:pPr>
        <w:pStyle w:val="Heading2"/>
        <w:spacing w:after="140" w:before="260"/>
      </w:pPr>
      <w:r>
        <w:rPr>
          <w:rFonts w:ascii="Calibri" w:cs="Calibri" w:eastAsia="Calibri" w:hAnsi="Calibri"/>
          <w:b/>
          <w:bCs/>
          <w:color w:val="1F4E79"/>
          <w:sz w:val="24"/>
          <w:szCs w:val="24"/>
        </w:rPr>
        <w:t xml:space="preserve">3.1 What the IT Service Desk Portal Is</w:t>
      </w:r>
    </w:p>
    <w:p>
      <w:pPr>
        <w:spacing w:after="160" w:line="276"/>
        <w:jc w:val="both"/>
      </w:pPr>
      <w:r>
        <w:rPr>
          <w:rFonts w:ascii="Calibri" w:cs="Calibri" w:eastAsia="Calibri" w:hAnsi="Calibri"/>
          <w:sz w:val="22"/>
          <w:szCs w:val="22"/>
        </w:rPr>
        <w:t xml:space="preserve">The IT Service Desk Portal is a web application that allows employees within an organisation to raise IT support tickets, allows IT support staff to work through and resolve those tickets, and allows an administrator to oversee users, categories, and overall ticket activity. It is comparable in spirit to widely used tools such as helpdesk or ticketing systems, but is deliberately scaled down to a set of core features that a small student team can realistically design, build, and demonstrate within an academic semester.</w:t>
      </w:r>
    </w:p>
    <w:p>
      <w:pPr>
        <w:pStyle w:val="Heading2"/>
        <w:spacing w:after="140" w:before="260"/>
      </w:pPr>
      <w:r>
        <w:rPr>
          <w:rFonts w:ascii="Calibri" w:cs="Calibri" w:eastAsia="Calibri" w:hAnsi="Calibri"/>
          <w:b/>
          <w:bCs/>
          <w:color w:val="1F4E79"/>
          <w:sz w:val="24"/>
          <w:szCs w:val="24"/>
        </w:rPr>
        <w:t xml:space="preserve">3.2 What Users Will Be Able to Do</w:t>
      </w:r>
    </w:p>
    <w:p>
      <w:pPr>
        <w:pStyle w:val="ListParagraph"/>
        <w:numPr>
          <w:ilvl w:val="0"/>
          <w:numId w:val="2"/>
        </w:numPr>
        <w:spacing w:after="100" w:line="276"/>
      </w:pPr>
      <w:r>
        <w:rPr>
          <w:rFonts w:ascii="Calibri" w:cs="Calibri" w:eastAsia="Calibri" w:hAnsi="Calibri"/>
          <w:sz w:val="22"/>
          <w:szCs w:val="22"/>
        </w:rPr>
        <w:t xml:space="preserve">Employees will be able to log in, raise a new ticket describing an IT issue, view the status of their own tickets, and search through their ticket history.</w:t>
      </w:r>
    </w:p>
    <w:p>
      <w:pPr>
        <w:pStyle w:val="ListParagraph"/>
        <w:numPr>
          <w:ilvl w:val="0"/>
          <w:numId w:val="2"/>
        </w:numPr>
        <w:spacing w:after="100" w:line="276"/>
      </w:pPr>
      <w:r>
        <w:rPr>
          <w:rFonts w:ascii="Calibri" w:cs="Calibri" w:eastAsia="Calibri" w:hAnsi="Calibri"/>
          <w:sz w:val="22"/>
          <w:szCs w:val="22"/>
        </w:rPr>
        <w:t xml:space="preserve">IT Support Staff will be able to view tickets assigned to them (or an open pool of tickets), update ticket status as work progresses, and add resolution notes.</w:t>
      </w:r>
    </w:p>
    <w:p>
      <w:pPr>
        <w:pStyle w:val="ListParagraph"/>
        <w:numPr>
          <w:ilvl w:val="0"/>
          <w:numId w:val="2"/>
        </w:numPr>
        <w:spacing w:after="100" w:line="276"/>
      </w:pPr>
      <w:r>
        <w:rPr>
          <w:rFonts w:ascii="Calibri" w:cs="Calibri" w:eastAsia="Calibri" w:hAnsi="Calibri"/>
          <w:sz w:val="22"/>
          <w:szCs w:val="22"/>
        </w:rPr>
        <w:t xml:space="preserve">Administrators will be able to manage user accounts, oversee all tickets in the system, and view a summary dashboard of overall ticket activity.</w:t>
      </w:r>
    </w:p>
    <w:p>
      <w:pPr>
        <w:pStyle w:val="Heading2"/>
        <w:spacing w:after="140" w:before="260"/>
      </w:pPr>
      <w:r>
        <w:rPr>
          <w:rFonts w:ascii="Calibri" w:cs="Calibri" w:eastAsia="Calibri" w:hAnsi="Calibri"/>
          <w:b/>
          <w:bCs/>
          <w:color w:val="1F4E79"/>
          <w:sz w:val="24"/>
          <w:szCs w:val="24"/>
        </w:rPr>
        <w:t xml:space="preserve">3.3 How DevOps and CI/CD Fit Into the Project</w:t>
      </w:r>
    </w:p>
    <w:p>
      <w:pPr>
        <w:spacing w:after="160" w:line="276"/>
        <w:jc w:val="both"/>
      </w:pPr>
      <w:r>
        <w:rPr>
          <w:rFonts w:ascii="Calibri" w:cs="Calibri" w:eastAsia="Calibri" w:hAnsi="Calibri"/>
          <w:sz w:val="22"/>
          <w:szCs w:val="22"/>
        </w:rPr>
        <w:t xml:space="preserve">It is important to distinguish two parallel tracks within this project. The first is the application track — the design and incremental development of the IT Service Desk Portal itself as a functioning web application. The second, and academically primary, track is the infrastructure track — the DevOps/CI-CD pipeline built around that application. Over the course of the project, the team will place the application's source code under Git version control on GitHub, configure a Jenkins pipeline that automatically builds the application and runs automated tests (using Selenium for key user-facing workflows) whenever new code is pushed, package the application using Docker so that it runs consistently across environments, and use a configuration management tool (Ansible or Puppet) to automate the setup and deployment of the application onto a target environment. The portal is therefore best understood as a vehicle for demonstrating these DevOps practices, not as an end in itself.</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4E79" w:val="clear"/>
            <w:tcMar>
              <w:top w:type="dxa" w:w="100"/>
              <w:left w:type="dxa" w:w="120"/>
              <w:bottom w:type="dxa" w:w="100"/>
              <w:right w:type="dxa" w:w="120"/>
            </w:tcMar>
            <w:vAlign w:val="center"/>
          </w:tcPr>
          <w:p>
            <w:pPr>
              <w:spacing w:after="40" w:line="264"/>
            </w:pPr>
            <w:r>
              <w:rPr>
                <w:rFonts w:ascii="Calibri" w:cs="Calibri" w:eastAsia="Calibri" w:hAnsi="Calibri"/>
                <w:b/>
                <w:bCs/>
                <w:color w:val="FFFFFF"/>
                <w:sz w:val="20"/>
                <w:szCs w:val="20"/>
              </w:rPr>
              <w:t xml:space="preserve">Track</w:t>
            </w:r>
          </w:p>
        </w:tc>
        <w:tc>
          <w:tcPr>
            <w:tcW w:type="dxa" w:w="6800"/>
            <w:shd w:fill="1F4E79" w:val="clear"/>
            <w:tcMar>
              <w:top w:type="dxa" w:w="100"/>
              <w:left w:type="dxa" w:w="120"/>
              <w:bottom w:type="dxa" w:w="100"/>
              <w:right w:type="dxa" w:w="120"/>
            </w:tcMar>
            <w:vAlign w:val="center"/>
          </w:tcPr>
          <w:p>
            <w:pPr>
              <w:spacing w:after="40" w:line="264"/>
            </w:pPr>
            <w:r>
              <w:rPr>
                <w:rFonts w:ascii="Calibri" w:cs="Calibri" w:eastAsia="Calibri" w:hAnsi="Calibri"/>
                <w:b/>
                <w:bCs/>
                <w:color w:val="FFFFFF"/>
                <w:sz w:val="20"/>
                <w:szCs w:val="20"/>
              </w:rPr>
              <w:t xml:space="preserve">Description</w:t>
            </w:r>
          </w:p>
        </w:tc>
      </w:tr>
      <w:tr>
        <w:tc>
          <w:tcPr>
            <w:tcW w:type="dxa" w:w="26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Application Being Developed</w:t>
            </w:r>
          </w:p>
        </w:tc>
        <w:tc>
          <w:tcPr>
            <w:tcW w:type="dxa" w:w="68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The IT Service Desk Portal: a web application with ticket creation, tracking, role-based workflow, and a dashboard, used to demonstrate CI/CD in action.</w:t>
            </w:r>
          </w:p>
        </w:tc>
      </w:tr>
      <w:tr>
        <w:tc>
          <w:tcPr>
            <w:tcW w:type="dxa" w:w="26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DevOps / CI-CD Infrastructure</w:t>
            </w:r>
          </w:p>
        </w:tc>
        <w:tc>
          <w:tcPr>
            <w:tcW w:type="dxa" w:w="68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The surrounding automation layer: Git/GitHub for source control, Jenkins for build and pipeline orchestration, Selenium for automated testing, Docker for containerisation, and Ansible/Puppet for configuration management and deployment.</w:t>
            </w:r>
          </w:p>
        </w:tc>
      </w:tr>
    </w:tbl>
    <w:p>
      <w:pPr>
        <w:spacing w:after="200"/>
      </w:pPr>
    </w:p>
    <w:p>
      <w:pPr>
        <w:pStyle w:val="Heading1"/>
        <w:pBdr>
          <w:bottom w:val="single" w:color="1F4E79" w:sz="6" w:space="4"/>
        </w:pBdr>
        <w:spacing w:after="200" w:before="360"/>
      </w:pPr>
      <w:r>
        <w:rPr>
          <w:rFonts w:ascii="Calibri" w:cs="Calibri" w:eastAsia="Calibri" w:hAnsi="Calibri"/>
          <w:b/>
          <w:bCs/>
          <w:color w:val="1F4E79"/>
          <w:sz w:val="30"/>
          <w:szCs w:val="30"/>
        </w:rPr>
        <w:t xml:space="preserve">4. Stakeholder Identification</w:t>
      </w:r>
    </w:p>
    <w:p>
      <w:pPr>
        <w:spacing w:after="160" w:line="276"/>
        <w:jc w:val="both"/>
      </w:pPr>
      <w:r>
        <w:rPr>
          <w:rFonts w:ascii="Calibri" w:cs="Calibri" w:eastAsia="Calibri" w:hAnsi="Calibri"/>
          <w:sz w:val="22"/>
          <w:szCs w:val="22"/>
        </w:rPr>
        <w:t xml:space="preserve">The table below identifies the realistic stakeholders of this project, their role, their expectations from the system, and the way in which they interact with 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800"/>
        <w:gridCol w:w="2700"/>
      </w:tblGrid>
      <w:tr>
        <w:trPr>
          <w:tblHeader/>
        </w:trPr>
        <w:tc>
          <w:tcPr>
            <w:tcW w:type="dxa" w:w="2000"/>
            <w:shd w:fill="1F4E79" w:val="clear"/>
            <w:tcMar>
              <w:top w:type="dxa" w:w="100"/>
              <w:left w:type="dxa" w:w="120"/>
              <w:bottom w:type="dxa" w:w="100"/>
              <w:right w:type="dxa" w:w="120"/>
            </w:tcMar>
            <w:vAlign w:val="center"/>
          </w:tcPr>
          <w:p>
            <w:pPr>
              <w:spacing w:after="40" w:line="264"/>
            </w:pPr>
            <w:r>
              <w:rPr>
                <w:rFonts w:ascii="Calibri" w:cs="Calibri" w:eastAsia="Calibri" w:hAnsi="Calibri"/>
                <w:b/>
                <w:bCs/>
                <w:color w:val="FFFFFF"/>
                <w:sz w:val="20"/>
                <w:szCs w:val="20"/>
              </w:rPr>
              <w:t xml:space="preserve">Stakeholder</w:t>
            </w:r>
          </w:p>
        </w:tc>
        <w:tc>
          <w:tcPr>
            <w:tcW w:type="dxa" w:w="1900"/>
            <w:shd w:fill="1F4E79" w:val="clear"/>
            <w:tcMar>
              <w:top w:type="dxa" w:w="100"/>
              <w:left w:type="dxa" w:w="120"/>
              <w:bottom w:type="dxa" w:w="100"/>
              <w:right w:type="dxa" w:w="120"/>
            </w:tcMar>
            <w:vAlign w:val="center"/>
          </w:tcPr>
          <w:p>
            <w:pPr>
              <w:spacing w:after="40" w:line="264"/>
            </w:pPr>
            <w:r>
              <w:rPr>
                <w:rFonts w:ascii="Calibri" w:cs="Calibri" w:eastAsia="Calibri" w:hAnsi="Calibri"/>
                <w:b/>
                <w:bCs/>
                <w:color w:val="FFFFFF"/>
                <w:sz w:val="20"/>
                <w:szCs w:val="20"/>
              </w:rPr>
              <w:t xml:space="preserve">Role</w:t>
            </w:r>
          </w:p>
        </w:tc>
        <w:tc>
          <w:tcPr>
            <w:tcW w:type="dxa" w:w="2800"/>
            <w:shd w:fill="1F4E79" w:val="clear"/>
            <w:tcMar>
              <w:top w:type="dxa" w:w="100"/>
              <w:left w:type="dxa" w:w="120"/>
              <w:bottom w:type="dxa" w:w="100"/>
              <w:right w:type="dxa" w:w="120"/>
            </w:tcMar>
            <w:vAlign w:val="center"/>
          </w:tcPr>
          <w:p>
            <w:pPr>
              <w:spacing w:after="40" w:line="264"/>
            </w:pPr>
            <w:r>
              <w:rPr>
                <w:rFonts w:ascii="Calibri" w:cs="Calibri" w:eastAsia="Calibri" w:hAnsi="Calibri"/>
                <w:b/>
                <w:bCs/>
                <w:color w:val="FFFFFF"/>
                <w:sz w:val="20"/>
                <w:szCs w:val="20"/>
              </w:rPr>
              <w:t xml:space="preserve">Requirements / Expectations</w:t>
            </w:r>
          </w:p>
        </w:tc>
        <w:tc>
          <w:tcPr>
            <w:tcW w:type="dxa" w:w="2700"/>
            <w:shd w:fill="1F4E79" w:val="clear"/>
            <w:tcMar>
              <w:top w:type="dxa" w:w="100"/>
              <w:left w:type="dxa" w:w="120"/>
              <w:bottom w:type="dxa" w:w="100"/>
              <w:right w:type="dxa" w:w="120"/>
            </w:tcMar>
            <w:vAlign w:val="center"/>
          </w:tcPr>
          <w:p>
            <w:pPr>
              <w:spacing w:after="40" w:line="264"/>
            </w:pPr>
            <w:r>
              <w:rPr>
                <w:rFonts w:ascii="Calibri" w:cs="Calibri" w:eastAsia="Calibri" w:hAnsi="Calibri"/>
                <w:b/>
                <w:bCs/>
                <w:color w:val="FFFFFF"/>
                <w:sz w:val="20"/>
                <w:szCs w:val="20"/>
              </w:rPr>
              <w:t xml:space="preserve">Interaction with the System</w:t>
            </w:r>
          </w:p>
        </w:tc>
      </w:tr>
      <w:tr>
        <w:tc>
          <w:tcPr>
            <w:tcW w:type="dxa" w:w="20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Employee / User</w:t>
            </w:r>
          </w:p>
        </w:tc>
        <w:tc>
          <w:tcPr>
            <w:tcW w:type="dxa" w:w="19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Reports IT issues encountered during day-to-day work.</w:t>
            </w:r>
          </w:p>
        </w:tc>
        <w:tc>
          <w:tcPr>
            <w:tcW w:type="dxa" w:w="28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Simple ticket submission; visibility into ticket status; confidence that issues are being tracked.</w:t>
            </w:r>
          </w:p>
        </w:tc>
        <w:tc>
          <w:tcPr>
            <w:tcW w:type="dxa" w:w="27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Logs in, creates tickets, views and searches own ticket history.</w:t>
            </w:r>
          </w:p>
        </w:tc>
      </w:tr>
      <w:tr>
        <w:tc>
          <w:tcPr>
            <w:tcW w:type="dxa" w:w="20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IT Support Staff</w:t>
            </w:r>
          </w:p>
        </w:tc>
        <w:tc>
          <w:tcPr>
            <w:tcW w:type="dxa" w:w="19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Investigates and resolves reported IT issues.</w:t>
            </w:r>
          </w:p>
        </w:tc>
        <w:tc>
          <w:tcPr>
            <w:tcW w:type="dxa" w:w="28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A clear, prioritised view of open tickets; ability to update status and add notes.</w:t>
            </w:r>
          </w:p>
        </w:tc>
        <w:tc>
          <w:tcPr>
            <w:tcW w:type="dxa" w:w="27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Logs in, views assigned/open tickets, updates ticket status and resolution details.</w:t>
            </w:r>
          </w:p>
        </w:tc>
      </w:tr>
      <w:tr>
        <w:tc>
          <w:tcPr>
            <w:tcW w:type="dxa" w:w="20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System Administrator</w:t>
            </w:r>
          </w:p>
        </w:tc>
        <w:tc>
          <w:tcPr>
            <w:tcW w:type="dxa" w:w="19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Manages users, categories, and overall system configuration.</w:t>
            </w:r>
          </w:p>
        </w:tc>
        <w:tc>
          <w:tcPr>
            <w:tcW w:type="dxa" w:w="28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Control over user accounts and system-wide visibility of ticket activity.</w:t>
            </w:r>
          </w:p>
        </w:tc>
        <w:tc>
          <w:tcPr>
            <w:tcW w:type="dxa" w:w="27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Logs in, manages user accounts, views all tickets and the summary dashboard.</w:t>
            </w:r>
          </w:p>
        </w:tc>
      </w:tr>
      <w:tr>
        <w:tc>
          <w:tcPr>
            <w:tcW w:type="dxa" w:w="20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Project Team (Students)</w:t>
            </w:r>
          </w:p>
        </w:tc>
        <w:tc>
          <w:tcPr>
            <w:tcW w:type="dxa" w:w="19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Designs, develops, tests, and deploys both the application and the CI/CD pipeline.</w:t>
            </w:r>
          </w:p>
        </w:tc>
        <w:tc>
          <w:tcPr>
            <w:tcW w:type="dxa" w:w="28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A realistic, achievable scope; clear weekly milestones; a working demonstrable pipeline by project end.</w:t>
            </w:r>
          </w:p>
        </w:tc>
        <w:tc>
          <w:tcPr>
            <w:tcW w:type="dxa" w:w="27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Builds the application, configures Git/GitHub, Jenkins, Selenium, Docker, and Ansible/Puppet.</w:t>
            </w:r>
          </w:p>
        </w:tc>
      </w:tr>
      <w:tr>
        <w:tc>
          <w:tcPr>
            <w:tcW w:type="dxa" w:w="20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Project Guide / Faculty</w:t>
            </w:r>
          </w:p>
        </w:tc>
        <w:tc>
          <w:tcPr>
            <w:tcW w:type="dxa" w:w="19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Evaluates the project against academic and technical criteria on a weekly/phase-wise basis.</w:t>
            </w:r>
          </w:p>
        </w:tc>
        <w:tc>
          <w:tcPr>
            <w:tcW w:type="dxa" w:w="28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Evidence of understanding, correct use of DevOps tools, and steady, verifiable progress.</w:t>
            </w:r>
          </w:p>
        </w:tc>
        <w:tc>
          <w:tcPr>
            <w:tcW w:type="dxa" w:w="27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Reviews weekly deliverables, documentation, and pipeline demonstrations.</w:t>
            </w:r>
          </w:p>
        </w:tc>
      </w:tr>
      <w:tr>
        <w:tc>
          <w:tcPr>
            <w:tcW w:type="dxa" w:w="20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Management (Organisational Context)</w:t>
            </w:r>
          </w:p>
        </w:tc>
        <w:tc>
          <w:tcPr>
            <w:tcW w:type="dxa" w:w="19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Represents the hypothetical organisation the portal is built for.</w:t>
            </w:r>
          </w:p>
        </w:tc>
        <w:tc>
          <w:tcPr>
            <w:tcW w:type="dxa" w:w="28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Reduced IT ticket turnaround time and visibility into recurring issues.</w:t>
            </w:r>
          </w:p>
        </w:tc>
        <w:tc>
          <w:tcPr>
            <w:tcW w:type="dxa" w:w="27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Indirect stakeholder; views summary/dashboard-level information through the Administrator role.</w:t>
            </w:r>
          </w:p>
        </w:tc>
      </w:tr>
    </w:tbl>
    <w:p>
      <w:pPr>
        <w:pStyle w:val="Heading1"/>
        <w:pBdr>
          <w:bottom w:val="single" w:color="1F4E79" w:sz="6" w:space="4"/>
        </w:pBdr>
        <w:spacing w:after="200" w:before="360"/>
      </w:pPr>
      <w:r>
        <w:rPr>
          <w:rFonts w:ascii="Calibri" w:cs="Calibri" w:eastAsia="Calibri" w:hAnsi="Calibri"/>
          <w:b/>
          <w:bCs/>
          <w:color w:val="1F4E79"/>
          <w:sz w:val="30"/>
          <w:szCs w:val="30"/>
        </w:rPr>
        <w:t xml:space="preserve">5. Project Objectives</w:t>
      </w:r>
    </w:p>
    <w:p>
      <w:pPr>
        <w:pStyle w:val="Heading2"/>
        <w:spacing w:after="140" w:before="260"/>
      </w:pPr>
      <w:r>
        <w:rPr>
          <w:rFonts w:ascii="Calibri" w:cs="Calibri" w:eastAsia="Calibri" w:hAnsi="Calibri"/>
          <w:b/>
          <w:bCs/>
          <w:color w:val="1F4E79"/>
          <w:sz w:val="24"/>
          <w:szCs w:val="24"/>
        </w:rPr>
        <w:t xml:space="preserve">5.1 Primary Objectives</w:t>
      </w:r>
    </w:p>
    <w:p>
      <w:pPr>
        <w:pStyle w:val="ListParagraph"/>
        <w:numPr>
          <w:ilvl w:val="0"/>
          <w:numId w:val="3"/>
        </w:numPr>
        <w:spacing w:after="100" w:line="276"/>
      </w:pPr>
      <w:r>
        <w:rPr>
          <w:rFonts w:ascii="Calibri" w:cs="Calibri" w:eastAsia="Calibri" w:hAnsi="Calibri"/>
          <w:sz w:val="22"/>
          <w:szCs w:val="22"/>
        </w:rPr>
        <w:t xml:space="preserve">To design and develop a functional IT Service Desk Portal that allows employees to raise IT issues and allows IT staff to track and resolve them.</w:t>
      </w:r>
    </w:p>
    <w:p>
      <w:pPr>
        <w:pStyle w:val="ListParagraph"/>
        <w:numPr>
          <w:ilvl w:val="0"/>
          <w:numId w:val="3"/>
        </w:numPr>
        <w:spacing w:after="100" w:line="276"/>
      </w:pPr>
      <w:r>
        <w:rPr>
          <w:rFonts w:ascii="Calibri" w:cs="Calibri" w:eastAsia="Calibri" w:hAnsi="Calibri"/>
          <w:sz w:val="22"/>
          <w:szCs w:val="22"/>
        </w:rPr>
        <w:t xml:space="preserve">To implement a version-controlled development workflow using Git and GitHub, including branching and pull-request-based collaboration.</w:t>
      </w:r>
    </w:p>
    <w:p>
      <w:pPr>
        <w:pStyle w:val="ListParagraph"/>
        <w:numPr>
          <w:ilvl w:val="0"/>
          <w:numId w:val="3"/>
        </w:numPr>
        <w:spacing w:after="100" w:line="276"/>
      </w:pPr>
      <w:r>
        <w:rPr>
          <w:rFonts w:ascii="Calibri" w:cs="Calibri" w:eastAsia="Calibri" w:hAnsi="Calibri"/>
          <w:sz w:val="22"/>
          <w:szCs w:val="22"/>
        </w:rPr>
        <w:t xml:space="preserve">To configure a Jenkins-based CI/CD pipeline that automatically builds the application and runs automated tests on each code change.</w:t>
      </w:r>
    </w:p>
    <w:p>
      <w:pPr>
        <w:pStyle w:val="ListParagraph"/>
        <w:numPr>
          <w:ilvl w:val="0"/>
          <w:numId w:val="3"/>
        </w:numPr>
        <w:spacing w:after="100" w:line="276"/>
      </w:pPr>
      <w:r>
        <w:rPr>
          <w:rFonts w:ascii="Calibri" w:cs="Calibri" w:eastAsia="Calibri" w:hAnsi="Calibri"/>
          <w:sz w:val="22"/>
          <w:szCs w:val="22"/>
        </w:rPr>
        <w:t xml:space="preserve">To containerise the application using Docker so that it can be built and run consistently across development and deployment environments.</w:t>
      </w:r>
    </w:p>
    <w:p>
      <w:pPr>
        <w:pStyle w:val="ListParagraph"/>
        <w:numPr>
          <w:ilvl w:val="0"/>
          <w:numId w:val="3"/>
        </w:numPr>
        <w:spacing w:after="100" w:line="276"/>
      </w:pPr>
      <w:r>
        <w:rPr>
          <w:rFonts w:ascii="Calibri" w:cs="Calibri" w:eastAsia="Calibri" w:hAnsi="Calibri"/>
          <w:sz w:val="22"/>
          <w:szCs w:val="22"/>
        </w:rPr>
        <w:t xml:space="preserve">To automate environment setup and deployment using a configuration management tool (Ansible or Puppet).</w:t>
      </w:r>
    </w:p>
    <w:p>
      <w:pPr>
        <w:pStyle w:val="Heading2"/>
        <w:spacing w:after="140" w:before="260"/>
      </w:pPr>
      <w:r>
        <w:rPr>
          <w:rFonts w:ascii="Calibri" w:cs="Calibri" w:eastAsia="Calibri" w:hAnsi="Calibri"/>
          <w:b/>
          <w:bCs/>
          <w:color w:val="1F4E79"/>
          <w:sz w:val="24"/>
          <w:szCs w:val="24"/>
        </w:rPr>
        <w:t xml:space="preserve">5.2 Secondary Objectives</w:t>
      </w:r>
    </w:p>
    <w:p>
      <w:pPr>
        <w:pStyle w:val="ListParagraph"/>
        <w:numPr>
          <w:ilvl w:val="0"/>
          <w:numId w:val="3"/>
        </w:numPr>
        <w:spacing w:after="100" w:line="276"/>
      </w:pPr>
      <w:r>
        <w:rPr>
          <w:rFonts w:ascii="Calibri" w:cs="Calibri" w:eastAsia="Calibri" w:hAnsi="Calibri"/>
          <w:sz w:val="22"/>
          <w:szCs w:val="22"/>
        </w:rPr>
        <w:t xml:space="preserve">To introduce automated functional testing using Selenium for critical user workflows such as ticket creation and login.</w:t>
      </w:r>
    </w:p>
    <w:p>
      <w:pPr>
        <w:pStyle w:val="ListParagraph"/>
        <w:numPr>
          <w:ilvl w:val="0"/>
          <w:numId w:val="3"/>
        </w:numPr>
        <w:spacing w:after="100" w:line="276"/>
      </w:pPr>
      <w:r>
        <w:rPr>
          <w:rFonts w:ascii="Calibri" w:cs="Calibri" w:eastAsia="Calibri" w:hAnsi="Calibri"/>
          <w:sz w:val="22"/>
          <w:szCs w:val="22"/>
        </w:rPr>
        <w:t xml:space="preserve">To document the DevOps pipeline design and decisions in a way that demonstrates understanding of CI/CD principles, not just tool usage.</w:t>
      </w:r>
    </w:p>
    <w:p>
      <w:pPr>
        <w:pStyle w:val="ListParagraph"/>
        <w:numPr>
          <w:ilvl w:val="0"/>
          <w:numId w:val="3"/>
        </w:numPr>
        <w:spacing w:after="100" w:line="276"/>
      </w:pPr>
      <w:r>
        <w:rPr>
          <w:rFonts w:ascii="Calibri" w:cs="Calibri" w:eastAsia="Calibri" w:hAnsi="Calibri"/>
          <w:sz w:val="22"/>
          <w:szCs w:val="22"/>
        </w:rPr>
        <w:t xml:space="preserve">To produce a working, demonstrable end-to-end pipeline — from a code commit to a running, deployed instance of the application — by the end of the project.</w:t>
      </w:r>
    </w:p>
    <w:p>
      <w:pPr>
        <w:pStyle w:val="Heading1"/>
        <w:pBdr>
          <w:bottom w:val="single" w:color="1F4E79" w:sz="6" w:space="4"/>
        </w:pBdr>
        <w:spacing w:after="200" w:before="360"/>
      </w:pPr>
      <w:r>
        <w:rPr>
          <w:rFonts w:ascii="Calibri" w:cs="Calibri" w:eastAsia="Calibri" w:hAnsi="Calibri"/>
          <w:b/>
          <w:bCs/>
          <w:color w:val="1F4E79"/>
          <w:sz w:val="30"/>
          <w:szCs w:val="30"/>
        </w:rPr>
        <w:t xml:space="preserve">6. Project Scope</w:t>
      </w:r>
    </w:p>
    <w:p>
      <w:pPr>
        <w:pStyle w:val="Heading2"/>
        <w:spacing w:after="140" w:before="260"/>
      </w:pPr>
      <w:r>
        <w:rPr>
          <w:rFonts w:ascii="Calibri" w:cs="Calibri" w:eastAsia="Calibri" w:hAnsi="Calibri"/>
          <w:b/>
          <w:bCs/>
          <w:color w:val="1F4E79"/>
          <w:sz w:val="24"/>
          <w:szCs w:val="24"/>
        </w:rPr>
        <w:t xml:space="preserve">6.1 In Scope</w:t>
      </w:r>
    </w:p>
    <w:p>
      <w:pPr>
        <w:pStyle w:val="ListParagraph"/>
        <w:numPr>
          <w:ilvl w:val="0"/>
          <w:numId w:val="2"/>
        </w:numPr>
        <w:spacing w:after="100" w:line="276"/>
      </w:pPr>
      <w:r>
        <w:rPr>
          <w:rFonts w:ascii="Calibri" w:cs="Calibri" w:eastAsia="Calibri" w:hAnsi="Calibri"/>
          <w:sz w:val="22"/>
          <w:szCs w:val="22"/>
        </w:rPr>
        <w:t xml:space="preserve">Development of a web-based IT Service Desk Portal with ticket creation, viewing, updating, and searching.</w:t>
      </w:r>
    </w:p>
    <w:p>
      <w:pPr>
        <w:pStyle w:val="ListParagraph"/>
        <w:numPr>
          <w:ilvl w:val="0"/>
          <w:numId w:val="2"/>
        </w:numPr>
        <w:spacing w:after="100" w:line="276"/>
      </w:pPr>
      <w:r>
        <w:rPr>
          <w:rFonts w:ascii="Calibri" w:cs="Calibri" w:eastAsia="Calibri" w:hAnsi="Calibri"/>
          <w:sz w:val="22"/>
          <w:szCs w:val="22"/>
        </w:rPr>
        <w:t xml:space="preserve">Role-based access for three user roles: Employee, IT Support Staff, and Administrator.</w:t>
      </w:r>
    </w:p>
    <w:p>
      <w:pPr>
        <w:pStyle w:val="ListParagraph"/>
        <w:numPr>
          <w:ilvl w:val="0"/>
          <w:numId w:val="2"/>
        </w:numPr>
        <w:spacing w:after="100" w:line="276"/>
      </w:pPr>
      <w:r>
        <w:rPr>
          <w:rFonts w:ascii="Calibri" w:cs="Calibri" w:eastAsia="Calibri" w:hAnsi="Calibri"/>
          <w:sz w:val="22"/>
          <w:szCs w:val="22"/>
        </w:rPr>
        <w:t xml:space="preserve">A basic status workflow for tickets (e.g., Open → In Progress → Resolved → Closed).</w:t>
      </w:r>
    </w:p>
    <w:p>
      <w:pPr>
        <w:pStyle w:val="ListParagraph"/>
        <w:numPr>
          <w:ilvl w:val="0"/>
          <w:numId w:val="2"/>
        </w:numPr>
        <w:spacing w:after="100" w:line="276"/>
      </w:pPr>
      <w:r>
        <w:rPr>
          <w:rFonts w:ascii="Calibri" w:cs="Calibri" w:eastAsia="Calibri" w:hAnsi="Calibri"/>
          <w:sz w:val="22"/>
          <w:szCs w:val="22"/>
        </w:rPr>
        <w:t xml:space="preserve">A summary dashboard showing ticket counts by status and category.</w:t>
      </w:r>
    </w:p>
    <w:p>
      <w:pPr>
        <w:pStyle w:val="ListParagraph"/>
        <w:numPr>
          <w:ilvl w:val="0"/>
          <w:numId w:val="2"/>
        </w:numPr>
        <w:spacing w:after="100" w:line="276"/>
      </w:pPr>
      <w:r>
        <w:rPr>
          <w:rFonts w:ascii="Calibri" w:cs="Calibri" w:eastAsia="Calibri" w:hAnsi="Calibri"/>
          <w:sz w:val="22"/>
          <w:szCs w:val="22"/>
        </w:rPr>
        <w:t xml:space="preserve">Version control of the full codebase using Git, hosted on GitHub.</w:t>
      </w:r>
    </w:p>
    <w:p>
      <w:pPr>
        <w:pStyle w:val="ListParagraph"/>
        <w:numPr>
          <w:ilvl w:val="0"/>
          <w:numId w:val="2"/>
        </w:numPr>
        <w:spacing w:after="100" w:line="276"/>
      </w:pPr>
      <w:r>
        <w:rPr>
          <w:rFonts w:ascii="Calibri" w:cs="Calibri" w:eastAsia="Calibri" w:hAnsi="Calibri"/>
          <w:sz w:val="22"/>
          <w:szCs w:val="22"/>
        </w:rPr>
        <w:t xml:space="preserve">An automated Jenkins pipeline that builds the application and runs automated tests on code changes.</w:t>
      </w:r>
    </w:p>
    <w:p>
      <w:pPr>
        <w:pStyle w:val="ListParagraph"/>
        <w:numPr>
          <w:ilvl w:val="0"/>
          <w:numId w:val="2"/>
        </w:numPr>
        <w:spacing w:after="100" w:line="276"/>
      </w:pPr>
      <w:r>
        <w:rPr>
          <w:rFonts w:ascii="Calibri" w:cs="Calibri" w:eastAsia="Calibri" w:hAnsi="Calibri"/>
          <w:sz w:val="22"/>
          <w:szCs w:val="22"/>
        </w:rPr>
        <w:t xml:space="preserve">A basic suite of Selenium tests covering core user workflows (login, ticket creation, status update).</w:t>
      </w:r>
    </w:p>
    <w:p>
      <w:pPr>
        <w:pStyle w:val="ListParagraph"/>
        <w:numPr>
          <w:ilvl w:val="0"/>
          <w:numId w:val="2"/>
        </w:numPr>
        <w:spacing w:after="100" w:line="276"/>
      </w:pPr>
      <w:r>
        <w:rPr>
          <w:rFonts w:ascii="Calibri" w:cs="Calibri" w:eastAsia="Calibri" w:hAnsi="Calibri"/>
          <w:sz w:val="22"/>
          <w:szCs w:val="22"/>
        </w:rPr>
        <w:t xml:space="preserve">Containerisation of the application using Docker, including a Dockerfile and, if needed, a docker-compose configuration for local multi-service setup.</w:t>
      </w:r>
    </w:p>
    <w:p>
      <w:pPr>
        <w:pStyle w:val="ListParagraph"/>
        <w:numPr>
          <w:ilvl w:val="0"/>
          <w:numId w:val="2"/>
        </w:numPr>
        <w:spacing w:after="100" w:line="276"/>
      </w:pPr>
      <w:r>
        <w:rPr>
          <w:rFonts w:ascii="Calibri" w:cs="Calibri" w:eastAsia="Calibri" w:hAnsi="Calibri"/>
          <w:sz w:val="22"/>
          <w:szCs w:val="22"/>
        </w:rPr>
        <w:t xml:space="preserve">Automated deployment/configuration of the application to a target environment (e.g., a local virtual machine or a single cloud instance) using Ansible or Puppet.</w:t>
      </w:r>
    </w:p>
    <w:p>
      <w:pPr>
        <w:pStyle w:val="ListParagraph"/>
        <w:numPr>
          <w:ilvl w:val="0"/>
          <w:numId w:val="2"/>
        </w:numPr>
        <w:spacing w:after="100" w:line="276"/>
      </w:pPr>
      <w:r>
        <w:rPr>
          <w:rFonts w:ascii="Calibri" w:cs="Calibri" w:eastAsia="Calibri" w:hAnsi="Calibri"/>
          <w:sz w:val="22"/>
          <w:szCs w:val="22"/>
        </w:rPr>
        <w:t xml:space="preserve">Project documentation, including this scope document and subsequent weekly/phase deliverables.</w:t>
      </w:r>
    </w:p>
    <w:p>
      <w:pPr>
        <w:pStyle w:val="Heading2"/>
        <w:spacing w:after="140" w:before="260"/>
      </w:pPr>
      <w:r>
        <w:rPr>
          <w:rFonts w:ascii="Calibri" w:cs="Calibri" w:eastAsia="Calibri" w:hAnsi="Calibri"/>
          <w:b/>
          <w:bCs/>
          <w:color w:val="1F4E79"/>
          <w:sz w:val="24"/>
          <w:szCs w:val="24"/>
        </w:rPr>
        <w:t xml:space="preserve">6.2 Out of Scope</w:t>
      </w:r>
    </w:p>
    <w:p>
      <w:pPr>
        <w:pStyle w:val="ListParagraph"/>
        <w:numPr>
          <w:ilvl w:val="0"/>
          <w:numId w:val="2"/>
        </w:numPr>
        <w:spacing w:after="100" w:line="276"/>
      </w:pPr>
      <w:r>
        <w:rPr>
          <w:rFonts w:ascii="Calibri" w:cs="Calibri" w:eastAsia="Calibri" w:hAnsi="Calibri"/>
          <w:sz w:val="22"/>
          <w:szCs w:val="22"/>
        </w:rPr>
        <w:t xml:space="preserve">Integration with real enterprise systems such as Active Directory/LDAP, SSO, or third-party ticketing platforms.</w:t>
      </w:r>
    </w:p>
    <w:p>
      <w:pPr>
        <w:pStyle w:val="ListParagraph"/>
        <w:numPr>
          <w:ilvl w:val="0"/>
          <w:numId w:val="2"/>
        </w:numPr>
        <w:spacing w:after="100" w:line="276"/>
      </w:pPr>
      <w:r>
        <w:rPr>
          <w:rFonts w:ascii="Calibri" w:cs="Calibri" w:eastAsia="Calibri" w:hAnsi="Calibri"/>
          <w:sz w:val="22"/>
          <w:szCs w:val="22"/>
        </w:rPr>
        <w:t xml:space="preserve">Advanced ITIL-aligned processes such as formal SLA management, change management, or asset/configuration management databases (CMDB).</w:t>
      </w:r>
    </w:p>
    <w:p>
      <w:pPr>
        <w:pStyle w:val="ListParagraph"/>
        <w:numPr>
          <w:ilvl w:val="0"/>
          <w:numId w:val="2"/>
        </w:numPr>
        <w:spacing w:after="100" w:line="276"/>
      </w:pPr>
      <w:r>
        <w:rPr>
          <w:rFonts w:ascii="Calibri" w:cs="Calibri" w:eastAsia="Calibri" w:hAnsi="Calibri"/>
          <w:sz w:val="22"/>
          <w:szCs w:val="22"/>
        </w:rPr>
        <w:t xml:space="preserve">Multi-organisation or multi-tenant support.</w:t>
      </w:r>
    </w:p>
    <w:p>
      <w:pPr>
        <w:pStyle w:val="ListParagraph"/>
        <w:numPr>
          <w:ilvl w:val="0"/>
          <w:numId w:val="2"/>
        </w:numPr>
        <w:spacing w:after="100" w:line="276"/>
      </w:pPr>
      <w:r>
        <w:rPr>
          <w:rFonts w:ascii="Calibri" w:cs="Calibri" w:eastAsia="Calibri" w:hAnsi="Calibri"/>
          <w:sz w:val="22"/>
          <w:szCs w:val="22"/>
        </w:rPr>
        <w:t xml:space="preserve">Mobile native applications (iOS/Android); the portal will be a responsive web application only.</w:t>
      </w:r>
    </w:p>
    <w:p>
      <w:pPr>
        <w:pStyle w:val="ListParagraph"/>
        <w:numPr>
          <w:ilvl w:val="0"/>
          <w:numId w:val="2"/>
        </w:numPr>
        <w:spacing w:after="100" w:line="276"/>
      </w:pPr>
      <w:r>
        <w:rPr>
          <w:rFonts w:ascii="Calibri" w:cs="Calibri" w:eastAsia="Calibri" w:hAnsi="Calibri"/>
          <w:sz w:val="22"/>
          <w:szCs w:val="22"/>
        </w:rPr>
        <w:t xml:space="preserve">Advanced analytics, reporting, or machine-learning-based ticket categorisation/prediction.</w:t>
      </w:r>
    </w:p>
    <w:p>
      <w:pPr>
        <w:pStyle w:val="ListParagraph"/>
        <w:numPr>
          <w:ilvl w:val="0"/>
          <w:numId w:val="2"/>
        </w:numPr>
        <w:spacing w:after="100" w:line="276"/>
      </w:pPr>
      <w:r>
        <w:rPr>
          <w:rFonts w:ascii="Calibri" w:cs="Calibri" w:eastAsia="Calibri" w:hAnsi="Calibri"/>
          <w:sz w:val="22"/>
          <w:szCs w:val="22"/>
        </w:rPr>
        <w:t xml:space="preserve">Production-grade security hardening, penetration testing, and compliance certification.</w:t>
      </w:r>
    </w:p>
    <w:p>
      <w:pPr>
        <w:pStyle w:val="ListParagraph"/>
        <w:numPr>
          <w:ilvl w:val="0"/>
          <w:numId w:val="2"/>
        </w:numPr>
        <w:spacing w:after="100" w:line="276"/>
      </w:pPr>
      <w:r>
        <w:rPr>
          <w:rFonts w:ascii="Calibri" w:cs="Calibri" w:eastAsia="Calibri" w:hAnsi="Calibri"/>
          <w:sz w:val="22"/>
          <w:szCs w:val="22"/>
        </w:rPr>
        <w:t xml:space="preserve">High-availability, load-balanced, or multi-region deployment infrastructure.</w:t>
      </w:r>
    </w:p>
    <w:p>
      <w:pPr>
        <w:pStyle w:val="ListParagraph"/>
        <w:numPr>
          <w:ilvl w:val="0"/>
          <w:numId w:val="2"/>
        </w:numPr>
        <w:spacing w:after="100" w:line="276"/>
      </w:pPr>
      <w:r>
        <w:rPr>
          <w:rFonts w:ascii="Calibri" w:cs="Calibri" w:eastAsia="Calibri" w:hAnsi="Calibri"/>
          <w:sz w:val="22"/>
          <w:szCs w:val="22"/>
        </w:rPr>
        <w:t xml:space="preserve">Real-time chat, notifications via SMS, or email-integration for ticket creation.</w:t>
      </w:r>
    </w:p>
    <w:p>
      <w:pPr>
        <w:pStyle w:val="Heading1"/>
        <w:pBdr>
          <w:bottom w:val="single" w:color="1F4E79" w:sz="6" w:space="4"/>
        </w:pBdr>
        <w:spacing w:after="200" w:before="360"/>
      </w:pPr>
      <w:r>
        <w:rPr>
          <w:rFonts w:ascii="Calibri" w:cs="Calibri" w:eastAsia="Calibri" w:hAnsi="Calibri"/>
          <w:b/>
          <w:bCs/>
          <w:color w:val="1F4E79"/>
          <w:sz w:val="30"/>
          <w:szCs w:val="30"/>
        </w:rPr>
        <w:t xml:space="preserve">7. MVP Scope</w:t>
      </w:r>
    </w:p>
    <w:p>
      <w:pPr>
        <w:spacing w:after="160" w:line="276"/>
        <w:jc w:val="both"/>
      </w:pPr>
      <w:r>
        <w:rPr>
          <w:rFonts w:ascii="Calibri" w:cs="Calibri" w:eastAsia="Calibri" w:hAnsi="Calibri"/>
          <w:sz w:val="22"/>
          <w:szCs w:val="22"/>
        </w:rPr>
        <w:t xml:space="preserve">The Minimum Viable Product (MVP) defines the smallest set of application features that must exist for the IT Service Desk Portal to be meaningfully usable and to give the CI/CD pipeline something realistic to build, test, and deploy. The MVP is intentionally limited so that the majority of project effort across the 15 weeks can be directed toward the DevOps/CI-CD infrastructure rather than expanding application features.</w:t>
      </w:r>
    </w:p>
    <w:p>
      <w:pPr>
        <w:pStyle w:val="Heading3"/>
        <w:spacing w:after="100" w:before="180"/>
      </w:pPr>
      <w:r>
        <w:rPr>
          <w:rFonts w:ascii="Calibri" w:cs="Calibri" w:eastAsia="Calibri" w:hAnsi="Calibri"/>
          <w:b/>
          <w:bCs/>
          <w:color w:val="203864"/>
          <w:sz w:val="22"/>
          <w:szCs w:val="22"/>
        </w:rPr>
        <w:t xml:space="preserve">Create Tickets</w:t>
      </w:r>
    </w:p>
    <w:p>
      <w:pPr>
        <w:spacing w:after="160" w:line="276"/>
        <w:jc w:val="both"/>
      </w:pPr>
      <w:r>
        <w:rPr>
          <w:rFonts w:ascii="Calibri" w:cs="Calibri" w:eastAsia="Calibri" w:hAnsi="Calibri"/>
          <w:sz w:val="22"/>
          <w:szCs w:val="22"/>
        </w:rPr>
        <w:t xml:space="preserve">An authenticated Employee can submit a new ticket describing an IT issue, selecting a category (e.g., Hardware, Software, Network, Access) and a short description. The system records the creation timestamp and assigns a unique ticket ID.</w:t>
      </w:r>
    </w:p>
    <w:p>
      <w:pPr>
        <w:pStyle w:val="Heading3"/>
        <w:spacing w:after="100" w:before="180"/>
      </w:pPr>
      <w:r>
        <w:rPr>
          <w:rFonts w:ascii="Calibri" w:cs="Calibri" w:eastAsia="Calibri" w:hAnsi="Calibri"/>
          <w:b/>
          <w:bCs/>
          <w:color w:val="203864"/>
          <w:sz w:val="22"/>
          <w:szCs w:val="22"/>
        </w:rPr>
        <w:t xml:space="preserve">View Tickets</w:t>
      </w:r>
    </w:p>
    <w:p>
      <w:pPr>
        <w:spacing w:after="160" w:line="276"/>
        <w:jc w:val="both"/>
      </w:pPr>
      <w:r>
        <w:rPr>
          <w:rFonts w:ascii="Calibri" w:cs="Calibri" w:eastAsia="Calibri" w:hAnsi="Calibri"/>
          <w:sz w:val="22"/>
          <w:szCs w:val="22"/>
        </w:rPr>
        <w:t xml:space="preserve">Users can view a list of tickets relevant to their role: Employees see their own tickets, IT Support Staff see tickets in the shared queue, and Administrators see all tickets.</w:t>
      </w:r>
    </w:p>
    <w:p>
      <w:pPr>
        <w:pStyle w:val="Heading3"/>
        <w:spacing w:after="100" w:before="180"/>
      </w:pPr>
      <w:r>
        <w:rPr>
          <w:rFonts w:ascii="Calibri" w:cs="Calibri" w:eastAsia="Calibri" w:hAnsi="Calibri"/>
          <w:b/>
          <w:bCs/>
          <w:color w:val="203864"/>
          <w:sz w:val="22"/>
          <w:szCs w:val="22"/>
        </w:rPr>
        <w:t xml:space="preserve">Update Tickets</w:t>
      </w:r>
    </w:p>
    <w:p>
      <w:pPr>
        <w:spacing w:after="160" w:line="276"/>
        <w:jc w:val="both"/>
      </w:pPr>
      <w:r>
        <w:rPr>
          <w:rFonts w:ascii="Calibri" w:cs="Calibri" w:eastAsia="Calibri" w:hAnsi="Calibri"/>
          <w:sz w:val="22"/>
          <w:szCs w:val="22"/>
        </w:rPr>
        <w:t xml:space="preserve">IT Support Staff can update a ticket's status and add resolution notes as they work on it. Administrators can additionally reassign or close tickets where necessary.</w:t>
      </w:r>
    </w:p>
    <w:p>
      <w:pPr>
        <w:pStyle w:val="Heading3"/>
        <w:spacing w:after="100" w:before="180"/>
      </w:pPr>
      <w:r>
        <w:rPr>
          <w:rFonts w:ascii="Calibri" w:cs="Calibri" w:eastAsia="Calibri" w:hAnsi="Calibri"/>
          <w:b/>
          <w:bCs/>
          <w:color w:val="203864"/>
          <w:sz w:val="22"/>
          <w:szCs w:val="22"/>
        </w:rPr>
        <w:t xml:space="preserve">Search Tickets</w:t>
      </w:r>
    </w:p>
    <w:p>
      <w:pPr>
        <w:spacing w:after="160" w:line="276"/>
        <w:jc w:val="both"/>
      </w:pPr>
      <w:r>
        <w:rPr>
          <w:rFonts w:ascii="Calibri" w:cs="Calibri" w:eastAsia="Calibri" w:hAnsi="Calibri"/>
          <w:sz w:val="22"/>
          <w:szCs w:val="22"/>
        </w:rPr>
        <w:t xml:space="preserve">Users can search or filter tickets by keyword, status, or category, allowing them to quickly locate a specific ticket rather than scrolling through a full list.</w:t>
      </w:r>
    </w:p>
    <w:p>
      <w:pPr>
        <w:pStyle w:val="Heading3"/>
        <w:spacing w:after="100" w:before="180"/>
      </w:pPr>
      <w:r>
        <w:rPr>
          <w:rFonts w:ascii="Calibri" w:cs="Calibri" w:eastAsia="Calibri" w:hAnsi="Calibri"/>
          <w:b/>
          <w:bCs/>
          <w:color w:val="203864"/>
          <w:sz w:val="22"/>
          <w:szCs w:val="22"/>
        </w:rPr>
        <w:t xml:space="preserve">Role-Based Status Workflow</w:t>
      </w:r>
    </w:p>
    <w:p>
      <w:pPr>
        <w:spacing w:after="160" w:line="276"/>
        <w:jc w:val="both"/>
      </w:pPr>
      <w:r>
        <w:rPr>
          <w:rFonts w:ascii="Calibri" w:cs="Calibri" w:eastAsia="Calibri" w:hAnsi="Calibri"/>
          <w:sz w:val="22"/>
          <w:szCs w:val="22"/>
        </w:rPr>
        <w:t xml:space="preserve">Tickets move through a defined sequence of statuses (Open → In Progress → Resolved → Closed). Which role can move a ticket to which status is restricted according to the permissions defined in Section 8.</w:t>
      </w:r>
    </w:p>
    <w:p>
      <w:pPr>
        <w:pStyle w:val="Heading3"/>
        <w:spacing w:after="100" w:before="180"/>
      </w:pPr>
      <w:r>
        <w:rPr>
          <w:rFonts w:ascii="Calibri" w:cs="Calibri" w:eastAsia="Calibri" w:hAnsi="Calibri"/>
          <w:b/>
          <w:bCs/>
          <w:color w:val="203864"/>
          <w:sz w:val="22"/>
          <w:szCs w:val="22"/>
        </w:rPr>
        <w:t xml:space="preserve">Summary Dashboard</w:t>
      </w:r>
    </w:p>
    <w:p>
      <w:pPr>
        <w:spacing w:after="160" w:line="276"/>
        <w:jc w:val="both"/>
      </w:pPr>
      <w:r>
        <w:rPr>
          <w:rFonts w:ascii="Calibri" w:cs="Calibri" w:eastAsia="Calibri" w:hAnsi="Calibri"/>
          <w:sz w:val="22"/>
          <w:szCs w:val="22"/>
        </w:rPr>
        <w:t xml:space="preserve">A simple dashboard, primarily for IT Support Staff and Administrators, showing counts of tickets by status (e.g., number Open, In Progress, Resolved) and by category, giving an at-a-glance view of current workload.</w:t>
      </w:r>
    </w:p>
    <w:p>
      <w:pPr>
        <w:pStyle w:val="Heading1"/>
        <w:pBdr>
          <w:bottom w:val="single" w:color="1F4E79" w:sz="6" w:space="4"/>
        </w:pBdr>
        <w:spacing w:after="200" w:before="360"/>
      </w:pPr>
      <w:r>
        <w:rPr>
          <w:rFonts w:ascii="Calibri" w:cs="Calibri" w:eastAsia="Calibri" w:hAnsi="Calibri"/>
          <w:b/>
          <w:bCs/>
          <w:color w:val="1F4E79"/>
          <w:sz w:val="30"/>
          <w:szCs w:val="30"/>
        </w:rPr>
        <w:t xml:space="preserve">8. High-Level User Roles</w:t>
      </w:r>
    </w:p>
    <w:p>
      <w:pPr>
        <w:spacing w:after="160" w:line="276"/>
        <w:jc w:val="both"/>
      </w:pPr>
      <w:r>
        <w:rPr>
          <w:rFonts w:ascii="Calibri" w:cs="Calibri" w:eastAsia="Calibri" w:hAnsi="Calibri"/>
          <w:sz w:val="22"/>
          <w:szCs w:val="22"/>
        </w:rPr>
        <w:t xml:space="preserve">The following table defines the realistic permission boundaries for each of the three user roles supported in the MVP.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4E79" w:val="clear"/>
            <w:tcMar>
              <w:top w:type="dxa" w:w="100"/>
              <w:left w:type="dxa" w:w="120"/>
              <w:bottom w:type="dxa" w:w="100"/>
              <w:right w:type="dxa" w:w="120"/>
            </w:tcMar>
            <w:vAlign w:val="center"/>
          </w:tcPr>
          <w:p>
            <w:pPr>
              <w:spacing w:after="40" w:line="264"/>
            </w:pPr>
            <w:r>
              <w:rPr>
                <w:rFonts w:ascii="Calibri" w:cs="Calibri" w:eastAsia="Calibri" w:hAnsi="Calibri"/>
                <w:b/>
                <w:bCs/>
                <w:color w:val="FFFFFF"/>
                <w:sz w:val="20"/>
                <w:szCs w:val="20"/>
              </w:rPr>
              <w:t xml:space="preserve">Role</w:t>
            </w:r>
          </w:p>
        </w:tc>
        <w:tc>
          <w:tcPr>
            <w:tcW w:type="dxa" w:w="7400"/>
            <w:shd w:fill="1F4E79" w:val="clear"/>
            <w:tcMar>
              <w:top w:type="dxa" w:w="100"/>
              <w:left w:type="dxa" w:w="120"/>
              <w:bottom w:type="dxa" w:w="100"/>
              <w:right w:type="dxa" w:w="120"/>
            </w:tcMar>
            <w:vAlign w:val="center"/>
          </w:tcPr>
          <w:p>
            <w:pPr>
              <w:spacing w:after="40" w:line="264"/>
            </w:pPr>
            <w:r>
              <w:rPr>
                <w:rFonts w:ascii="Calibri" w:cs="Calibri" w:eastAsia="Calibri" w:hAnsi="Calibri"/>
                <w:b/>
                <w:bCs/>
                <w:color w:val="FFFFFF"/>
                <w:sz w:val="20"/>
                <w:szCs w:val="20"/>
              </w:rPr>
              <w:t xml:space="preserve">Permissions</w:t>
            </w:r>
          </w:p>
        </w:tc>
      </w:tr>
      <w:tr>
        <w:tc>
          <w:tcPr>
            <w:tcW w:type="dxa" w:w="22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Employee</w:t>
            </w:r>
          </w:p>
        </w:tc>
        <w:tc>
          <w:tcPr>
            <w:tcW w:type="dxa" w:w="74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Create new tickets; view and search own tickets; view status/history of own tickets. Cannot view other employees' tickets or access administrative functions.</w:t>
            </w:r>
          </w:p>
        </w:tc>
      </w:tr>
      <w:tr>
        <w:tc>
          <w:tcPr>
            <w:tcW w:type="dxa" w:w="22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IT Support Staff</w:t>
            </w:r>
          </w:p>
        </w:tc>
        <w:tc>
          <w:tcPr>
            <w:tcW w:type="dxa" w:w="74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View and search tickets in the shared/assigned queue; update ticket status and add resolution notes; cannot manage user accounts or view system-wide administrative settings.</w:t>
            </w:r>
          </w:p>
        </w:tc>
      </w:tr>
      <w:tr>
        <w:tc>
          <w:tcPr>
            <w:tcW w:type="dxa" w:w="22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Administrator</w:t>
            </w:r>
          </w:p>
        </w:tc>
        <w:tc>
          <w:tcPr>
            <w:tcW w:type="dxa" w:w="74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Full visibility of all tickets across the system; manage user accounts (create, deactivate, assign roles); manage ticket categories; view the summary dashboard; reassign or close tickets when required.</w:t>
            </w:r>
          </w:p>
        </w:tc>
      </w:tr>
    </w:tbl>
    <w:p>
      <w:pPr>
        <w:pStyle w:val="Heading1"/>
        <w:pBdr>
          <w:bottom w:val="single" w:color="1F4E79" w:sz="6" w:space="4"/>
        </w:pBdr>
        <w:spacing w:after="200" w:before="360"/>
      </w:pPr>
      <w:r>
        <w:rPr>
          <w:rFonts w:ascii="Calibri" w:cs="Calibri" w:eastAsia="Calibri" w:hAnsi="Calibri"/>
          <w:b/>
          <w:bCs/>
          <w:color w:val="1F4E79"/>
          <w:sz w:val="30"/>
          <w:szCs w:val="30"/>
        </w:rPr>
        <w:t xml:space="preserve">9. Project Constraints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1F4E79" w:val="clear"/>
            <w:tcMar>
              <w:top w:type="dxa" w:w="100"/>
              <w:left w:type="dxa" w:w="120"/>
              <w:bottom w:type="dxa" w:w="100"/>
              <w:right w:type="dxa" w:w="120"/>
            </w:tcMar>
            <w:vAlign w:val="center"/>
          </w:tcPr>
          <w:p>
            <w:pPr>
              <w:spacing w:after="40" w:line="264"/>
            </w:pPr>
            <w:r>
              <w:rPr>
                <w:rFonts w:ascii="Calibri" w:cs="Calibri" w:eastAsia="Calibri" w:hAnsi="Calibri"/>
                <w:b/>
                <w:bCs/>
                <w:color w:val="FFFFFF"/>
                <w:sz w:val="20"/>
                <w:szCs w:val="20"/>
              </w:rPr>
              <w:t xml:space="preserve">Constraint Type</w:t>
            </w:r>
          </w:p>
        </w:tc>
        <w:tc>
          <w:tcPr>
            <w:tcW w:type="dxa" w:w="7200"/>
            <w:shd w:fill="1F4E79" w:val="clear"/>
            <w:tcMar>
              <w:top w:type="dxa" w:w="100"/>
              <w:left w:type="dxa" w:w="120"/>
              <w:bottom w:type="dxa" w:w="100"/>
              <w:right w:type="dxa" w:w="120"/>
            </w:tcMar>
            <w:vAlign w:val="center"/>
          </w:tcPr>
          <w:p>
            <w:pPr>
              <w:spacing w:after="40" w:line="264"/>
            </w:pPr>
            <w:r>
              <w:rPr>
                <w:rFonts w:ascii="Calibri" w:cs="Calibri" w:eastAsia="Calibri" w:hAnsi="Calibri"/>
                <w:b/>
                <w:bCs/>
                <w:color w:val="FFFFFF"/>
                <w:sz w:val="20"/>
                <w:szCs w:val="20"/>
              </w:rPr>
              <w:t xml:space="preserve">Description</w:t>
            </w:r>
          </w:p>
        </w:tc>
      </w:tr>
      <w:tr>
        <w:tc>
          <w:tcPr>
            <w:tcW w:type="dxa" w:w="24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Time</w:t>
            </w:r>
          </w:p>
        </w:tc>
        <w:tc>
          <w:tcPr>
            <w:tcW w:type="dxa" w:w="72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The project must be completed within a fixed 15-week academic semester, alongside the team's other coursework, which limits the depth of features that can realistically be implemented.</w:t>
            </w:r>
          </w:p>
        </w:tc>
      </w:tr>
      <w:tr>
        <w:tc>
          <w:tcPr>
            <w:tcW w:type="dxa" w:w="24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Resources</w:t>
            </w:r>
          </w:p>
        </w:tc>
        <w:tc>
          <w:tcPr>
            <w:tcW w:type="dxa" w:w="72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The team has no dedicated budget; all tools used (Git/GitHub, Jenkins, Selenium, Docker, Ansible/Puppet) must be free or open-source editions.</w:t>
            </w:r>
          </w:p>
        </w:tc>
      </w:tr>
      <w:tr>
        <w:tc>
          <w:tcPr>
            <w:tcW w:type="dxa" w:w="24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Infrastructure</w:t>
            </w:r>
          </w:p>
        </w:tc>
        <w:tc>
          <w:tcPr>
            <w:tcW w:type="dxa" w:w="72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Deployment is limited to locally available machines, virtual machines, or a single free-tier cloud instance, rather than production-scale infrastructure.</w:t>
            </w:r>
          </w:p>
        </w:tc>
      </w:tr>
      <w:tr>
        <w:tc>
          <w:tcPr>
            <w:tcW w:type="dxa" w:w="24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Team Size</w:t>
            </w:r>
          </w:p>
        </w:tc>
        <w:tc>
          <w:tcPr>
            <w:tcW w:type="dxa" w:w="72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The project is executed by a small student team (typically 3–4 members), which constrains how many features and pipeline stages can be built and maintained in parallel.</w:t>
            </w:r>
          </w:p>
        </w:tc>
      </w:tr>
      <w:tr>
        <w:tc>
          <w:tcPr>
            <w:tcW w:type="dxa" w:w="24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Technical Limitations</w:t>
            </w:r>
          </w:p>
        </w:tc>
        <w:tc>
          <w:tcPr>
            <w:tcW w:type="dxa" w:w="72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Team members are building working knowledge of Jenkins, Docker, and Ansible/Puppet during the course of the project itself, which affects the pace and complexity of what can be implemented in early weeks.</w:t>
            </w:r>
          </w:p>
        </w:tc>
      </w:tr>
      <w:tr>
        <w:tc>
          <w:tcPr>
            <w:tcW w:type="dxa" w:w="24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Academic Environment</w:t>
            </w:r>
          </w:p>
        </w:tc>
        <w:tc>
          <w:tcPr>
            <w:tcW w:type="dxa" w:w="72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The project must be structured into weekly/phase-wise deliverables for evaluation, which requires the CI/CD pipeline to be built incrementally and demonstrably rather than all at once.</w:t>
            </w:r>
          </w:p>
        </w:tc>
      </w:tr>
    </w:tbl>
    <w:p>
      <w:pPr>
        <w:pStyle w:val="Heading1"/>
        <w:pBdr>
          <w:bottom w:val="single" w:color="1F4E79" w:sz="6" w:space="4"/>
        </w:pBdr>
        <w:spacing w:after="200" w:before="360"/>
      </w:pPr>
      <w:r>
        <w:rPr>
          <w:rFonts w:ascii="Calibri" w:cs="Calibri" w:eastAsia="Calibri" w:hAnsi="Calibri"/>
          <w:b/>
          <w:bCs/>
          <w:color w:val="1F4E79"/>
          <w:sz w:val="30"/>
          <w:szCs w:val="30"/>
        </w:rPr>
        <w:t xml:space="preserve">10. Assumptions</w:t>
      </w:r>
    </w:p>
    <w:p>
      <w:pPr>
        <w:spacing w:after="160" w:line="276"/>
        <w:jc w:val="both"/>
      </w:pPr>
      <w:r>
        <w:rPr>
          <w:rFonts w:ascii="Calibri" w:cs="Calibri" w:eastAsia="Calibri" w:hAnsi="Calibri"/>
          <w:sz w:val="22"/>
          <w:szCs w:val="22"/>
        </w:rPr>
        <w:t xml:space="preserve">The following assumptions have been made in defining the scope of this project and should be revisited if circumstances change:</w:t>
      </w:r>
    </w:p>
    <w:p>
      <w:pPr>
        <w:pStyle w:val="ListParagraph"/>
        <w:numPr>
          <w:ilvl w:val="0"/>
          <w:numId w:val="2"/>
        </w:numPr>
        <w:spacing w:after="100" w:line="276"/>
      </w:pPr>
      <w:r>
        <w:rPr>
          <w:rFonts w:ascii="Calibri" w:cs="Calibri" w:eastAsia="Calibri" w:hAnsi="Calibri"/>
          <w:sz w:val="22"/>
          <w:szCs w:val="22"/>
        </w:rPr>
        <w:t xml:space="preserve">The team has access to a computer/laptop capable of running Docker and a local Jenkins instance, or access to a shared lab machine for this purpose.</w:t>
      </w:r>
    </w:p>
    <w:p>
      <w:pPr>
        <w:pStyle w:val="ListParagraph"/>
        <w:numPr>
          <w:ilvl w:val="0"/>
          <w:numId w:val="2"/>
        </w:numPr>
        <w:spacing w:after="100" w:line="276"/>
      </w:pPr>
      <w:r>
        <w:rPr>
          <w:rFonts w:ascii="Calibri" w:cs="Calibri" w:eastAsia="Calibri" w:hAnsi="Calibri"/>
          <w:sz w:val="22"/>
          <w:szCs w:val="22"/>
        </w:rPr>
        <w:t xml:space="preserve">A free or student-tier cloud/VM environment (or a local virtual machine) will be available for deployment demonstrations; no paid enterprise infrastructure will be required.</w:t>
      </w:r>
    </w:p>
    <w:p>
      <w:pPr>
        <w:pStyle w:val="ListParagraph"/>
        <w:numPr>
          <w:ilvl w:val="0"/>
          <w:numId w:val="2"/>
        </w:numPr>
        <w:spacing w:after="100" w:line="276"/>
      </w:pPr>
      <w:r>
        <w:rPr>
          <w:rFonts w:ascii="Calibri" w:cs="Calibri" w:eastAsia="Calibri" w:hAnsi="Calibri"/>
          <w:sz w:val="22"/>
          <w:szCs w:val="22"/>
        </w:rPr>
        <w:t xml:space="preserve">The organisation referenced in this document ("the organisation") is a hypothetical, single organisation used for context; the system is not being built for an actual live organisation with real employees.</w:t>
      </w:r>
    </w:p>
    <w:p>
      <w:pPr>
        <w:pStyle w:val="ListParagraph"/>
        <w:numPr>
          <w:ilvl w:val="0"/>
          <w:numId w:val="2"/>
        </w:numPr>
        <w:spacing w:after="100" w:line="276"/>
      </w:pPr>
      <w:r>
        <w:rPr>
          <w:rFonts w:ascii="Calibri" w:cs="Calibri" w:eastAsia="Calibri" w:hAnsi="Calibri"/>
          <w:sz w:val="22"/>
          <w:szCs w:val="22"/>
        </w:rPr>
        <w:t xml:space="preserve">The application will be built using a common, well-documented web technology stack (exact framework to be finalised by the team in consultation with the project guide) chosen for compatibility with Docker and Selenium.</w:t>
      </w:r>
    </w:p>
    <w:p>
      <w:pPr>
        <w:pStyle w:val="ListParagraph"/>
        <w:numPr>
          <w:ilvl w:val="0"/>
          <w:numId w:val="2"/>
        </w:numPr>
        <w:spacing w:after="100" w:line="276"/>
      </w:pPr>
      <w:r>
        <w:rPr>
          <w:rFonts w:ascii="Calibri" w:cs="Calibri" w:eastAsia="Calibri" w:hAnsi="Calibri"/>
          <w:sz w:val="22"/>
          <w:szCs w:val="22"/>
        </w:rPr>
        <w:t xml:space="preserve">Weekly deliverables assigned by the professor after Week 1 may refine or adjust specific tool choices (e.g., Ansible vs. Puppet) without changing the overall scope defined in this document.</w:t>
      </w:r>
    </w:p>
    <w:p>
      <w:pPr>
        <w:pStyle w:val="ListParagraph"/>
        <w:numPr>
          <w:ilvl w:val="0"/>
          <w:numId w:val="2"/>
        </w:numPr>
        <w:spacing w:after="100" w:line="276"/>
      </w:pPr>
      <w:r>
        <w:rPr>
          <w:rFonts w:ascii="Calibri" w:cs="Calibri" w:eastAsia="Calibri" w:hAnsi="Calibri"/>
          <w:sz w:val="22"/>
          <w:szCs w:val="22"/>
        </w:rPr>
        <w:t xml:space="preserve">User authentication for the MVP will use application-level login (username/password) rather than integration with an external identity provider.</w:t>
      </w:r>
    </w:p>
    <w:p>
      <w:pPr>
        <w:pStyle w:val="Heading1"/>
        <w:pBdr>
          <w:bottom w:val="single" w:color="1F4E79" w:sz="6" w:space="4"/>
        </w:pBdr>
        <w:spacing w:after="200" w:before="360"/>
      </w:pPr>
      <w:r>
        <w:rPr>
          <w:rFonts w:ascii="Calibri" w:cs="Calibri" w:eastAsia="Calibri" w:hAnsi="Calibri"/>
          <w:b/>
          <w:bCs/>
          <w:color w:val="1F4E79"/>
          <w:sz w:val="30"/>
          <w:szCs w:val="30"/>
        </w:rPr>
        <w:t xml:space="preserve">11. Success Criteria</w:t>
      </w:r>
    </w:p>
    <w:p>
      <w:pPr>
        <w:spacing w:after="160" w:line="276"/>
        <w:jc w:val="both"/>
      </w:pPr>
      <w:r>
        <w:rPr>
          <w:rFonts w:ascii="Calibri" w:cs="Calibri" w:eastAsia="Calibri" w:hAnsi="Calibri"/>
          <w:sz w:val="22"/>
          <w:szCs w:val="22"/>
        </w:rPr>
        <w:t xml:space="preserve">The success of the project will be evaluated against the following measurable and observable criteria:</w:t>
      </w:r>
    </w:p>
    <w:p>
      <w:pPr>
        <w:pStyle w:val="ListParagraph"/>
        <w:numPr>
          <w:ilvl w:val="0"/>
          <w:numId w:val="2"/>
        </w:numPr>
        <w:spacing w:after="100" w:line="276"/>
      </w:pPr>
      <w:r>
        <w:rPr>
          <w:rFonts w:ascii="Calibri" w:cs="Calibri" w:eastAsia="Calibri" w:hAnsi="Calibri"/>
          <w:sz w:val="22"/>
          <w:szCs w:val="22"/>
        </w:rPr>
        <w:t xml:space="preserve">The IT Service Desk Portal supports all MVP features (create, view, update, search tickets; role-based workflow; summary dashboard) for all three defined user roles.</w:t>
      </w:r>
    </w:p>
    <w:p>
      <w:pPr>
        <w:pStyle w:val="ListParagraph"/>
        <w:numPr>
          <w:ilvl w:val="0"/>
          <w:numId w:val="2"/>
        </w:numPr>
        <w:spacing w:after="100" w:line="276"/>
      </w:pPr>
      <w:r>
        <w:rPr>
          <w:rFonts w:ascii="Calibri" w:cs="Calibri" w:eastAsia="Calibri" w:hAnsi="Calibri"/>
          <w:sz w:val="22"/>
          <w:szCs w:val="22"/>
        </w:rPr>
        <w:t xml:space="preserve">The complete source code is maintained under Git version control on GitHub, with a visible commit history reflecting incremental development.</w:t>
      </w:r>
    </w:p>
    <w:p>
      <w:pPr>
        <w:pStyle w:val="ListParagraph"/>
        <w:numPr>
          <w:ilvl w:val="0"/>
          <w:numId w:val="2"/>
        </w:numPr>
        <w:spacing w:after="100" w:line="276"/>
      </w:pPr>
      <w:r>
        <w:rPr>
          <w:rFonts w:ascii="Calibri" w:cs="Calibri" w:eastAsia="Calibri" w:hAnsi="Calibri"/>
          <w:sz w:val="22"/>
          <w:szCs w:val="22"/>
        </w:rPr>
        <w:t xml:space="preserve">A Jenkins pipeline exists that automatically triggers a build and test run whenever code is pushed to the repository.</w:t>
      </w:r>
    </w:p>
    <w:p>
      <w:pPr>
        <w:pStyle w:val="ListParagraph"/>
        <w:numPr>
          <w:ilvl w:val="0"/>
          <w:numId w:val="2"/>
        </w:numPr>
        <w:spacing w:after="100" w:line="276"/>
      </w:pPr>
      <w:r>
        <w:rPr>
          <w:rFonts w:ascii="Calibri" w:cs="Calibri" w:eastAsia="Calibri" w:hAnsi="Calibri"/>
          <w:sz w:val="22"/>
          <w:szCs w:val="22"/>
        </w:rPr>
        <w:t xml:space="preserve">At least the core user workflows (login, ticket creation, status update) are covered by automated Selenium tests that run as part of the pipeline.</w:t>
      </w:r>
    </w:p>
    <w:p>
      <w:pPr>
        <w:pStyle w:val="ListParagraph"/>
        <w:numPr>
          <w:ilvl w:val="0"/>
          <w:numId w:val="2"/>
        </w:numPr>
        <w:spacing w:after="100" w:line="276"/>
      </w:pPr>
      <w:r>
        <w:rPr>
          <w:rFonts w:ascii="Calibri" w:cs="Calibri" w:eastAsia="Calibri" w:hAnsi="Calibri"/>
          <w:sz w:val="22"/>
          <w:szCs w:val="22"/>
        </w:rPr>
        <w:t xml:space="preserve">The application can be built and run as a Docker container, and this containerised build is what the pipeline produces and tests.</w:t>
      </w:r>
    </w:p>
    <w:p>
      <w:pPr>
        <w:pStyle w:val="ListParagraph"/>
        <w:numPr>
          <w:ilvl w:val="0"/>
          <w:numId w:val="2"/>
        </w:numPr>
        <w:spacing w:after="100" w:line="276"/>
      </w:pPr>
      <w:r>
        <w:rPr>
          <w:rFonts w:ascii="Calibri" w:cs="Calibri" w:eastAsia="Calibri" w:hAnsi="Calibri"/>
          <w:sz w:val="22"/>
          <w:szCs w:val="22"/>
        </w:rPr>
        <w:t xml:space="preserve">Deployment/configuration of the application to a target environment is automated using Ansible or Puppet, rather than performed manually.</w:t>
      </w:r>
    </w:p>
    <w:p>
      <w:pPr>
        <w:pStyle w:val="ListParagraph"/>
        <w:numPr>
          <w:ilvl w:val="0"/>
          <w:numId w:val="2"/>
        </w:numPr>
        <w:spacing w:after="100" w:line="276"/>
      </w:pPr>
      <w:r>
        <w:rPr>
          <w:rFonts w:ascii="Calibri" w:cs="Calibri" w:eastAsia="Calibri" w:hAnsi="Calibri"/>
          <w:sz w:val="22"/>
          <w:szCs w:val="22"/>
        </w:rPr>
        <w:t xml:space="preserve">The team can demonstrate a complete, working pipeline run — from a code commit to a deployed, accessible instance of the application — by the end of the semester.</w:t>
      </w:r>
    </w:p>
    <w:p>
      <w:pPr>
        <w:pStyle w:val="ListParagraph"/>
        <w:numPr>
          <w:ilvl w:val="0"/>
          <w:numId w:val="2"/>
        </w:numPr>
        <w:spacing w:after="100" w:line="276"/>
      </w:pPr>
      <w:r>
        <w:rPr>
          <w:rFonts w:ascii="Calibri" w:cs="Calibri" w:eastAsia="Calibri" w:hAnsi="Calibri"/>
          <w:sz w:val="22"/>
          <w:szCs w:val="22"/>
        </w:rPr>
        <w:t xml:space="preserve">Each week's assigned deliverable is documented and submitted on schedule.</w:t>
      </w:r>
    </w:p>
    <w:p>
      <w:pPr>
        <w:pStyle w:val="Heading1"/>
        <w:pBdr>
          <w:bottom w:val="single" w:color="1F4E79" w:sz="6" w:space="4"/>
        </w:pBdr>
        <w:spacing w:after="200" w:before="360"/>
      </w:pPr>
      <w:r>
        <w:rPr>
          <w:rFonts w:ascii="Calibri" w:cs="Calibri" w:eastAsia="Calibri" w:hAnsi="Calibri"/>
          <w:b/>
          <w:bCs/>
          <w:color w:val="1F4E79"/>
          <w:sz w:val="30"/>
          <w:szCs w:val="30"/>
        </w:rPr>
        <w:t xml:space="preserve">12. Expected Benefits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1F4E79" w:val="clear"/>
            <w:tcMar>
              <w:top w:type="dxa" w:w="100"/>
              <w:left w:type="dxa" w:w="120"/>
              <w:bottom w:type="dxa" w:w="100"/>
              <w:right w:type="dxa" w:w="120"/>
            </w:tcMar>
            <w:vAlign w:val="center"/>
          </w:tcPr>
          <w:p>
            <w:pPr>
              <w:spacing w:after="40" w:line="264"/>
            </w:pPr>
            <w:r>
              <w:rPr>
                <w:rFonts w:ascii="Calibri" w:cs="Calibri" w:eastAsia="Calibri" w:hAnsi="Calibri"/>
                <w:b/>
                <w:bCs/>
                <w:color w:val="FFFFFF"/>
                <w:sz w:val="20"/>
                <w:szCs w:val="20"/>
              </w:rPr>
              <w:t xml:space="preserve">Beneficiary</w:t>
            </w:r>
          </w:p>
        </w:tc>
        <w:tc>
          <w:tcPr>
            <w:tcW w:type="dxa" w:w="7200"/>
            <w:shd w:fill="1F4E79" w:val="clear"/>
            <w:tcMar>
              <w:top w:type="dxa" w:w="100"/>
              <w:left w:type="dxa" w:w="120"/>
              <w:bottom w:type="dxa" w:w="100"/>
              <w:right w:type="dxa" w:w="120"/>
            </w:tcMar>
            <w:vAlign w:val="center"/>
          </w:tcPr>
          <w:p>
            <w:pPr>
              <w:spacing w:after="40" w:line="264"/>
            </w:pPr>
            <w:r>
              <w:rPr>
                <w:rFonts w:ascii="Calibri" w:cs="Calibri" w:eastAsia="Calibri" w:hAnsi="Calibri"/>
                <w:b/>
                <w:bCs/>
                <w:color w:val="FFFFFF"/>
                <w:sz w:val="20"/>
                <w:szCs w:val="20"/>
              </w:rPr>
              <w:t xml:space="preserve">Benefit</w:t>
            </w:r>
          </w:p>
        </w:tc>
      </w:tr>
      <w:tr>
        <w:tc>
          <w:tcPr>
            <w:tcW w:type="dxa" w:w="24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Employees</w:t>
            </w:r>
          </w:p>
        </w:tc>
        <w:tc>
          <w:tcPr>
            <w:tcW w:type="dxa" w:w="72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A single, predictable way to report IT issues and check their status, reducing uncertainty and repeated follow-up communication.</w:t>
            </w:r>
          </w:p>
        </w:tc>
      </w:tr>
      <w:tr>
        <w:tc>
          <w:tcPr>
            <w:tcW w:type="dxa" w:w="24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IT Support Staff</w:t>
            </w:r>
          </w:p>
        </w:tc>
        <w:tc>
          <w:tcPr>
            <w:tcW w:type="dxa" w:w="72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A shared, organised queue of tickets with clear status tracking, reducing duplicated or missed work and clarifying ownership.</w:t>
            </w:r>
          </w:p>
        </w:tc>
      </w:tr>
      <w:tr>
        <w:tc>
          <w:tcPr>
            <w:tcW w:type="dxa" w:w="24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Administrators</w:t>
            </w:r>
          </w:p>
        </w:tc>
        <w:tc>
          <w:tcPr>
            <w:tcW w:type="dxa" w:w="7200"/>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Visibility into overall ticket volume, category trends, and system usage through the dashboard, supporting better resource planning.</w:t>
            </w:r>
          </w:p>
        </w:tc>
      </w:tr>
      <w:tr>
        <w:tc>
          <w:tcPr>
            <w:tcW w:type="dxa" w:w="24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Organisation</w:t>
            </w:r>
          </w:p>
        </w:tc>
        <w:tc>
          <w:tcPr>
            <w:tcW w:type="dxa" w:w="7200"/>
            <w:shd w:fill="F2F6FA" w:val="clear"/>
            <w:tcMar>
              <w:top w:type="dxa" w:w="100"/>
              <w:left w:type="dxa" w:w="120"/>
              <w:bottom w:type="dxa" w:w="100"/>
              <w:right w:type="dxa" w:w="120"/>
            </w:tcMar>
            <w:vAlign w:val="center"/>
          </w:tcPr>
          <w:p>
            <w:pPr>
              <w:spacing w:after="40" w:line="264"/>
            </w:pPr>
            <w:r>
              <w:rPr>
                <w:rFonts w:ascii="Calibri" w:cs="Calibri" w:eastAsia="Calibri" w:hAnsi="Calibri"/>
                <w:sz w:val="20"/>
                <w:szCs w:val="20"/>
              </w:rPr>
              <w:t xml:space="preserve">A documented, auditable record of IT issues and their resolution, and — through the CI/CD pipeline — a faster, more reliable process for delivering updates to the portal itself.</w:t>
            </w:r>
          </w:p>
        </w:tc>
      </w:tr>
    </w:tbl>
    <w:p>
      <w:pPr>
        <w:pStyle w:val="Heading1"/>
        <w:pBdr>
          <w:bottom w:val="single" w:color="1F4E79" w:sz="6" w:space="4"/>
        </w:pBdr>
        <w:spacing w:after="200" w:before="360"/>
      </w:pPr>
      <w:r>
        <w:rPr>
          <w:rFonts w:ascii="Calibri" w:cs="Calibri" w:eastAsia="Calibri" w:hAnsi="Calibri"/>
          <w:b/>
          <w:bCs/>
          <w:color w:val="1F4E79"/>
          <w:sz w:val="30"/>
          <w:szCs w:val="30"/>
        </w:rPr>
        <w:t xml:space="preserve">13. Project Boundaries</w:t>
      </w:r>
    </w:p>
    <w:p>
      <w:pPr>
        <w:pStyle w:val="Heading2"/>
        <w:spacing w:after="140" w:before="260"/>
      </w:pPr>
      <w:r>
        <w:rPr>
          <w:rFonts w:ascii="Calibri" w:cs="Calibri" w:eastAsia="Calibri" w:hAnsi="Calibri"/>
          <w:b/>
          <w:bCs/>
          <w:color w:val="1F4E79"/>
          <w:sz w:val="24"/>
          <w:szCs w:val="24"/>
        </w:rPr>
        <w:t xml:space="preserve">13.1 What This Project Will Attempt to Solve</w:t>
      </w:r>
    </w:p>
    <w:p>
      <w:pPr>
        <w:pStyle w:val="ListParagraph"/>
        <w:numPr>
          <w:ilvl w:val="0"/>
          <w:numId w:val="2"/>
        </w:numPr>
        <w:spacing w:after="100" w:line="276"/>
      </w:pPr>
      <w:r>
        <w:rPr>
          <w:rFonts w:ascii="Calibri" w:cs="Calibri" w:eastAsia="Calibri" w:hAnsi="Calibri"/>
          <w:sz w:val="22"/>
          <w:szCs w:val="22"/>
        </w:rPr>
        <w:t xml:space="preserve">The absence of a structured, trackable way for employees to report and follow up on IT issues.</w:t>
      </w:r>
    </w:p>
    <w:p>
      <w:pPr>
        <w:pStyle w:val="ListParagraph"/>
        <w:numPr>
          <w:ilvl w:val="0"/>
          <w:numId w:val="2"/>
        </w:numPr>
        <w:spacing w:after="100" w:line="276"/>
      </w:pPr>
      <w:r>
        <w:rPr>
          <w:rFonts w:ascii="Calibri" w:cs="Calibri" w:eastAsia="Calibri" w:hAnsi="Calibri"/>
          <w:sz w:val="22"/>
          <w:szCs w:val="22"/>
        </w:rPr>
        <w:t xml:space="preserve">The lack of an organised workflow for IT support staff to manage incoming issues.</w:t>
      </w:r>
    </w:p>
    <w:p>
      <w:pPr>
        <w:pStyle w:val="ListParagraph"/>
        <w:numPr>
          <w:ilvl w:val="0"/>
          <w:numId w:val="2"/>
        </w:numPr>
        <w:spacing w:after="100" w:line="276"/>
      </w:pPr>
      <w:r>
        <w:rPr>
          <w:rFonts w:ascii="Calibri" w:cs="Calibri" w:eastAsia="Calibri" w:hAnsi="Calibri"/>
          <w:sz w:val="22"/>
          <w:szCs w:val="22"/>
        </w:rPr>
        <w:t xml:space="preserve">The manual, error-prone, and inconsistent process by which a typical student or small-team project is built, tested, and deployed — replaced with an automated CI/CD pipeline.</w:t>
      </w:r>
    </w:p>
    <w:p>
      <w:pPr>
        <w:pStyle w:val="Heading2"/>
        <w:spacing w:after="140" w:before="260"/>
      </w:pPr>
      <w:r>
        <w:rPr>
          <w:rFonts w:ascii="Calibri" w:cs="Calibri" w:eastAsia="Calibri" w:hAnsi="Calibri"/>
          <w:b/>
          <w:bCs/>
          <w:color w:val="1F4E79"/>
          <w:sz w:val="24"/>
          <w:szCs w:val="24"/>
        </w:rPr>
        <w:t xml:space="preserve">13.2 What This Project Will Not Attempt to Solve</w:t>
      </w:r>
    </w:p>
    <w:p>
      <w:pPr>
        <w:pStyle w:val="ListParagraph"/>
        <w:numPr>
          <w:ilvl w:val="0"/>
          <w:numId w:val="2"/>
        </w:numPr>
        <w:spacing w:after="100" w:line="276"/>
      </w:pPr>
      <w:r>
        <w:rPr>
          <w:rFonts w:ascii="Calibri" w:cs="Calibri" w:eastAsia="Calibri" w:hAnsi="Calibri"/>
          <w:sz w:val="22"/>
          <w:szCs w:val="22"/>
        </w:rPr>
        <w:t xml:space="preserve">Enterprise-scale IT service management processes (ITIL, SLA enforcement, formal change management).</w:t>
      </w:r>
    </w:p>
    <w:p>
      <w:pPr>
        <w:pStyle w:val="ListParagraph"/>
        <w:numPr>
          <w:ilvl w:val="0"/>
          <w:numId w:val="2"/>
        </w:numPr>
        <w:spacing w:after="100" w:line="276"/>
      </w:pPr>
      <w:r>
        <w:rPr>
          <w:rFonts w:ascii="Calibri" w:cs="Calibri" w:eastAsia="Calibri" w:hAnsi="Calibri"/>
          <w:sz w:val="22"/>
          <w:szCs w:val="22"/>
        </w:rPr>
        <w:t xml:space="preserve">Integration with an organisation's real, existing identity or ticketing infrastructure.</w:t>
      </w:r>
    </w:p>
    <w:p>
      <w:pPr>
        <w:pStyle w:val="ListParagraph"/>
        <w:numPr>
          <w:ilvl w:val="0"/>
          <w:numId w:val="2"/>
        </w:numPr>
        <w:spacing w:after="100" w:line="276"/>
      </w:pPr>
      <w:r>
        <w:rPr>
          <w:rFonts w:ascii="Calibri" w:cs="Calibri" w:eastAsia="Calibri" w:hAnsi="Calibri"/>
          <w:sz w:val="22"/>
          <w:szCs w:val="22"/>
        </w:rPr>
        <w:t xml:space="preserve">Production-level reliability, security certification, or scalability guarantees.</w:t>
      </w:r>
    </w:p>
    <w:p>
      <w:pPr>
        <w:pStyle w:val="ListParagraph"/>
        <w:numPr>
          <w:ilvl w:val="0"/>
          <w:numId w:val="2"/>
        </w:numPr>
        <w:spacing w:after="100" w:line="276"/>
      </w:pPr>
      <w:r>
        <w:rPr>
          <w:rFonts w:ascii="Calibri" w:cs="Calibri" w:eastAsia="Calibri" w:hAnsi="Calibri"/>
          <w:sz w:val="22"/>
          <w:szCs w:val="22"/>
        </w:rPr>
        <w:t xml:space="preserve">Any IT issue resolution that requires physical hardware intervention — the portal manages the tracking and workflow of such issues, not the physical repair itself.</w:t>
      </w:r>
    </w:p>
    <w:p>
      <w:pPr>
        <w:pStyle w:val="Heading1"/>
        <w:pBdr>
          <w:bottom w:val="single" w:color="1F4E79" w:sz="6" w:space="4"/>
        </w:pBdr>
        <w:spacing w:after="200" w:before="360"/>
      </w:pPr>
      <w:r>
        <w:rPr>
          <w:rFonts w:ascii="Calibri" w:cs="Calibri" w:eastAsia="Calibri" w:hAnsi="Calibri"/>
          <w:b/>
          <w:bCs/>
          <w:color w:val="1F4E79"/>
          <w:sz w:val="30"/>
          <w:szCs w:val="30"/>
        </w:rPr>
        <w:t xml:space="preserve">14. Conclusion</w:t>
      </w:r>
    </w:p>
    <w:p>
      <w:pPr>
        <w:spacing w:after="160" w:line="276"/>
        <w:jc w:val="both"/>
      </w:pPr>
      <w:r>
        <w:rPr>
          <w:rFonts w:ascii="Calibri" w:cs="Calibri" w:eastAsia="Calibri" w:hAnsi="Calibri"/>
          <w:sz w:val="22"/>
          <w:szCs w:val="22"/>
        </w:rPr>
        <w:t xml:space="preserve">This document has defined the problem, stakeholders, objectives, scope, and success criteria for the CI/CD Pipeline for an IT Service Desk Portal project. The IT Service Desk Portal has been scoped as a deliberately focused application — covering ticket creation, viewing, updating, searching, role-based workflow, and a summary dashboard — so that the majority of the team's effort over the remaining weeks can be directed toward building a genuine, working DevOps/CI-CD pipeline around it using Git/GitHub, Jenkins, Selenium, Docker, and Ansible/Puppet. This scope is intended to be realistic and achievable by a small student team within a 15-week academic timeline, while still providing sufficient technical depth for meaningful evaluation at each stage of the project.</w:t>
      </w:r>
    </w:p>
    <w:p>
      <w:pPr>
        <w:pStyle w:val="Heading1"/>
        <w:pBdr>
          <w:bottom w:val="single" w:color="1F4E79" w:sz="6" w:space="4"/>
        </w:pBdr>
        <w:spacing w:after="200" w:before="360"/>
      </w:pPr>
      <w:r>
        <w:rPr>
          <w:rFonts w:ascii="Calibri" w:cs="Calibri" w:eastAsia="Calibri" w:hAnsi="Calibri"/>
          <w:b/>
          <w:bCs/>
          <w:color w:val="1F4E79"/>
          <w:sz w:val="30"/>
          <w:szCs w:val="30"/>
        </w:rPr>
        <w:t xml:space="preserve">Week 1 Deliverables Checklist</w:t>
      </w:r>
    </w:p>
    <w:p>
      <w:pPr>
        <w:spacing w:after="160" w:line="276"/>
        <w:jc w:val="both"/>
      </w:pPr>
      <w:r>
        <w:rPr>
          <w:rFonts w:ascii="Calibri" w:cs="Calibri" w:eastAsia="Calibri" w:hAnsi="Calibri"/>
          <w:sz w:val="22"/>
          <w:szCs w:val="22"/>
        </w:rPr>
        <w:t xml:space="preserve">The following items constitute evidence of completion for the Week 1 deliverable, "Problem Definition and Scope":</w:t>
      </w:r>
    </w:p>
    <w:p>
      <w:pPr>
        <w:pStyle w:val="ListParagraph"/>
        <w:numPr>
          <w:ilvl w:val="0"/>
          <w:numId w:val="2"/>
        </w:numPr>
        <w:spacing w:after="100" w:line="276"/>
      </w:pPr>
      <w:r>
        <w:rPr>
          <w:rFonts w:ascii="Calibri" w:cs="Calibri" w:eastAsia="Calibri" w:hAnsi="Calibri"/>
          <w:sz w:val="22"/>
          <w:szCs w:val="22"/>
        </w:rPr>
        <w:t xml:space="preserve">Formal problem statement documented (Section 2.3).</w:t>
      </w:r>
    </w:p>
    <w:p>
      <w:pPr>
        <w:pStyle w:val="ListParagraph"/>
        <w:numPr>
          <w:ilvl w:val="0"/>
          <w:numId w:val="2"/>
        </w:numPr>
        <w:spacing w:after="100" w:line="276"/>
      </w:pPr>
      <w:r>
        <w:rPr>
          <w:rFonts w:ascii="Calibri" w:cs="Calibri" w:eastAsia="Calibri" w:hAnsi="Calibri"/>
          <w:sz w:val="22"/>
          <w:szCs w:val="22"/>
        </w:rPr>
        <w:t xml:space="preserve">Stakeholders identified with roles, expectations, and interaction defined (Section 4).</w:t>
      </w:r>
    </w:p>
    <w:p>
      <w:pPr>
        <w:pStyle w:val="ListParagraph"/>
        <w:numPr>
          <w:ilvl w:val="0"/>
          <w:numId w:val="2"/>
        </w:numPr>
        <w:spacing w:after="100" w:line="276"/>
      </w:pPr>
      <w:r>
        <w:rPr>
          <w:rFonts w:ascii="Calibri" w:cs="Calibri" w:eastAsia="Calibri" w:hAnsi="Calibri"/>
          <w:sz w:val="22"/>
          <w:szCs w:val="22"/>
        </w:rPr>
        <w:t xml:space="preserve">Primary and secondary project objectives defined (Section 5).</w:t>
      </w:r>
    </w:p>
    <w:p>
      <w:pPr>
        <w:pStyle w:val="ListParagraph"/>
        <w:numPr>
          <w:ilvl w:val="0"/>
          <w:numId w:val="2"/>
        </w:numPr>
        <w:spacing w:after="100" w:line="276"/>
      </w:pPr>
      <w:r>
        <w:rPr>
          <w:rFonts w:ascii="Calibri" w:cs="Calibri" w:eastAsia="Calibri" w:hAnsi="Calibri"/>
          <w:sz w:val="22"/>
          <w:szCs w:val="22"/>
        </w:rPr>
        <w:t xml:space="preserve">Project scope defined, with clear In Scope / Out of Scope boundaries (Section 6).</w:t>
      </w:r>
    </w:p>
    <w:p>
      <w:pPr>
        <w:pStyle w:val="ListParagraph"/>
        <w:numPr>
          <w:ilvl w:val="0"/>
          <w:numId w:val="2"/>
        </w:numPr>
        <w:spacing w:after="100" w:line="276"/>
      </w:pPr>
      <w:r>
        <w:rPr>
          <w:rFonts w:ascii="Calibri" w:cs="Calibri" w:eastAsia="Calibri" w:hAnsi="Calibri"/>
          <w:sz w:val="22"/>
          <w:szCs w:val="22"/>
        </w:rPr>
        <w:t xml:space="preserve">MVP scope defined with all six required features explained (Section 7).</w:t>
      </w:r>
    </w:p>
    <w:p>
      <w:pPr>
        <w:pStyle w:val="ListParagraph"/>
        <w:numPr>
          <w:ilvl w:val="0"/>
          <w:numId w:val="2"/>
        </w:numPr>
        <w:spacing w:after="100" w:line="276"/>
      </w:pPr>
      <w:r>
        <w:rPr>
          <w:rFonts w:ascii="Calibri" w:cs="Calibri" w:eastAsia="Calibri" w:hAnsi="Calibri"/>
          <w:sz w:val="22"/>
          <w:szCs w:val="22"/>
        </w:rPr>
        <w:t xml:space="preserve">High-level user roles and permissions defined (Section 8).</w:t>
      </w:r>
    </w:p>
    <w:p>
      <w:pPr>
        <w:pStyle w:val="ListParagraph"/>
        <w:numPr>
          <w:ilvl w:val="0"/>
          <w:numId w:val="2"/>
        </w:numPr>
        <w:spacing w:after="100" w:line="276"/>
      </w:pPr>
      <w:r>
        <w:rPr>
          <w:rFonts w:ascii="Calibri" w:cs="Calibri" w:eastAsia="Calibri" w:hAnsi="Calibri"/>
          <w:sz w:val="22"/>
          <w:szCs w:val="22"/>
        </w:rPr>
        <w:t xml:space="preserve">Project constraints identified across time, resources, infrastructure, team size, technical, and academic dimensions (Section 9).</w:t>
      </w:r>
    </w:p>
    <w:p>
      <w:pPr>
        <w:pStyle w:val="ListParagraph"/>
        <w:numPr>
          <w:ilvl w:val="0"/>
          <w:numId w:val="2"/>
        </w:numPr>
        <w:spacing w:after="100" w:line="276"/>
      </w:pPr>
      <w:r>
        <w:rPr>
          <w:rFonts w:ascii="Calibri" w:cs="Calibri" w:eastAsia="Calibri" w:hAnsi="Calibri"/>
          <w:sz w:val="22"/>
          <w:szCs w:val="22"/>
        </w:rPr>
        <w:t xml:space="preserve">Assumptions explicitly documented (Section 10).</w:t>
      </w:r>
    </w:p>
    <w:p>
      <w:pPr>
        <w:pStyle w:val="ListParagraph"/>
        <w:numPr>
          <w:ilvl w:val="0"/>
          <w:numId w:val="2"/>
        </w:numPr>
        <w:spacing w:after="100" w:line="276"/>
      </w:pPr>
      <w:r>
        <w:rPr>
          <w:rFonts w:ascii="Calibri" w:cs="Calibri" w:eastAsia="Calibri" w:hAnsi="Calibri"/>
          <w:sz w:val="22"/>
          <w:szCs w:val="22"/>
        </w:rPr>
        <w:t xml:space="preserve">Measurable success criteria defined (Section 11).</w:t>
      </w:r>
    </w:p>
    <w:p>
      <w:pPr>
        <w:pStyle w:val="ListParagraph"/>
        <w:numPr>
          <w:ilvl w:val="0"/>
          <w:numId w:val="2"/>
        </w:numPr>
        <w:spacing w:after="100" w:line="276"/>
      </w:pPr>
      <w:r>
        <w:rPr>
          <w:rFonts w:ascii="Calibri" w:cs="Calibri" w:eastAsia="Calibri" w:hAnsi="Calibri"/>
          <w:sz w:val="22"/>
          <w:szCs w:val="22"/>
        </w:rPr>
        <w:t xml:space="preserve">This Week 1 Project Definition and Scope Document submitted in final form.</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3"/>
      </w:tabs>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rPr>
      <w:t xml:space="preserve">CI/CD Pipeline for an IT Service Desk Portal — Week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2026-08-30T08:27:41.180Z</dcterms:created>
  <dcterms:modified xsi:type="dcterms:W3CDTF">2026-08-30T08:27:41.195Z</dcterms:modified>
</cp:coreProperties>
</file>

<file path=docProps/custom.xml><?xml version="1.0" encoding="utf-8"?>
<Properties xmlns="http://schemas.openxmlformats.org/officeDocument/2006/custom-properties" xmlns:vt="http://schemas.openxmlformats.org/officeDocument/2006/docPropsVTypes"/>
</file>