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40"/>
        <w:jc w:val="center"/>
      </w:pPr>
      <w:r>
        <w:rPr>
          <w:rFonts w:ascii="Calibri" w:cs="Calibri" w:eastAsia="Calibri" w:hAnsi="Calibri"/>
          <w:b/>
          <w:bCs/>
          <w:color w:val="1F4E79"/>
          <w:sz w:val="40"/>
          <w:szCs w:val="40"/>
        </w:rPr>
        <w:t xml:space="preserve">CI/CD PIPELINE FOR AN IT SERVICE DESK PORTAL</w:t>
      </w:r>
    </w:p>
    <w:p>
      <w:pPr>
        <w:spacing w:after="100"/>
        <w:jc w:val="center"/>
      </w:pPr>
      <w:r>
        <w:rPr>
          <w:rFonts w:ascii="Calibri" w:cs="Calibri" w:eastAsia="Calibri" w:hAnsi="Calibri"/>
          <w:b/>
          <w:bCs/>
          <w:color w:val="595959"/>
          <w:sz w:val="28"/>
          <w:szCs w:val="28"/>
        </w:rPr>
        <w:t xml:space="preserve">Week 3 Deliverable</w:t>
      </w:r>
    </w:p>
    <w:p>
      <w:pPr>
        <w:spacing w:after="700"/>
        <w:jc w:val="center"/>
      </w:pPr>
      <w:r>
        <w:rPr>
          <w:rFonts w:ascii="Calibri" w:cs="Calibri" w:eastAsia="Calibri" w:hAnsi="Calibri"/>
          <w:i/>
          <w:iCs/>
          <w:color w:val="595959"/>
          <w:sz w:val="26"/>
          <w:szCs w:val="26"/>
        </w:rPr>
        <w:t xml:space="preserve">Software Requirements Specification (SRS)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DCE6F1" w:val="clear"/>
            <w:tcMar>
              <w:top w:type="dxa" w:w="120"/>
              <w:left w:type="dxa" w:w="140"/>
              <w:bottom w:type="dxa" w:w="120"/>
              <w:right w:type="dxa" w:w="140"/>
            </w:tcMar>
            <w:vAlign w:val="center"/>
          </w:tcPr>
          <w:p>
            <w:pPr>
              <w:spacing w:after="40" w:line="250"/>
            </w:pPr>
            <w:r>
              <w:rPr>
                <w:rFonts w:ascii="Calibri" w:cs="Calibri" w:eastAsia="Calibri" w:hAnsi="Calibri"/>
                <w:b/>
                <w:bCs/>
                <w:sz w:val="20"/>
                <w:szCs w:val="20"/>
              </w:rPr>
              <w:t xml:space="preserve">Course / Subject</w:t>
            </w:r>
          </w:p>
        </w:tc>
        <w:tc>
          <w:tcPr>
            <w:tcW w:type="dxa" w:w="6800"/>
            <w:tcMar>
              <w:top w:type="dxa" w:w="120"/>
              <w:left w:type="dxa" w:w="140"/>
              <w:bottom w:type="dxa" w:w="120"/>
              <w:right w:type="dxa" w:w="140"/>
            </w:tcMar>
            <w:vAlign w:val="center"/>
          </w:tcPr>
          <w:p>
            <w:pPr>
              <w:spacing w:after="40" w:line="250"/>
            </w:pPr>
            <w:r>
              <w:rPr>
                <w:rFonts w:ascii="Calibri" w:cs="Calibri" w:eastAsia="Calibri" w:hAnsi="Calibri"/>
                <w:sz w:val="20"/>
                <w:szCs w:val="20"/>
              </w:rPr>
              <w:t xml:space="preserve">[Course Name / Code — e.g., B.E. Computer Engineering, Semester VII — Project Work I]</w:t>
            </w:r>
          </w:p>
        </w:tc>
      </w:tr>
      <w:tr>
        <w:tc>
          <w:tcPr>
            <w:tcW w:type="dxa" w:w="2600"/>
            <w:shd w:fill="DCE6F1" w:val="clear"/>
            <w:tcMar>
              <w:top w:type="dxa" w:w="120"/>
              <w:left w:type="dxa" w:w="140"/>
              <w:bottom w:type="dxa" w:w="120"/>
              <w:right w:type="dxa" w:w="140"/>
            </w:tcMar>
            <w:vAlign w:val="center"/>
          </w:tcPr>
          <w:p>
            <w:pPr>
              <w:spacing w:after="40" w:line="250"/>
            </w:pPr>
            <w:r>
              <w:rPr>
                <w:rFonts w:ascii="Calibri" w:cs="Calibri" w:eastAsia="Calibri" w:hAnsi="Calibri"/>
                <w:b/>
                <w:bCs/>
                <w:sz w:val="20"/>
                <w:szCs w:val="20"/>
              </w:rPr>
              <w:t xml:space="preserve">Project Title</w:t>
            </w:r>
          </w:p>
        </w:tc>
        <w:tc>
          <w:tcPr>
            <w:tcW w:type="dxa" w:w="6800"/>
            <w:tcMar>
              <w:top w:type="dxa" w:w="120"/>
              <w:left w:type="dxa" w:w="140"/>
              <w:bottom w:type="dxa" w:w="120"/>
              <w:right w:type="dxa" w:w="140"/>
            </w:tcMar>
            <w:vAlign w:val="center"/>
          </w:tcPr>
          <w:p>
            <w:pPr>
              <w:spacing w:after="40" w:line="250"/>
            </w:pPr>
            <w:r>
              <w:rPr>
                <w:rFonts w:ascii="Calibri" w:cs="Calibri" w:eastAsia="Calibri" w:hAnsi="Calibri"/>
                <w:sz w:val="20"/>
                <w:szCs w:val="20"/>
              </w:rPr>
              <w:t xml:space="preserve">CI/CD Pipeline for an IT Service Desk Portal</w:t>
            </w:r>
          </w:p>
        </w:tc>
      </w:tr>
      <w:tr>
        <w:tc>
          <w:tcPr>
            <w:tcW w:type="dxa" w:w="2600"/>
            <w:shd w:fill="DCE6F1" w:val="clear"/>
            <w:tcMar>
              <w:top w:type="dxa" w:w="120"/>
              <w:left w:type="dxa" w:w="140"/>
              <w:bottom w:type="dxa" w:w="120"/>
              <w:right w:type="dxa" w:w="140"/>
            </w:tcMar>
            <w:vAlign w:val="center"/>
          </w:tcPr>
          <w:p>
            <w:pPr>
              <w:spacing w:after="40" w:line="250"/>
            </w:pPr>
            <w:r>
              <w:rPr>
                <w:rFonts w:ascii="Calibri" w:cs="Calibri" w:eastAsia="Calibri" w:hAnsi="Calibri"/>
                <w:b/>
                <w:bCs/>
                <w:sz w:val="20"/>
                <w:szCs w:val="20"/>
              </w:rPr>
              <w:t xml:space="preserve">Team Members</w:t>
            </w:r>
          </w:p>
        </w:tc>
        <w:tc>
          <w:tcPr>
            <w:tcW w:type="dxa" w:w="6800"/>
            <w:tcMar>
              <w:top w:type="dxa" w:w="120"/>
              <w:left w:type="dxa" w:w="140"/>
              <w:bottom w:type="dxa" w:w="120"/>
              <w:right w:type="dxa" w:w="140"/>
            </w:tcMar>
            <w:vAlign w:val="center"/>
          </w:tcPr>
          <w:p>
            <w:pPr>
              <w:spacing w:after="40" w:line="250"/>
            </w:pPr>
            <w:r>
              <w:rPr>
                <w:rFonts w:ascii="Calibri" w:cs="Calibri" w:eastAsia="Calibri" w:hAnsi="Calibri"/>
                <w:sz w:val="20"/>
                <w:szCs w:val="20"/>
              </w:rPr>
              <w:t xml:space="preserve">[Student Name 1 — Roll No.]</w:t>
            </w:r>
          </w:p>
          <w:p>
            <w:pPr>
              <w:spacing w:after="40" w:line="250"/>
            </w:pPr>
            <w:r>
              <w:rPr>
                <w:rFonts w:ascii="Calibri" w:cs="Calibri" w:eastAsia="Calibri" w:hAnsi="Calibri"/>
                <w:sz w:val="20"/>
                <w:szCs w:val="20"/>
              </w:rPr>
              <w:t xml:space="preserve">[Student Name 2 — Roll No.]</w:t>
            </w:r>
          </w:p>
          <w:p>
            <w:pPr>
              <w:spacing w:after="40" w:line="250"/>
            </w:pPr>
            <w:r>
              <w:rPr>
                <w:rFonts w:ascii="Calibri" w:cs="Calibri" w:eastAsia="Calibri" w:hAnsi="Calibri"/>
                <w:sz w:val="20"/>
                <w:szCs w:val="20"/>
              </w:rPr>
              <w:t xml:space="preserve">[Student Name 3 — Roll No.]</w:t>
            </w:r>
          </w:p>
          <w:p>
            <w:pPr>
              <w:spacing w:after="40" w:line="250"/>
            </w:pPr>
            <w:r>
              <w:rPr>
                <w:rFonts w:ascii="Calibri" w:cs="Calibri" w:eastAsia="Calibri" w:hAnsi="Calibri"/>
                <w:sz w:val="20"/>
                <w:szCs w:val="20"/>
              </w:rPr>
              <w:t xml:space="preserve">[Student Name 4 — Roll No.]</w:t>
            </w:r>
          </w:p>
        </w:tc>
      </w:tr>
      <w:tr>
        <w:tc>
          <w:tcPr>
            <w:tcW w:type="dxa" w:w="2600"/>
            <w:shd w:fill="DCE6F1" w:val="clear"/>
            <w:tcMar>
              <w:top w:type="dxa" w:w="120"/>
              <w:left w:type="dxa" w:w="140"/>
              <w:bottom w:type="dxa" w:w="120"/>
              <w:right w:type="dxa" w:w="140"/>
            </w:tcMar>
            <w:vAlign w:val="center"/>
          </w:tcPr>
          <w:p>
            <w:pPr>
              <w:spacing w:after="40" w:line="250"/>
            </w:pPr>
            <w:r>
              <w:rPr>
                <w:rFonts w:ascii="Calibri" w:cs="Calibri" w:eastAsia="Calibri" w:hAnsi="Calibri"/>
                <w:b/>
                <w:bCs/>
                <w:sz w:val="20"/>
                <w:szCs w:val="20"/>
              </w:rPr>
              <w:t xml:space="preserve">Project Guide / Faculty</w:t>
            </w:r>
          </w:p>
        </w:tc>
        <w:tc>
          <w:tcPr>
            <w:tcW w:type="dxa" w:w="6800"/>
            <w:tcMar>
              <w:top w:type="dxa" w:w="120"/>
              <w:left w:type="dxa" w:w="140"/>
              <w:bottom w:type="dxa" w:w="120"/>
              <w:right w:type="dxa" w:w="140"/>
            </w:tcMar>
            <w:vAlign w:val="center"/>
          </w:tcPr>
          <w:p>
            <w:pPr>
              <w:spacing w:after="40" w:line="250"/>
            </w:pPr>
            <w:r>
              <w:rPr>
                <w:rFonts w:ascii="Calibri" w:cs="Calibri" w:eastAsia="Calibri" w:hAnsi="Calibri"/>
                <w:sz w:val="20"/>
                <w:szCs w:val="20"/>
              </w:rPr>
              <w:t xml:space="preserve">[Faculty Guide Name, Designation]</w:t>
            </w:r>
          </w:p>
        </w:tc>
      </w:tr>
      <w:tr>
        <w:tc>
          <w:tcPr>
            <w:tcW w:type="dxa" w:w="2600"/>
            <w:shd w:fill="DCE6F1" w:val="clear"/>
            <w:tcMar>
              <w:top w:type="dxa" w:w="120"/>
              <w:left w:type="dxa" w:w="140"/>
              <w:bottom w:type="dxa" w:w="120"/>
              <w:right w:type="dxa" w:w="140"/>
            </w:tcMar>
            <w:vAlign w:val="center"/>
          </w:tcPr>
          <w:p>
            <w:pPr>
              <w:spacing w:after="40" w:line="250"/>
            </w:pPr>
            <w:r>
              <w:rPr>
                <w:rFonts w:ascii="Calibri" w:cs="Calibri" w:eastAsia="Calibri" w:hAnsi="Calibri"/>
                <w:b/>
                <w:bCs/>
                <w:sz w:val="20"/>
                <w:szCs w:val="20"/>
              </w:rPr>
              <w:t xml:space="preserve">Department</w:t>
            </w:r>
          </w:p>
        </w:tc>
        <w:tc>
          <w:tcPr>
            <w:tcW w:type="dxa" w:w="6800"/>
            <w:tcMar>
              <w:top w:type="dxa" w:w="120"/>
              <w:left w:type="dxa" w:w="140"/>
              <w:bottom w:type="dxa" w:w="120"/>
              <w:right w:type="dxa" w:w="140"/>
            </w:tcMar>
            <w:vAlign w:val="center"/>
          </w:tcPr>
          <w:p>
            <w:pPr>
              <w:spacing w:after="40" w:line="250"/>
            </w:pPr>
            <w:r>
              <w:rPr>
                <w:rFonts w:ascii="Calibri" w:cs="Calibri" w:eastAsia="Calibri" w:hAnsi="Calibri"/>
                <w:sz w:val="20"/>
                <w:szCs w:val="20"/>
              </w:rPr>
              <w:t xml:space="preserve">[Department of Computer Engineering]</w:t>
            </w:r>
          </w:p>
        </w:tc>
      </w:tr>
      <w:tr>
        <w:tc>
          <w:tcPr>
            <w:tcW w:type="dxa" w:w="2600"/>
            <w:shd w:fill="DCE6F1" w:val="clear"/>
            <w:tcMar>
              <w:top w:type="dxa" w:w="120"/>
              <w:left w:type="dxa" w:w="140"/>
              <w:bottom w:type="dxa" w:w="120"/>
              <w:right w:type="dxa" w:w="140"/>
            </w:tcMar>
            <w:vAlign w:val="center"/>
          </w:tcPr>
          <w:p>
            <w:pPr>
              <w:spacing w:after="40" w:line="250"/>
            </w:pPr>
            <w:r>
              <w:rPr>
                <w:rFonts w:ascii="Calibri" w:cs="Calibri" w:eastAsia="Calibri" w:hAnsi="Calibri"/>
                <w:b/>
                <w:bCs/>
                <w:sz w:val="20"/>
                <w:szCs w:val="20"/>
              </w:rPr>
              <w:t xml:space="preserve">Institution</w:t>
            </w:r>
          </w:p>
        </w:tc>
        <w:tc>
          <w:tcPr>
            <w:tcW w:type="dxa" w:w="6800"/>
            <w:tcMar>
              <w:top w:type="dxa" w:w="120"/>
              <w:left w:type="dxa" w:w="140"/>
              <w:bottom w:type="dxa" w:w="120"/>
              <w:right w:type="dxa" w:w="140"/>
            </w:tcMar>
            <w:vAlign w:val="center"/>
          </w:tcPr>
          <w:p>
            <w:pPr>
              <w:spacing w:after="40" w:line="250"/>
            </w:pPr>
            <w:r>
              <w:rPr>
                <w:rFonts w:ascii="Calibri" w:cs="Calibri" w:eastAsia="Calibri" w:hAnsi="Calibri"/>
                <w:sz w:val="20"/>
                <w:szCs w:val="20"/>
              </w:rPr>
              <w:t xml:space="preserve">[Institution / College Name]</w:t>
            </w:r>
          </w:p>
        </w:tc>
      </w:tr>
      <w:tr>
        <w:tc>
          <w:tcPr>
            <w:tcW w:type="dxa" w:w="2600"/>
            <w:shd w:fill="DCE6F1" w:val="clear"/>
            <w:tcMar>
              <w:top w:type="dxa" w:w="120"/>
              <w:left w:type="dxa" w:w="140"/>
              <w:bottom w:type="dxa" w:w="120"/>
              <w:right w:type="dxa" w:w="140"/>
            </w:tcMar>
            <w:vAlign w:val="center"/>
          </w:tcPr>
          <w:p>
            <w:pPr>
              <w:spacing w:after="40" w:line="250"/>
            </w:pPr>
            <w:r>
              <w:rPr>
                <w:rFonts w:ascii="Calibri" w:cs="Calibri" w:eastAsia="Calibri" w:hAnsi="Calibri"/>
                <w:b/>
                <w:bCs/>
                <w:sz w:val="20"/>
                <w:szCs w:val="20"/>
              </w:rPr>
              <w:t xml:space="preserve">Academic Year</w:t>
            </w:r>
          </w:p>
        </w:tc>
        <w:tc>
          <w:tcPr>
            <w:tcW w:type="dxa" w:w="6800"/>
            <w:tcMar>
              <w:top w:type="dxa" w:w="120"/>
              <w:left w:type="dxa" w:w="140"/>
              <w:bottom w:type="dxa" w:w="120"/>
              <w:right w:type="dxa" w:w="140"/>
            </w:tcMar>
            <w:vAlign w:val="center"/>
          </w:tcPr>
          <w:p>
            <w:pPr>
              <w:spacing w:after="40" w:line="250"/>
            </w:pPr>
            <w:r>
              <w:rPr>
                <w:rFonts w:ascii="Calibri" w:cs="Calibri" w:eastAsia="Calibri" w:hAnsi="Calibri"/>
                <w:sz w:val="20"/>
                <w:szCs w:val="20"/>
              </w:rPr>
              <w:t xml:space="preserve">[20XX – 20XX]</w:t>
            </w:r>
          </w:p>
        </w:tc>
      </w:tr>
      <w:tr>
        <w:tc>
          <w:tcPr>
            <w:tcW w:type="dxa" w:w="2600"/>
            <w:shd w:fill="DCE6F1" w:val="clear"/>
            <w:tcMar>
              <w:top w:type="dxa" w:w="120"/>
              <w:left w:type="dxa" w:w="140"/>
              <w:bottom w:type="dxa" w:w="120"/>
              <w:right w:type="dxa" w:w="140"/>
            </w:tcMar>
            <w:vAlign w:val="center"/>
          </w:tcPr>
          <w:p>
            <w:pPr>
              <w:spacing w:after="40" w:line="250"/>
            </w:pPr>
            <w:r>
              <w:rPr>
                <w:rFonts w:ascii="Calibri" w:cs="Calibri" w:eastAsia="Calibri" w:hAnsi="Calibri"/>
                <w:b/>
                <w:bCs/>
                <w:sz w:val="20"/>
                <w:szCs w:val="20"/>
              </w:rPr>
              <w:t xml:space="preserve">Document Version</w:t>
            </w:r>
          </w:p>
        </w:tc>
        <w:tc>
          <w:tcPr>
            <w:tcW w:type="dxa" w:w="6800"/>
            <w:tcMar>
              <w:top w:type="dxa" w:w="120"/>
              <w:left w:type="dxa" w:w="140"/>
              <w:bottom w:type="dxa" w:w="120"/>
              <w:right w:type="dxa" w:w="140"/>
            </w:tcMar>
            <w:vAlign w:val="center"/>
          </w:tcPr>
          <w:p>
            <w:pPr>
              <w:spacing w:after="40" w:line="250"/>
            </w:pPr>
            <w:r>
              <w:rPr>
                <w:rFonts w:ascii="Calibri" w:cs="Calibri" w:eastAsia="Calibri" w:hAnsi="Calibri"/>
                <w:sz w:val="20"/>
                <w:szCs w:val="20"/>
              </w:rPr>
              <w:t xml:space="preserve">1.0 (Week 3 Submission)</w:t>
            </w:r>
          </w:p>
        </w:tc>
      </w:tr>
      <w:tr>
        <w:tc>
          <w:tcPr>
            <w:tcW w:type="dxa" w:w="2600"/>
            <w:shd w:fill="DCE6F1" w:val="clear"/>
            <w:tcMar>
              <w:top w:type="dxa" w:w="120"/>
              <w:left w:type="dxa" w:w="140"/>
              <w:bottom w:type="dxa" w:w="120"/>
              <w:right w:type="dxa" w:w="140"/>
            </w:tcMar>
            <w:vAlign w:val="center"/>
          </w:tcPr>
          <w:p>
            <w:pPr>
              <w:spacing w:after="40" w:line="250"/>
            </w:pPr>
            <w:r>
              <w:rPr>
                <w:rFonts w:ascii="Calibri" w:cs="Calibri" w:eastAsia="Calibri" w:hAnsi="Calibri"/>
                <w:b/>
                <w:bCs/>
                <w:sz w:val="20"/>
                <w:szCs w:val="20"/>
              </w:rPr>
              <w:t xml:space="preserve">Submission Date</w:t>
            </w:r>
          </w:p>
        </w:tc>
        <w:tc>
          <w:tcPr>
            <w:tcW w:type="dxa" w:w="6800"/>
            <w:tcMar>
              <w:top w:type="dxa" w:w="120"/>
              <w:left w:type="dxa" w:w="140"/>
              <w:bottom w:type="dxa" w:w="120"/>
              <w:right w:type="dxa" w:w="140"/>
            </w:tcMar>
            <w:vAlign w:val="center"/>
          </w:tcPr>
          <w:p>
            <w:pPr>
              <w:spacing w:after="40" w:line="250"/>
            </w:pPr>
            <w:r>
              <w:rPr>
                <w:rFonts w:ascii="Calibri" w:cs="Calibri" w:eastAsia="Calibri" w:hAnsi="Calibri"/>
                <w:sz w:val="20"/>
                <w:szCs w:val="20"/>
              </w:rPr>
              <w:t xml:space="preserve">[DD / MM / YYYY]</w:t>
            </w:r>
          </w:p>
        </w:tc>
      </w:tr>
    </w:tbl>
    <w:p>
      <w:r>
        <w:br w:type="page"/>
      </w:r>
    </w:p>
    <w:p>
      <w:pPr>
        <w:pStyle w:val="Heading1"/>
        <w:pBdr>
          <w:bottom w:val="single" w:color="1F4E79" w:sz="6" w:space="4"/>
        </w:pBdr>
        <w:spacing w:after="200" w:before="360"/>
      </w:pPr>
      <w:r>
        <w:rPr>
          <w:rFonts w:ascii="Calibri" w:cs="Calibri" w:eastAsia="Calibri" w:hAnsi="Calibri"/>
          <w:b/>
          <w:bCs/>
          <w:color w:val="1F4E79"/>
          <w:sz w:val="30"/>
          <w:szCs w:val="30"/>
        </w:rPr>
        <w:t xml:space="preserve">Document Control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Field</w:t>
            </w:r>
          </w:p>
        </w:tc>
        <w:tc>
          <w:tcPr>
            <w:tcW w:type="dxa" w:w="68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Value</w:t>
            </w:r>
          </w:p>
        </w:tc>
      </w:tr>
      <w:tr>
        <w:tc>
          <w:tcPr>
            <w:tcW w:type="dxa" w:w="26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Version</w:t>
            </w:r>
          </w:p>
        </w:tc>
        <w:tc>
          <w:tcPr>
            <w:tcW w:type="dxa" w:w="68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1.0</w:t>
            </w:r>
          </w:p>
        </w:tc>
      </w:tr>
      <w:tr>
        <w:tc>
          <w:tcPr>
            <w:tcW w:type="dxa" w:w="26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Date</w:t>
            </w:r>
          </w:p>
        </w:tc>
        <w:tc>
          <w:tcPr>
            <w:tcW w:type="dxa" w:w="68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[DD / MM / YYYY]</w:t>
            </w:r>
          </w:p>
        </w:tc>
      </w:tr>
      <w:tr>
        <w:tc>
          <w:tcPr>
            <w:tcW w:type="dxa" w:w="26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Prepared By</w:t>
            </w:r>
          </w:p>
        </w:tc>
        <w:tc>
          <w:tcPr>
            <w:tcW w:type="dxa" w:w="68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[Project Team — Student Names]</w:t>
            </w:r>
          </w:p>
        </w:tc>
      </w:tr>
      <w:tr>
        <w:tc>
          <w:tcPr>
            <w:tcW w:type="dxa" w:w="26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Reviewed By</w:t>
            </w:r>
          </w:p>
        </w:tc>
        <w:tc>
          <w:tcPr>
            <w:tcW w:type="dxa" w:w="68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[Faculty Guide Name]</w:t>
            </w:r>
          </w:p>
        </w:tc>
      </w:tr>
      <w:tr>
        <w:tc>
          <w:tcPr>
            <w:tcW w:type="dxa" w:w="26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Status</w:t>
            </w:r>
          </w:p>
        </w:tc>
        <w:tc>
          <w:tcPr>
            <w:tcW w:type="dxa" w:w="68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Draft — submitted for Week 3 academic evaluation</w:t>
            </w:r>
          </w:p>
        </w:tc>
      </w:tr>
    </w:tbl>
    <w:p>
      <w:pPr>
        <w:spacing w:after="160"/>
      </w:pPr>
    </w:p>
    <w:p>
      <w:pPr>
        <w:spacing w:after="160" w:line="276"/>
        <w:jc w:val="both"/>
      </w:pPr>
      <w:r>
        <w:rPr>
          <w:rFonts w:ascii="Calibri" w:cs="Calibri" w:eastAsia="Calibri" w:hAnsi="Calibri"/>
          <w:sz w:val="22"/>
          <w:szCs w:val="22"/>
        </w:rPr>
        <w:t xml:space="preserve">This SRS builds directly upon the Week 1 Problem Definition and Scope document and the Week 2 Agile Planning and DevOps Workflow document. It does not redefine project scope; it formalises the MVP, user stories, and acceptance criteria already established into a structured requirements specification, prior to the start of implementation.</w:t>
      </w:r>
    </w:p>
    <w:p>
      <w:pPr>
        <w:pStyle w:val="Heading1"/>
        <w:pBdr>
          <w:bottom w:val="single" w:color="1F4E79" w:sz="6" w:space="4"/>
        </w:pBdr>
        <w:spacing w:after="200" w:before="360"/>
      </w:pPr>
      <w:r>
        <w:rPr>
          <w:rFonts w:ascii="Calibri" w:cs="Calibri" w:eastAsia="Calibri" w:hAnsi="Calibri"/>
          <w:b/>
          <w:bCs/>
          <w:color w:val="1F4E79"/>
          <w:sz w:val="30"/>
          <w:szCs w:val="30"/>
        </w:rPr>
        <w:t xml:space="preserve">1. Introduction</w:t>
      </w:r>
    </w:p>
    <w:p>
      <w:pPr>
        <w:pStyle w:val="Heading2"/>
        <w:spacing w:after="140" w:before="260"/>
      </w:pPr>
      <w:r>
        <w:rPr>
          <w:rFonts w:ascii="Calibri" w:cs="Calibri" w:eastAsia="Calibri" w:hAnsi="Calibri"/>
          <w:b/>
          <w:bCs/>
          <w:color w:val="1F4E79"/>
          <w:sz w:val="24"/>
          <w:szCs w:val="24"/>
        </w:rPr>
        <w:t xml:space="preserve">1.1 Purpose</w:t>
      </w:r>
    </w:p>
    <w:p>
      <w:pPr>
        <w:spacing w:after="160" w:line="276"/>
        <w:jc w:val="both"/>
      </w:pPr>
      <w:r>
        <w:rPr>
          <w:rFonts w:ascii="Calibri" w:cs="Calibri" w:eastAsia="Calibri" w:hAnsi="Calibri"/>
          <w:sz w:val="22"/>
          <w:szCs w:val="22"/>
        </w:rPr>
        <w:t xml:space="preserve">The purpose of this document is to specify, in a structured and verifiable form, what the IT Service Desk Portal must do. It defines the system's functional and non-functional requirements, business rules, data requirements, and interface expectations, so that development (beginning in the weeks following this document) proceeds against a shared, unambiguous definition of the required behaviour. This SRS describes WHAT the system must do; it deliberately does not describe HOW the system will be built — detailed software architecture, database schema design, and deployment/infrastructure architecture are addressed in separate documents later in the project.</w:t>
      </w:r>
    </w:p>
    <w:p>
      <w:pPr>
        <w:pStyle w:val="Heading2"/>
        <w:spacing w:after="140" w:before="260"/>
      </w:pPr>
      <w:r>
        <w:rPr>
          <w:rFonts w:ascii="Calibri" w:cs="Calibri" w:eastAsia="Calibri" w:hAnsi="Calibri"/>
          <w:b/>
          <w:bCs/>
          <w:color w:val="1F4E79"/>
          <w:sz w:val="24"/>
          <w:szCs w:val="24"/>
        </w:rPr>
        <w:t xml:space="preserve">1.2 Scope</w:t>
      </w:r>
    </w:p>
    <w:p>
      <w:pPr>
        <w:spacing w:after="160" w:line="276"/>
        <w:jc w:val="both"/>
      </w:pPr>
      <w:r>
        <w:rPr>
          <w:rFonts w:ascii="Calibri" w:cs="Calibri" w:eastAsia="Calibri" w:hAnsi="Calibri"/>
          <w:sz w:val="22"/>
          <w:szCs w:val="22"/>
        </w:rPr>
        <w:t xml:space="preserve">This SRS covers the IT Service Desk Portal application only — the ticket-management web application used by Employees, IT Support Staff, and Administrators. It does not specify requirements for the DevOps/CI-CD pipeline (Git/GitHub workflow, Jenkins pipeline stages, Selenium test design, Docker image structure, or Ansible/Puppet configuration); those remain governed by the DevOps workflow defined in the Week 2 document and will be elaborated in their own technical design documents. The application requirements documented here are limited to the MVP feature set established in Week 1: ticket creation, viewing, updating, and searching; a role-based ticket status workflow; and a summary dashboard.</w:t>
      </w:r>
    </w:p>
    <w:p>
      <w:pPr>
        <w:pStyle w:val="Heading2"/>
        <w:spacing w:after="140" w:before="260"/>
      </w:pPr>
      <w:r>
        <w:rPr>
          <w:rFonts w:ascii="Calibri" w:cs="Calibri" w:eastAsia="Calibri" w:hAnsi="Calibri"/>
          <w:b/>
          <w:bCs/>
          <w:color w:val="1F4E79"/>
          <w:sz w:val="24"/>
          <w:szCs w:val="24"/>
        </w:rPr>
        <w:t xml:space="preserve">1.3 Intended Audience</w:t>
      </w:r>
    </w:p>
    <w:p>
      <w:pPr>
        <w:pStyle w:val="ListParagraph"/>
        <w:numPr>
          <w:ilvl w:val="0"/>
          <w:numId w:val="2"/>
        </w:numPr>
        <w:spacing w:after="100" w:line="276"/>
      </w:pPr>
      <w:r>
        <w:rPr>
          <w:rFonts w:ascii="Calibri" w:cs="Calibri" w:eastAsia="Calibri" w:hAnsi="Calibri"/>
          <w:sz w:val="22"/>
          <w:szCs w:val="22"/>
        </w:rPr>
        <w:t xml:space="preserve">The project team (developers, tester, DevOps-responsible member, database/API-responsible member, project coordinator), as the primary implementers of this specification.</w:t>
      </w:r>
    </w:p>
    <w:p>
      <w:pPr>
        <w:pStyle w:val="ListParagraph"/>
        <w:numPr>
          <w:ilvl w:val="0"/>
          <w:numId w:val="2"/>
        </w:numPr>
        <w:spacing w:after="100" w:line="276"/>
      </w:pPr>
      <w:r>
        <w:rPr>
          <w:rFonts w:ascii="Calibri" w:cs="Calibri" w:eastAsia="Calibri" w:hAnsi="Calibri"/>
          <w:sz w:val="22"/>
          <w:szCs w:val="22"/>
        </w:rPr>
        <w:t xml:space="preserve">The project guide/faculty, for evaluation of requirement completeness, clarity, and testability.</w:t>
      </w:r>
    </w:p>
    <w:p>
      <w:pPr>
        <w:pStyle w:val="ListParagraph"/>
        <w:numPr>
          <w:ilvl w:val="0"/>
          <w:numId w:val="2"/>
        </w:numPr>
        <w:spacing w:after="100" w:line="276"/>
      </w:pPr>
      <w:r>
        <w:rPr>
          <w:rFonts w:ascii="Calibri" w:cs="Calibri" w:eastAsia="Calibri" w:hAnsi="Calibri"/>
          <w:sz w:val="22"/>
          <w:szCs w:val="22"/>
        </w:rPr>
        <w:t xml:space="preserve">Any future reader of the project documentation seeking to understand what the IT Service Desk Portal is required to do, independent of how it was implemented.</w:t>
      </w:r>
    </w:p>
    <w:p>
      <w:pPr>
        <w:pStyle w:val="Heading2"/>
        <w:spacing w:after="140" w:before="260"/>
      </w:pPr>
      <w:r>
        <w:rPr>
          <w:rFonts w:ascii="Calibri" w:cs="Calibri" w:eastAsia="Calibri" w:hAnsi="Calibri"/>
          <w:b/>
          <w:bCs/>
          <w:color w:val="1F4E79"/>
          <w:sz w:val="24"/>
          <w:szCs w:val="24"/>
        </w:rPr>
        <w:t xml:space="preserve">1.4 Definitions and Terminology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Term</w:t>
            </w:r>
          </w:p>
        </w:tc>
        <w:tc>
          <w:tcPr>
            <w:tcW w:type="dxa" w:w="74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Definition</w:t>
            </w:r>
          </w:p>
        </w:tc>
      </w:tr>
      <w:tr>
        <w:tc>
          <w:tcPr>
            <w:tcW w:type="dxa" w:w="22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Ticket</w:t>
            </w:r>
          </w:p>
        </w:tc>
        <w:tc>
          <w:tcPr>
            <w:tcW w:type="dxa" w:w="74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A record created by an Employee describing a single IT issue, tracked through the system until resolution and closure.</w:t>
            </w:r>
          </w:p>
        </w:tc>
      </w:tr>
      <w:tr>
        <w:tc>
          <w:tcPr>
            <w:tcW w:type="dxa" w:w="22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MVP</w:t>
            </w:r>
          </w:p>
        </w:tc>
        <w:tc>
          <w:tcPr>
            <w:tcW w:type="dxa" w:w="74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Minimum Viable Product — the smallest set of features defined in the Week 1 scope document required for the portal to be meaningfully usable.</w:t>
            </w:r>
          </w:p>
        </w:tc>
      </w:tr>
      <w:tr>
        <w:tc>
          <w:tcPr>
            <w:tcW w:type="dxa" w:w="22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FR</w:t>
            </w:r>
          </w:p>
        </w:tc>
        <w:tc>
          <w:tcPr>
            <w:tcW w:type="dxa" w:w="74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Functional Requirement — a specific, testable behaviour the system must perform, identified with a unique ID (e.g., FR-01).</w:t>
            </w:r>
          </w:p>
        </w:tc>
      </w:tr>
      <w:tr>
        <w:tc>
          <w:tcPr>
            <w:tcW w:type="dxa" w:w="22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NFR</w:t>
            </w:r>
          </w:p>
        </w:tc>
        <w:tc>
          <w:tcPr>
            <w:tcW w:type="dxa" w:w="74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Non-Functional Requirement — a quality attribute (e.g., performance, security) the system must satisfy, identified with a unique ID (e.g., NFR-01).</w:t>
            </w:r>
          </w:p>
        </w:tc>
      </w:tr>
      <w:tr>
        <w:tc>
          <w:tcPr>
            <w:tcW w:type="dxa" w:w="22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Role</w:t>
            </w:r>
          </w:p>
        </w:tc>
        <w:tc>
          <w:tcPr>
            <w:tcW w:type="dxa" w:w="74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One of the three access levels supported by the system: Employee, IT Support Staff, or Administrator.</w:t>
            </w:r>
          </w:p>
        </w:tc>
      </w:tr>
      <w:tr>
        <w:tc>
          <w:tcPr>
            <w:tcW w:type="dxa" w:w="22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Status / Workflow State</w:t>
            </w:r>
          </w:p>
        </w:tc>
        <w:tc>
          <w:tcPr>
            <w:tcW w:type="dxa" w:w="74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current stage of a ticket's lifecycle, such as Open, Assigned, In Progress, Resolved, or Closed.</w:t>
            </w:r>
          </w:p>
        </w:tc>
      </w:tr>
      <w:tr>
        <w:tc>
          <w:tcPr>
            <w:tcW w:type="dxa" w:w="22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Stakeholder</w:t>
            </w:r>
          </w:p>
        </w:tc>
        <w:tc>
          <w:tcPr>
            <w:tcW w:type="dxa" w:w="74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Any party with an interest in the system, as identified in the Week 1 stakeholder table.</w:t>
            </w:r>
          </w:p>
        </w:tc>
      </w:tr>
    </w:tbl>
    <w:p>
      <w:pPr>
        <w:pStyle w:val="Heading2"/>
        <w:spacing w:after="140" w:before="260"/>
      </w:pPr>
      <w:r>
        <w:rPr>
          <w:rFonts w:ascii="Calibri" w:cs="Calibri" w:eastAsia="Calibri" w:hAnsi="Calibri"/>
          <w:b/>
          <w:bCs/>
          <w:color w:val="1F4E79"/>
          <w:sz w:val="24"/>
          <w:szCs w:val="24"/>
        </w:rPr>
        <w:t xml:space="preserve">1.5 References / Assumptions</w:t>
      </w:r>
    </w:p>
    <w:p>
      <w:pPr>
        <w:pStyle w:val="ListParagraph"/>
        <w:numPr>
          <w:ilvl w:val="0"/>
          <w:numId w:val="2"/>
        </w:numPr>
        <w:spacing w:after="100" w:line="276"/>
      </w:pPr>
      <w:r>
        <w:rPr>
          <w:rFonts w:ascii="Calibri" w:cs="Calibri" w:eastAsia="Calibri" w:hAnsi="Calibri"/>
          <w:sz w:val="22"/>
          <w:szCs w:val="22"/>
        </w:rPr>
        <w:t xml:space="preserve">Week 1 — Problem Definition and Scope Document (problem statement, stakeholders, objectives, in-/out-of-scope items, MVP definition).</w:t>
      </w:r>
    </w:p>
    <w:p>
      <w:pPr>
        <w:pStyle w:val="ListParagraph"/>
        <w:numPr>
          <w:ilvl w:val="0"/>
          <w:numId w:val="2"/>
        </w:numPr>
        <w:spacing w:after="100" w:line="276"/>
      </w:pPr>
      <w:r>
        <w:rPr>
          <w:rFonts w:ascii="Calibri" w:cs="Calibri" w:eastAsia="Calibri" w:hAnsi="Calibri"/>
          <w:sz w:val="22"/>
          <w:szCs w:val="22"/>
        </w:rPr>
        <w:t xml:space="preserve">Week 2 — Agile Planning and DevOps Workflow Document (user stories US-01–US-12, acceptance criteria, product backlog PB-01–PB-15, DevOps lifecycle).</w:t>
      </w:r>
    </w:p>
    <w:p>
      <w:pPr>
        <w:pStyle w:val="ListParagraph"/>
        <w:numPr>
          <w:ilvl w:val="0"/>
          <w:numId w:val="2"/>
        </w:numPr>
        <w:spacing w:after="100" w:line="276"/>
      </w:pPr>
      <w:r>
        <w:rPr>
          <w:rFonts w:ascii="Calibri" w:cs="Calibri" w:eastAsia="Calibri" w:hAnsi="Calibri"/>
          <w:sz w:val="22"/>
          <w:szCs w:val="22"/>
        </w:rPr>
        <w:t xml:space="preserve">This SRS assumes those two documents remain the authoritative source of project scope; where this document elaborates a requirement (for example, the addition of an explicit "Assigned" workflow state — see Section 3.3), it does so as a refinement within the existing MVP boundary, not as new scope.</w:t>
      </w:r>
    </w:p>
    <w:p>
      <w:pPr>
        <w:pStyle w:val="Heading1"/>
        <w:pBdr>
          <w:bottom w:val="single" w:color="1F4E79" w:sz="6" w:space="4"/>
        </w:pBdr>
        <w:spacing w:after="200" w:before="360"/>
      </w:pPr>
      <w:r>
        <w:rPr>
          <w:rFonts w:ascii="Calibri" w:cs="Calibri" w:eastAsia="Calibri" w:hAnsi="Calibri"/>
          <w:b/>
          <w:bCs/>
          <w:color w:val="1F4E79"/>
          <w:sz w:val="30"/>
          <w:szCs w:val="30"/>
        </w:rPr>
        <w:t xml:space="preserve">2. Overall Description</w:t>
      </w:r>
    </w:p>
    <w:p>
      <w:pPr>
        <w:pStyle w:val="Heading2"/>
        <w:spacing w:after="140" w:before="260"/>
      </w:pPr>
      <w:r>
        <w:rPr>
          <w:rFonts w:ascii="Calibri" w:cs="Calibri" w:eastAsia="Calibri" w:hAnsi="Calibri"/>
          <w:b/>
          <w:bCs/>
          <w:color w:val="1F4E79"/>
          <w:sz w:val="24"/>
          <w:szCs w:val="24"/>
        </w:rPr>
        <w:t xml:space="preserve">2.1 Product Perspective</w:t>
      </w:r>
    </w:p>
    <w:p>
      <w:pPr>
        <w:spacing w:after="160" w:line="276"/>
        <w:jc w:val="both"/>
      </w:pPr>
      <w:r>
        <w:rPr>
          <w:rFonts w:ascii="Calibri" w:cs="Calibri" w:eastAsia="Calibri" w:hAnsi="Calibri"/>
          <w:sz w:val="22"/>
          <w:szCs w:val="22"/>
        </w:rPr>
        <w:t xml:space="preserve">The IT Service Desk Portal is a new, standalone web application; it does not replace or integrate with any existing enterprise ticketing system. It is developed as the application component of a larger academic project whose primary learning objective is the surrounding CI/CD pipeline. The portal is self-contained: it manages its own users, tickets, and categories, and does not depend on external systems such as Active Directory, email servers, or third-party helpdesk platforms.</w:t>
      </w:r>
    </w:p>
    <w:p>
      <w:pPr>
        <w:pStyle w:val="Heading2"/>
        <w:spacing w:after="140" w:before="260"/>
      </w:pPr>
      <w:r>
        <w:rPr>
          <w:rFonts w:ascii="Calibri" w:cs="Calibri" w:eastAsia="Calibri" w:hAnsi="Calibri"/>
          <w:b/>
          <w:bCs/>
          <w:color w:val="1F4E79"/>
          <w:sz w:val="24"/>
          <w:szCs w:val="24"/>
        </w:rPr>
        <w:t xml:space="preserve">2.2 Product Functions</w:t>
      </w:r>
    </w:p>
    <w:p>
      <w:pPr>
        <w:spacing w:after="160" w:line="276"/>
        <w:jc w:val="both"/>
      </w:pPr>
      <w:r>
        <w:rPr>
          <w:rFonts w:ascii="Calibri" w:cs="Calibri" w:eastAsia="Calibri" w:hAnsi="Calibri"/>
          <w:sz w:val="22"/>
          <w:szCs w:val="22"/>
        </w:rPr>
        <w:t xml:space="preserve">At a high level, the system provides the following functions, each elaborated into detailed functional requirements in Section 3:</w:t>
      </w:r>
    </w:p>
    <w:p>
      <w:pPr>
        <w:pStyle w:val="ListParagraph"/>
        <w:numPr>
          <w:ilvl w:val="0"/>
          <w:numId w:val="2"/>
        </w:numPr>
        <w:spacing w:after="100" w:line="276"/>
      </w:pPr>
      <w:r>
        <w:rPr>
          <w:rFonts w:ascii="Calibri" w:cs="Calibri" w:eastAsia="Calibri" w:hAnsi="Calibri"/>
          <w:sz w:val="22"/>
          <w:szCs w:val="22"/>
        </w:rPr>
        <w:t xml:space="preserve">User authentication and role-based access control.</w:t>
      </w:r>
    </w:p>
    <w:p>
      <w:pPr>
        <w:pStyle w:val="ListParagraph"/>
        <w:numPr>
          <w:ilvl w:val="0"/>
          <w:numId w:val="2"/>
        </w:numPr>
        <w:spacing w:after="100" w:line="276"/>
      </w:pPr>
      <w:r>
        <w:rPr>
          <w:rFonts w:ascii="Calibri" w:cs="Calibri" w:eastAsia="Calibri" w:hAnsi="Calibri"/>
          <w:sz w:val="22"/>
          <w:szCs w:val="22"/>
        </w:rPr>
        <w:t xml:space="preserve">Creation, viewing, updating, and searching of IT support tickets.</w:t>
      </w:r>
    </w:p>
    <w:p>
      <w:pPr>
        <w:pStyle w:val="ListParagraph"/>
        <w:numPr>
          <w:ilvl w:val="0"/>
          <w:numId w:val="2"/>
        </w:numPr>
        <w:spacing w:after="100" w:line="276"/>
      </w:pPr>
      <w:r>
        <w:rPr>
          <w:rFonts w:ascii="Calibri" w:cs="Calibri" w:eastAsia="Calibri" w:hAnsi="Calibri"/>
          <w:sz w:val="22"/>
          <w:szCs w:val="22"/>
        </w:rPr>
        <w:t xml:space="preserve">A defined ticket status workflow with role-restricted transitions.</w:t>
      </w:r>
    </w:p>
    <w:p>
      <w:pPr>
        <w:pStyle w:val="ListParagraph"/>
        <w:numPr>
          <w:ilvl w:val="0"/>
          <w:numId w:val="2"/>
        </w:numPr>
        <w:spacing w:after="100" w:line="276"/>
      </w:pPr>
      <w:r>
        <w:rPr>
          <w:rFonts w:ascii="Calibri" w:cs="Calibri" w:eastAsia="Calibri" w:hAnsi="Calibri"/>
          <w:sz w:val="22"/>
          <w:szCs w:val="22"/>
        </w:rPr>
        <w:t xml:space="preserve">A summary dashboard presenting aggregated ticket metrics.</w:t>
      </w:r>
    </w:p>
    <w:p>
      <w:pPr>
        <w:pStyle w:val="ListParagraph"/>
        <w:numPr>
          <w:ilvl w:val="0"/>
          <w:numId w:val="2"/>
        </w:numPr>
        <w:spacing w:after="100" w:line="276"/>
      </w:pPr>
      <w:r>
        <w:rPr>
          <w:rFonts w:ascii="Calibri" w:cs="Calibri" w:eastAsia="Calibri" w:hAnsi="Calibri"/>
          <w:sz w:val="22"/>
          <w:szCs w:val="22"/>
        </w:rPr>
        <w:t xml:space="preserve">Administrative management of user accounts.</w:t>
      </w:r>
    </w:p>
    <w:p>
      <w:pPr>
        <w:pStyle w:val="Heading2"/>
        <w:spacing w:after="140" w:before="260"/>
      </w:pPr>
      <w:r>
        <w:rPr>
          <w:rFonts w:ascii="Calibri" w:cs="Calibri" w:eastAsia="Calibri" w:hAnsi="Calibri"/>
          <w:b/>
          <w:bCs/>
          <w:color w:val="1F4E79"/>
          <w:sz w:val="24"/>
          <w:szCs w:val="24"/>
        </w:rPr>
        <w:t xml:space="preserve">2.3 User Classes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600"/>
      </w:tblGrid>
      <w:tr>
        <w:trPr>
          <w:tblHeader/>
        </w:trPr>
        <w:tc>
          <w:tcPr>
            <w:tcW w:type="dxa" w:w="18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User Class</w:t>
            </w:r>
          </w:p>
        </w:tc>
        <w:tc>
          <w:tcPr>
            <w:tcW w:type="dxa" w:w="48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Description</w:t>
            </w:r>
          </w:p>
        </w:tc>
        <w:tc>
          <w:tcPr>
            <w:tcW w:type="dxa" w:w="26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Technical Expertise Expected</w:t>
            </w:r>
          </w:p>
        </w:tc>
      </w:tr>
      <w:tr>
        <w:tc>
          <w:tcPr>
            <w:tcW w:type="dxa" w:w="18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Employee</w:t>
            </w:r>
          </w:p>
        </w:tc>
        <w:tc>
          <w:tcPr>
            <w:tcW w:type="dxa" w:w="48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General staff member who raises tickets for IT issues encountered during their work and tracks their own tickets.</w:t>
            </w:r>
          </w:p>
        </w:tc>
        <w:tc>
          <w:tcPr>
            <w:tcW w:type="dxa" w:w="26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Basic computer literacy; no technical/IT background assumed.</w:t>
            </w:r>
          </w:p>
        </w:tc>
      </w:tr>
      <w:tr>
        <w:tc>
          <w:tcPr>
            <w:tcW w:type="dxa" w:w="18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IT Support Staff</w:t>
            </w:r>
          </w:p>
        </w:tc>
        <w:tc>
          <w:tcPr>
            <w:tcW w:type="dxa" w:w="48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Handles the ticket queue: investigates, updates status, and resolves tickets raised by Employees.</w:t>
            </w:r>
          </w:p>
        </w:tc>
        <w:tc>
          <w:tcPr>
            <w:tcW w:type="dxa" w:w="26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Working technical familiarity with common IT issues; comfortable with web applications.</w:t>
            </w:r>
          </w:p>
        </w:tc>
      </w:tr>
      <w:tr>
        <w:tc>
          <w:tcPr>
            <w:tcW w:type="dxa" w:w="18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Administrator</w:t>
            </w:r>
          </w:p>
        </w:tc>
        <w:tc>
          <w:tcPr>
            <w:tcW w:type="dxa" w:w="48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Oversees the system: manages user accounts, has full ticket visibility, and monitors the dashboard.</w:t>
            </w:r>
          </w:p>
        </w:tc>
        <w:tc>
          <w:tcPr>
            <w:tcW w:type="dxa" w:w="26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Highest familiarity with the system as a whole; may also perform IT Support Staff duties.</w:t>
            </w:r>
          </w:p>
        </w:tc>
      </w:tr>
    </w:tbl>
    <w:p>
      <w:pPr>
        <w:pStyle w:val="Heading2"/>
        <w:spacing w:after="140" w:before="260"/>
      </w:pPr>
      <w:r>
        <w:rPr>
          <w:rFonts w:ascii="Calibri" w:cs="Calibri" w:eastAsia="Calibri" w:hAnsi="Calibri"/>
          <w:b/>
          <w:bCs/>
          <w:color w:val="1F4E79"/>
          <w:sz w:val="24"/>
          <w:szCs w:val="24"/>
        </w:rPr>
        <w:t xml:space="preserve">2.4 Operating Environment</w:t>
      </w:r>
    </w:p>
    <w:p>
      <w:pPr>
        <w:pStyle w:val="ListParagraph"/>
        <w:numPr>
          <w:ilvl w:val="0"/>
          <w:numId w:val="2"/>
        </w:numPr>
        <w:spacing w:after="100" w:line="276"/>
      </w:pPr>
      <w:r>
        <w:rPr>
          <w:rFonts w:ascii="Calibri" w:cs="Calibri" w:eastAsia="Calibri" w:hAnsi="Calibri"/>
          <w:sz w:val="22"/>
          <w:szCs w:val="22"/>
        </w:rPr>
        <w:t xml:space="preserve">The system is a web application accessed through a standard desktop or laptop web browser; no native mobile application is in scope (as per the Week 1 out-of-scope list).</w:t>
      </w:r>
    </w:p>
    <w:p>
      <w:pPr>
        <w:pStyle w:val="ListParagraph"/>
        <w:numPr>
          <w:ilvl w:val="0"/>
          <w:numId w:val="2"/>
        </w:numPr>
        <w:spacing w:after="100" w:line="276"/>
      </w:pPr>
      <w:r>
        <w:rPr>
          <w:rFonts w:ascii="Calibri" w:cs="Calibri" w:eastAsia="Calibri" w:hAnsi="Calibri"/>
          <w:sz w:val="22"/>
          <w:szCs w:val="22"/>
        </w:rPr>
        <w:t xml:space="preserve">The application is expected to run on a single server/virtual machine environment suitable for an academic deployment, and — from the relevant project week onward — inside a Docker container as defined by the DevOps workflow.</w:t>
      </w:r>
    </w:p>
    <w:p>
      <w:pPr>
        <w:pStyle w:val="ListParagraph"/>
        <w:numPr>
          <w:ilvl w:val="0"/>
          <w:numId w:val="2"/>
        </w:numPr>
        <w:spacing w:after="100" w:line="276"/>
      </w:pPr>
      <w:r>
        <w:rPr>
          <w:rFonts w:ascii="Calibri" w:cs="Calibri" w:eastAsia="Calibri" w:hAnsi="Calibri"/>
          <w:sz w:val="22"/>
          <w:szCs w:val="22"/>
        </w:rPr>
        <w:t xml:space="preserve">The exact runtime platform, programming language, and framework are implementation decisions to be finalised in the technical design phase and are outside the scope of this document.</w:t>
      </w:r>
    </w:p>
    <w:p>
      <w:pPr>
        <w:pStyle w:val="Heading2"/>
        <w:spacing w:after="140" w:before="260"/>
      </w:pPr>
      <w:r>
        <w:rPr>
          <w:rFonts w:ascii="Calibri" w:cs="Calibri" w:eastAsia="Calibri" w:hAnsi="Calibri"/>
          <w:b/>
          <w:bCs/>
          <w:color w:val="1F4E79"/>
          <w:sz w:val="24"/>
          <w:szCs w:val="24"/>
        </w:rPr>
        <w:t xml:space="preserve">2.5 Constraints</w:t>
      </w:r>
    </w:p>
    <w:p>
      <w:pPr>
        <w:pStyle w:val="ListParagraph"/>
        <w:numPr>
          <w:ilvl w:val="0"/>
          <w:numId w:val="2"/>
        </w:numPr>
        <w:spacing w:after="100" w:line="276"/>
      </w:pPr>
      <w:r>
        <w:rPr>
          <w:rFonts w:ascii="Calibri" w:cs="Calibri" w:eastAsia="Calibri" w:hAnsi="Calibri"/>
          <w:sz w:val="22"/>
          <w:szCs w:val="22"/>
        </w:rPr>
        <w:t xml:space="preserve">The system must be implementable by a small student team within the remaining academic weeks of a 15-week project.</w:t>
      </w:r>
    </w:p>
    <w:p>
      <w:pPr>
        <w:pStyle w:val="ListParagraph"/>
        <w:numPr>
          <w:ilvl w:val="0"/>
          <w:numId w:val="2"/>
        </w:numPr>
        <w:spacing w:after="100" w:line="276"/>
      </w:pPr>
      <w:r>
        <w:rPr>
          <w:rFonts w:ascii="Calibri" w:cs="Calibri" w:eastAsia="Calibri" w:hAnsi="Calibri"/>
          <w:sz w:val="22"/>
          <w:szCs w:val="22"/>
        </w:rPr>
        <w:t xml:space="preserve">Only free or open-source technologies may be used, consistent with the Week 1 resource constraint.</w:t>
      </w:r>
    </w:p>
    <w:p>
      <w:pPr>
        <w:pStyle w:val="ListParagraph"/>
        <w:numPr>
          <w:ilvl w:val="0"/>
          <w:numId w:val="2"/>
        </w:numPr>
        <w:spacing w:after="100" w:line="276"/>
      </w:pPr>
      <w:r>
        <w:rPr>
          <w:rFonts w:ascii="Calibri" w:cs="Calibri" w:eastAsia="Calibri" w:hAnsi="Calibri"/>
          <w:sz w:val="22"/>
          <w:szCs w:val="22"/>
        </w:rPr>
        <w:t xml:space="preserve">The application must be compatible with containerisation via Docker and automated testing via Selenium, since both are required later in the project timeline.</w:t>
      </w:r>
    </w:p>
    <w:p>
      <w:pPr>
        <w:pStyle w:val="Heading2"/>
        <w:spacing w:after="140" w:before="260"/>
      </w:pPr>
      <w:r>
        <w:rPr>
          <w:rFonts w:ascii="Calibri" w:cs="Calibri" w:eastAsia="Calibri" w:hAnsi="Calibri"/>
          <w:b/>
          <w:bCs/>
          <w:color w:val="1F4E79"/>
          <w:sz w:val="24"/>
          <w:szCs w:val="24"/>
        </w:rPr>
        <w:t xml:space="preserve">2.6 Assumptions</w:t>
      </w:r>
    </w:p>
    <w:p>
      <w:pPr>
        <w:pStyle w:val="ListParagraph"/>
        <w:numPr>
          <w:ilvl w:val="0"/>
          <w:numId w:val="2"/>
        </w:numPr>
        <w:spacing w:after="100" w:line="276"/>
      </w:pPr>
      <w:r>
        <w:rPr>
          <w:rFonts w:ascii="Calibri" w:cs="Calibri" w:eastAsia="Calibri" w:hAnsi="Calibri"/>
          <w:sz w:val="22"/>
          <w:szCs w:val="22"/>
        </w:rPr>
        <w:t xml:space="preserve">A single hypothetical organisation is assumed as the operating context, consistent with the Week 1 assumptions; the system is not being built for a real, live organisation.</w:t>
      </w:r>
    </w:p>
    <w:p>
      <w:pPr>
        <w:pStyle w:val="ListParagraph"/>
        <w:numPr>
          <w:ilvl w:val="0"/>
          <w:numId w:val="2"/>
        </w:numPr>
        <w:spacing w:after="100" w:line="276"/>
      </w:pPr>
      <w:r>
        <w:rPr>
          <w:rFonts w:ascii="Calibri" w:cs="Calibri" w:eastAsia="Calibri" w:hAnsi="Calibri"/>
          <w:sz w:val="22"/>
          <w:szCs w:val="22"/>
        </w:rPr>
        <w:t xml:space="preserve">Users are provisioned with accounts by an Administrator; self-registration by Employees is not assumed to be in scope unless specified otherwise in a later design document.</w:t>
      </w:r>
    </w:p>
    <w:p>
      <w:pPr>
        <w:pStyle w:val="ListParagraph"/>
        <w:numPr>
          <w:ilvl w:val="0"/>
          <w:numId w:val="2"/>
        </w:numPr>
        <w:spacing w:after="100" w:line="276"/>
      </w:pPr>
      <w:r>
        <w:rPr>
          <w:rFonts w:ascii="Calibri" w:cs="Calibri" w:eastAsia="Calibri" w:hAnsi="Calibri"/>
          <w:sz w:val="22"/>
          <w:szCs w:val="22"/>
        </w:rPr>
        <w:t xml:space="preserve">Network connectivity between users and the hosted application is assumed to be available and is not itself a system requirement.</w:t>
      </w:r>
    </w:p>
    <w:p>
      <w:pPr>
        <w:pStyle w:val="Heading2"/>
        <w:spacing w:after="140" w:before="260"/>
      </w:pPr>
      <w:r>
        <w:rPr>
          <w:rFonts w:ascii="Calibri" w:cs="Calibri" w:eastAsia="Calibri" w:hAnsi="Calibri"/>
          <w:b/>
          <w:bCs/>
          <w:color w:val="1F4E79"/>
          <w:sz w:val="24"/>
          <w:szCs w:val="24"/>
        </w:rPr>
        <w:t xml:space="preserve">2.7 Dependencies</w:t>
      </w:r>
    </w:p>
    <w:p>
      <w:pPr>
        <w:pStyle w:val="ListParagraph"/>
        <w:numPr>
          <w:ilvl w:val="0"/>
          <w:numId w:val="2"/>
        </w:numPr>
        <w:spacing w:after="100" w:line="276"/>
      </w:pPr>
      <w:r>
        <w:rPr>
          <w:rFonts w:ascii="Calibri" w:cs="Calibri" w:eastAsia="Calibri" w:hAnsi="Calibri"/>
          <w:sz w:val="22"/>
          <w:szCs w:val="22"/>
        </w:rPr>
        <w:t xml:space="preserve">The application's testability depends on the automated Selenium test cases planned in the Week 2 backlog (PB-10), which in turn depend on the functional requirements in this document being stable before test scripts are written.</w:t>
      </w:r>
    </w:p>
    <w:p>
      <w:pPr>
        <w:pStyle w:val="ListParagraph"/>
        <w:numPr>
          <w:ilvl w:val="0"/>
          <w:numId w:val="2"/>
        </w:numPr>
        <w:spacing w:after="100" w:line="276"/>
      </w:pPr>
      <w:r>
        <w:rPr>
          <w:rFonts w:ascii="Calibri" w:cs="Calibri" w:eastAsia="Calibri" w:hAnsi="Calibri"/>
          <w:sz w:val="22"/>
          <w:szCs w:val="22"/>
        </w:rPr>
        <w:t xml:space="preserve">The application's deployment depends on the Docker and Ansible/Puppet work planned for later weeks (PB-11–PB-13); this SRS assumes that dependency but does not specify it further.</w:t>
      </w:r>
    </w:p>
    <w:p>
      <w:pPr>
        <w:pStyle w:val="Heading1"/>
        <w:pBdr>
          <w:bottom w:val="single" w:color="1F4E79" w:sz="6" w:space="4"/>
        </w:pBdr>
        <w:spacing w:after="200" w:before="360"/>
      </w:pPr>
      <w:r>
        <w:rPr>
          <w:rFonts w:ascii="Calibri" w:cs="Calibri" w:eastAsia="Calibri" w:hAnsi="Calibri"/>
          <w:b/>
          <w:bCs/>
          <w:color w:val="1F4E79"/>
          <w:sz w:val="30"/>
          <w:szCs w:val="30"/>
        </w:rPr>
        <w:t xml:space="preserve">3. Functional Requirements</w:t>
      </w:r>
    </w:p>
    <w:p>
      <w:pPr>
        <w:spacing w:after="160" w:line="276"/>
        <w:jc w:val="both"/>
      </w:pPr>
      <w:r>
        <w:rPr>
          <w:rFonts w:ascii="Calibri" w:cs="Calibri" w:eastAsia="Calibri" w:hAnsi="Calibri"/>
          <w:sz w:val="22"/>
          <w:szCs w:val="22"/>
        </w:rPr>
        <w:t xml:space="preserve">Each functional requirement below is assigned a unique ID and written to be independently testable. Requirements are grouped by feature area, consistent with the MVP defined in Week 1.</w:t>
      </w:r>
    </w:p>
    <w:p>
      <w:pPr>
        <w:pStyle w:val="Heading2"/>
        <w:spacing w:after="140" w:before="260"/>
      </w:pPr>
      <w:r>
        <w:rPr>
          <w:rFonts w:ascii="Calibri" w:cs="Calibri" w:eastAsia="Calibri" w:hAnsi="Calibri"/>
          <w:b/>
          <w:bCs/>
          <w:color w:val="1F4E79"/>
          <w:sz w:val="24"/>
          <w:szCs w:val="24"/>
        </w:rPr>
        <w:t xml:space="preserve">3.1 Authentication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700"/>
      </w:tblGrid>
      <w:tr>
        <w:trPr>
          <w:tblHeader/>
        </w:trPr>
        <w:tc>
          <w:tcPr>
            <w:tcW w:type="dxa" w:w="9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ID</w:t>
            </w:r>
          </w:p>
        </w:tc>
        <w:tc>
          <w:tcPr>
            <w:tcW w:type="dxa" w:w="19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Requirement</w:t>
            </w:r>
          </w:p>
        </w:tc>
        <w:tc>
          <w:tcPr>
            <w:tcW w:type="dxa" w:w="67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Description</w:t>
            </w:r>
          </w:p>
        </w:tc>
      </w:tr>
      <w:tr>
        <w:tc>
          <w:tcPr>
            <w:tcW w:type="dxa" w:w="9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FR-01</w:t>
            </w:r>
          </w:p>
        </w:tc>
        <w:tc>
          <w:tcPr>
            <w:tcW w:type="dxa" w:w="19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Login</w:t>
            </w:r>
          </w:p>
        </w:tc>
        <w:tc>
          <w:tcPr>
            <w:tcW w:type="dxa" w:w="67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system shall allow a registered user to log in by providing a valid username and password, and shall deny access with a clear error message when credentials are invalid.</w:t>
            </w:r>
          </w:p>
        </w:tc>
      </w:tr>
      <w:tr>
        <w:tc>
          <w:tcPr>
            <w:tcW w:type="dxa" w:w="9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FR-02</w:t>
            </w:r>
          </w:p>
        </w:tc>
        <w:tc>
          <w:tcPr>
            <w:tcW w:type="dxa" w:w="19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Logout</w:t>
            </w:r>
          </w:p>
        </w:tc>
        <w:tc>
          <w:tcPr>
            <w:tcW w:type="dxa" w:w="67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system shall allow a logged-in user to log out, terminating their active session so that further access requires re-authentication.</w:t>
            </w:r>
          </w:p>
        </w:tc>
      </w:tr>
      <w:tr>
        <w:tc>
          <w:tcPr>
            <w:tcW w:type="dxa" w:w="9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FR-03</w:t>
            </w:r>
          </w:p>
        </w:tc>
        <w:tc>
          <w:tcPr>
            <w:tcW w:type="dxa" w:w="19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Role-Based Access</w:t>
            </w:r>
          </w:p>
        </w:tc>
        <w:tc>
          <w:tcPr>
            <w:tcW w:type="dxa" w:w="67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system shall determine, at login, the user's role (Employee, IT Support Staff, or Administrator) and shall restrict visible features and data to those permitted for that role, as defined in Section 6 (Business Rules).</w:t>
            </w:r>
          </w:p>
        </w:tc>
      </w:tr>
    </w:tbl>
    <w:p>
      <w:pPr>
        <w:pStyle w:val="Heading2"/>
        <w:spacing w:after="140" w:before="260"/>
      </w:pPr>
      <w:r>
        <w:rPr>
          <w:rFonts w:ascii="Calibri" w:cs="Calibri" w:eastAsia="Calibri" w:hAnsi="Calibri"/>
          <w:b/>
          <w:bCs/>
          <w:color w:val="1F4E79"/>
          <w:sz w:val="24"/>
          <w:szCs w:val="24"/>
        </w:rPr>
        <w:t xml:space="preserve">3.2 Ticket Management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700"/>
      </w:tblGrid>
      <w:tr>
        <w:trPr>
          <w:tblHeader/>
        </w:trPr>
        <w:tc>
          <w:tcPr>
            <w:tcW w:type="dxa" w:w="9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ID</w:t>
            </w:r>
          </w:p>
        </w:tc>
        <w:tc>
          <w:tcPr>
            <w:tcW w:type="dxa" w:w="19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Requirement</w:t>
            </w:r>
          </w:p>
        </w:tc>
        <w:tc>
          <w:tcPr>
            <w:tcW w:type="dxa" w:w="67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Description</w:t>
            </w:r>
          </w:p>
        </w:tc>
      </w:tr>
      <w:tr>
        <w:tc>
          <w:tcPr>
            <w:tcW w:type="dxa" w:w="9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FR-04</w:t>
            </w:r>
          </w:p>
        </w:tc>
        <w:tc>
          <w:tcPr>
            <w:tcW w:type="dxa" w:w="19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Create Ticket</w:t>
            </w:r>
          </w:p>
        </w:tc>
        <w:tc>
          <w:tcPr>
            <w:tcW w:type="dxa" w:w="67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system shall allow a logged-in Employee to create a new ticket by supplying, at minimum, a title, description, and category. The system shall generate a unique ticket ID and set the initial status to "Open" automatically upon creation.</w:t>
            </w:r>
          </w:p>
        </w:tc>
      </w:tr>
      <w:tr>
        <w:tc>
          <w:tcPr>
            <w:tcW w:type="dxa" w:w="9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FR-05</w:t>
            </w:r>
          </w:p>
        </w:tc>
        <w:tc>
          <w:tcPr>
            <w:tcW w:type="dxa" w:w="19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View Ticket</w:t>
            </w:r>
          </w:p>
        </w:tc>
        <w:tc>
          <w:tcPr>
            <w:tcW w:type="dxa" w:w="67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system shall allow a user to view a list of tickets scoped to their role (Employee: own tickets; IT Support Staff: the shared/assigned queue; Administrator: all tickets) and to open an individual ticket to view its full detail, including status history and resolution notes.</w:t>
            </w:r>
          </w:p>
        </w:tc>
      </w:tr>
      <w:tr>
        <w:tc>
          <w:tcPr>
            <w:tcW w:type="dxa" w:w="9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FR-06</w:t>
            </w:r>
          </w:p>
        </w:tc>
        <w:tc>
          <w:tcPr>
            <w:tcW w:type="dxa" w:w="19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Update Ticket</w:t>
            </w:r>
          </w:p>
        </w:tc>
        <w:tc>
          <w:tcPr>
            <w:tcW w:type="dxa" w:w="67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system shall allow IT Support Staff and Administrators to update a ticket's status (per the workflow in Section 3.3) and to add resolution notes. The system shall record the date and time of each update.</w:t>
            </w:r>
          </w:p>
        </w:tc>
      </w:tr>
      <w:tr>
        <w:tc>
          <w:tcPr>
            <w:tcW w:type="dxa" w:w="9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FR-07</w:t>
            </w:r>
          </w:p>
        </w:tc>
        <w:tc>
          <w:tcPr>
            <w:tcW w:type="dxa" w:w="19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Search Ticket</w:t>
            </w:r>
          </w:p>
        </w:tc>
        <w:tc>
          <w:tcPr>
            <w:tcW w:type="dxa" w:w="67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system shall allow a user to search or filter the ticket list visible to their role by keyword (matching title/description), status, and category, returning matching results without requiring an exact match on the full title.</w:t>
            </w:r>
          </w:p>
        </w:tc>
      </w:tr>
    </w:tbl>
    <w:p>
      <w:pPr>
        <w:pStyle w:val="Heading2"/>
        <w:spacing w:after="140" w:before="260"/>
      </w:pPr>
      <w:r>
        <w:rPr>
          <w:rFonts w:ascii="Calibri" w:cs="Calibri" w:eastAsia="Calibri" w:hAnsi="Calibri"/>
          <w:b/>
          <w:bCs/>
          <w:color w:val="1F4E79"/>
          <w:sz w:val="24"/>
          <w:szCs w:val="24"/>
        </w:rPr>
        <w:t xml:space="preserve">3.3 Ticket Workflow</w:t>
      </w:r>
    </w:p>
    <w:p>
      <w:pPr>
        <w:spacing w:after="160" w:line="276"/>
        <w:jc w:val="both"/>
      </w:pPr>
      <w:r>
        <w:rPr>
          <w:rFonts w:ascii="Calibri" w:cs="Calibri" w:eastAsia="Calibri" w:hAnsi="Calibri"/>
          <w:sz w:val="22"/>
          <w:szCs w:val="22"/>
        </w:rPr>
        <w:t xml:space="preserve">The ticket status lifecycle is refined at this stage to include an explicit "Assigned" state between "Open" and "In Progress," so that ticket ownership is unambiguous before work begins. This refinement adds clarity within the workflow already introduced in Week 1/Week 2 and does not alter the MVP scope. The defined lifecycle is:</w:t>
      </w:r>
    </w:p>
    <w:p>
      <w:pPr>
        <w:spacing w:after="160" w:line="276"/>
        <w:jc w:val="both"/>
      </w:pPr>
      <w:r>
        <w:rPr>
          <w:rFonts w:ascii="Calibri" w:cs="Calibri" w:eastAsia="Calibri" w:hAnsi="Calibri"/>
          <w:b/>
          <w:bCs/>
          <w:i/>
          <w:iCs/>
          <w:sz w:val="22"/>
          <w:szCs w:val="22"/>
        </w:rPr>
        <w:t xml:space="preserve">Open → Assigned → In Progress → Resolved → Closed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rPr>
          <w:tblHeader/>
        </w:trPr>
        <w:tc>
          <w:tcPr>
            <w:tcW w:type="dxa" w:w="20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State</w:t>
            </w:r>
          </w:p>
        </w:tc>
        <w:tc>
          <w:tcPr>
            <w:tcW w:type="dxa" w:w="72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Meaning</w:t>
            </w:r>
          </w:p>
        </w:tc>
      </w:tr>
      <w:tr>
        <w:tc>
          <w:tcPr>
            <w:tcW w:type="dxa" w:w="20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Open</w:t>
            </w:r>
          </w:p>
        </w:tc>
        <w:tc>
          <w:tcPr>
            <w:tcW w:type="dxa" w:w="72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ticket has been created by an Employee and has not yet been assigned to an IT Support Staff member.</w:t>
            </w:r>
          </w:p>
        </w:tc>
      </w:tr>
      <w:tr>
        <w:tc>
          <w:tcPr>
            <w:tcW w:type="dxa" w:w="20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Assigned</w:t>
            </w:r>
          </w:p>
        </w:tc>
        <w:tc>
          <w:tcPr>
            <w:tcW w:type="dxa" w:w="72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ticket has been taken up by (or assigned to) a specific IT Support Staff member, but work has not yet actively started.</w:t>
            </w:r>
          </w:p>
        </w:tc>
      </w:tr>
      <w:tr>
        <w:tc>
          <w:tcPr>
            <w:tcW w:type="dxa" w:w="20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In Progress</w:t>
            </w:r>
          </w:p>
        </w:tc>
        <w:tc>
          <w:tcPr>
            <w:tcW w:type="dxa" w:w="72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assigned IT Support Staff member is actively working on the ticket.</w:t>
            </w:r>
          </w:p>
        </w:tc>
      </w:tr>
      <w:tr>
        <w:tc>
          <w:tcPr>
            <w:tcW w:type="dxa" w:w="20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Resolved</w:t>
            </w:r>
          </w:p>
        </w:tc>
        <w:tc>
          <w:tcPr>
            <w:tcW w:type="dxa" w:w="72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IT Support Staff member has completed the required work and recorded resolution notes; the ticket awaits closure.</w:t>
            </w:r>
          </w:p>
        </w:tc>
      </w:tr>
      <w:tr>
        <w:tc>
          <w:tcPr>
            <w:tcW w:type="dxa" w:w="20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Closed</w:t>
            </w:r>
          </w:p>
        </w:tc>
        <w:tc>
          <w:tcPr>
            <w:tcW w:type="dxa" w:w="72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ticket is confirmed complete and requires no further action.</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400"/>
        <w:gridCol w:w="3900"/>
      </w:tblGrid>
      <w:tr>
        <w:trPr>
          <w:tblHeader/>
        </w:trPr>
        <w:tc>
          <w:tcPr>
            <w:tcW w:type="dxa" w:w="9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ID</w:t>
            </w:r>
          </w:p>
        </w:tc>
        <w:tc>
          <w:tcPr>
            <w:tcW w:type="dxa" w:w="24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Transition</w:t>
            </w:r>
          </w:p>
        </w:tc>
        <w:tc>
          <w:tcPr>
            <w:tcW w:type="dxa" w:w="24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Who Can Perform It</w:t>
            </w:r>
          </w:p>
        </w:tc>
        <w:tc>
          <w:tcPr>
            <w:tcW w:type="dxa" w:w="39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Condition</w:t>
            </w:r>
          </w:p>
        </w:tc>
      </w:tr>
      <w:tr>
        <w:tc>
          <w:tcPr>
            <w:tcW w:type="dxa" w:w="9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FR-08</w:t>
            </w:r>
          </w:p>
        </w:tc>
        <w:tc>
          <w:tcPr>
            <w:tcW w:type="dxa" w:w="24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Open → Assigned</w:t>
            </w:r>
          </w:p>
        </w:tc>
        <w:tc>
          <w:tcPr>
            <w:tcW w:type="dxa" w:w="24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IT Support Staff, Administrator</w:t>
            </w:r>
          </w:p>
        </w:tc>
        <w:tc>
          <w:tcPr>
            <w:tcW w:type="dxa" w:w="39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A ticket in the shared queue is taken up by an IT Support Staff member, or explicitly assigned by an Administrator.</w:t>
            </w:r>
          </w:p>
        </w:tc>
      </w:tr>
      <w:tr>
        <w:tc>
          <w:tcPr>
            <w:tcW w:type="dxa" w:w="9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FR-09</w:t>
            </w:r>
          </w:p>
        </w:tc>
        <w:tc>
          <w:tcPr>
            <w:tcW w:type="dxa" w:w="24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Assigned → In Progress</w:t>
            </w:r>
          </w:p>
        </w:tc>
        <w:tc>
          <w:tcPr>
            <w:tcW w:type="dxa" w:w="24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IT Support Staff (the assignee)</w:t>
            </w:r>
          </w:p>
        </w:tc>
        <w:tc>
          <w:tcPr>
            <w:tcW w:type="dxa" w:w="39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assigned staff member begins active work on the ticket.</w:t>
            </w:r>
          </w:p>
        </w:tc>
      </w:tr>
      <w:tr>
        <w:tc>
          <w:tcPr>
            <w:tcW w:type="dxa" w:w="9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FR-10</w:t>
            </w:r>
          </w:p>
        </w:tc>
        <w:tc>
          <w:tcPr>
            <w:tcW w:type="dxa" w:w="24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In Progress → Resolved</w:t>
            </w:r>
          </w:p>
        </w:tc>
        <w:tc>
          <w:tcPr>
            <w:tcW w:type="dxa" w:w="24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IT Support Staff (the assignee)</w:t>
            </w:r>
          </w:p>
        </w:tc>
        <w:tc>
          <w:tcPr>
            <w:tcW w:type="dxa" w:w="39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Resolution notes describing the action taken must be recorded before the transition is permitted.</w:t>
            </w:r>
          </w:p>
        </w:tc>
      </w:tr>
      <w:tr>
        <w:tc>
          <w:tcPr>
            <w:tcW w:type="dxa" w:w="9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FR-11</w:t>
            </w:r>
          </w:p>
        </w:tc>
        <w:tc>
          <w:tcPr>
            <w:tcW w:type="dxa" w:w="24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Resolved → Closed</w:t>
            </w:r>
          </w:p>
        </w:tc>
        <w:tc>
          <w:tcPr>
            <w:tcW w:type="dxa" w:w="24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IT Support Staff, Administrator</w:t>
            </w:r>
          </w:p>
        </w:tc>
        <w:tc>
          <w:tcPr>
            <w:tcW w:type="dxa" w:w="39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resolution is confirmed as satisfactory; no further employee action is required.</w:t>
            </w:r>
          </w:p>
        </w:tc>
      </w:tr>
      <w:tr>
        <w:tc>
          <w:tcPr>
            <w:tcW w:type="dxa" w:w="9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FR-12</w:t>
            </w:r>
          </w:p>
        </w:tc>
        <w:tc>
          <w:tcPr>
            <w:tcW w:type="dxa" w:w="24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Any state → Assigned (reassignment)</w:t>
            </w:r>
          </w:p>
        </w:tc>
        <w:tc>
          <w:tcPr>
            <w:tcW w:type="dxa" w:w="24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Administrator</w:t>
            </w:r>
          </w:p>
        </w:tc>
        <w:tc>
          <w:tcPr>
            <w:tcW w:type="dxa" w:w="39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An Administrator may reassign a ticket, for example when the original assignee is unavailable, as permitted under the Week 1/2 Administrator role.</w:t>
            </w:r>
          </w:p>
        </w:tc>
      </w:tr>
    </w:tbl>
    <w:p>
      <w:pPr>
        <w:spacing w:after="160"/>
      </w:pPr>
    </w:p>
    <w:p>
      <w:pPr>
        <w:spacing w:after="160" w:line="276"/>
        <w:jc w:val="both"/>
      </w:pPr>
      <w:r>
        <w:rPr>
          <w:rFonts w:ascii="Calibri" w:cs="Calibri" w:eastAsia="Calibri" w:hAnsi="Calibri"/>
          <w:sz w:val="22"/>
          <w:szCs w:val="22"/>
        </w:rPr>
        <w:t xml:space="preserve">The system shall not permit a status transition that is not explicitly listed above (for example, moving a ticket directly from "Open" to "Closed"), so that the recorded workflow accurately reflects how the ticket was actually handled.</w:t>
      </w:r>
    </w:p>
    <w:p>
      <w:pPr>
        <w:pStyle w:val="Heading2"/>
        <w:spacing w:after="140" w:before="260"/>
      </w:pPr>
      <w:r>
        <w:rPr>
          <w:rFonts w:ascii="Calibri" w:cs="Calibri" w:eastAsia="Calibri" w:hAnsi="Calibri"/>
          <w:b/>
          <w:bCs/>
          <w:color w:val="1F4E79"/>
          <w:sz w:val="24"/>
          <w:szCs w:val="24"/>
        </w:rPr>
        <w:t xml:space="preserve">3.4 Dashboard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400"/>
      </w:tblGrid>
      <w:tr>
        <w:trPr>
          <w:tblHeader/>
        </w:trPr>
        <w:tc>
          <w:tcPr>
            <w:tcW w:type="dxa" w:w="9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ID</w:t>
            </w:r>
          </w:p>
        </w:tc>
        <w:tc>
          <w:tcPr>
            <w:tcW w:type="dxa" w:w="22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Requirement</w:t>
            </w:r>
          </w:p>
        </w:tc>
        <w:tc>
          <w:tcPr>
            <w:tcW w:type="dxa" w:w="64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Description</w:t>
            </w:r>
          </w:p>
        </w:tc>
      </w:tr>
      <w:tr>
        <w:tc>
          <w:tcPr>
            <w:tcW w:type="dxa" w:w="9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FR-13</w:t>
            </w:r>
          </w:p>
        </w:tc>
        <w:tc>
          <w:tcPr>
            <w:tcW w:type="dxa" w:w="22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Ticket Count by Status</w:t>
            </w:r>
          </w:p>
        </w:tc>
        <w:tc>
          <w:tcPr>
            <w:tcW w:type="dxa" w:w="64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system shall display, on a summary dashboard, the count of tickets currently in each status (Open, Assigned, In Progress, Resolved, Closed).</w:t>
            </w:r>
          </w:p>
        </w:tc>
      </w:tr>
      <w:tr>
        <w:tc>
          <w:tcPr>
            <w:tcW w:type="dxa" w:w="9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FR-14</w:t>
            </w:r>
          </w:p>
        </w:tc>
        <w:tc>
          <w:tcPr>
            <w:tcW w:type="dxa" w:w="22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Ticket Count by Category</w:t>
            </w:r>
          </w:p>
        </w:tc>
        <w:tc>
          <w:tcPr>
            <w:tcW w:type="dxa" w:w="64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system shall display the count of tickets by category (e.g., Hardware, Software, Network, Access) on the dashboard.</w:t>
            </w:r>
          </w:p>
        </w:tc>
      </w:tr>
      <w:tr>
        <w:tc>
          <w:tcPr>
            <w:tcW w:type="dxa" w:w="9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FR-15</w:t>
            </w:r>
          </w:p>
        </w:tc>
        <w:tc>
          <w:tcPr>
            <w:tcW w:type="dxa" w:w="22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Dashboard Access</w:t>
            </w:r>
          </w:p>
        </w:tc>
        <w:tc>
          <w:tcPr>
            <w:tcW w:type="dxa" w:w="64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system shall make the dashboard available to IT Support Staff and Administrators; the dashboard is not required to be available to the Employee role.</w:t>
            </w:r>
          </w:p>
        </w:tc>
      </w:tr>
      <w:tr>
        <w:tc>
          <w:tcPr>
            <w:tcW w:type="dxa" w:w="9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FR-16</w:t>
            </w:r>
          </w:p>
        </w:tc>
        <w:tc>
          <w:tcPr>
            <w:tcW w:type="dxa" w:w="22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Dashboard Currency</w:t>
            </w:r>
          </w:p>
        </w:tc>
        <w:tc>
          <w:tcPr>
            <w:tcW w:type="dxa" w:w="64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dashboard shall reflect the current state of ticket data at the time it is viewed, without requiring a separate manual data-refresh action by the user.</w:t>
            </w:r>
          </w:p>
        </w:tc>
      </w:tr>
    </w:tbl>
    <w:p>
      <w:pPr>
        <w:pStyle w:val="Heading1"/>
        <w:pBdr>
          <w:bottom w:val="single" w:color="1F4E79" w:sz="6" w:space="4"/>
        </w:pBdr>
        <w:spacing w:after="200" w:before="360"/>
      </w:pPr>
      <w:r>
        <w:rPr>
          <w:rFonts w:ascii="Calibri" w:cs="Calibri" w:eastAsia="Calibri" w:hAnsi="Calibri"/>
          <w:b/>
          <w:bCs/>
          <w:color w:val="1F4E79"/>
          <w:sz w:val="30"/>
          <w:szCs w:val="30"/>
        </w:rPr>
        <w:t xml:space="preserve">4. Non-Functional Requirements</w:t>
      </w:r>
    </w:p>
    <w:p>
      <w:pPr>
        <w:spacing w:after="160" w:line="276"/>
        <w:jc w:val="both"/>
      </w:pPr>
      <w:r>
        <w:rPr>
          <w:rFonts w:ascii="Calibri" w:cs="Calibri" w:eastAsia="Calibri" w:hAnsi="Calibri"/>
          <w:sz w:val="22"/>
          <w:szCs w:val="22"/>
        </w:rPr>
        <w:t xml:space="preserve">Non-functional requirements describe quality attributes the system must satisfy, stated in measurable terms wherever practical for a student-project context.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800"/>
      </w:tblGrid>
      <w:tr>
        <w:trPr>
          <w:tblHeader/>
        </w:trPr>
        <w:tc>
          <w:tcPr>
            <w:tcW w:type="dxa" w:w="9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ID</w:t>
            </w:r>
          </w:p>
        </w:tc>
        <w:tc>
          <w:tcPr>
            <w:tcW w:type="dxa" w:w="18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Category</w:t>
            </w:r>
          </w:p>
        </w:tc>
        <w:tc>
          <w:tcPr>
            <w:tcW w:type="dxa" w:w="68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Requirement</w:t>
            </w:r>
          </w:p>
        </w:tc>
      </w:tr>
      <w:tr>
        <w:tc>
          <w:tcPr>
            <w:tcW w:type="dxa" w:w="9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NFR-01</w:t>
            </w:r>
          </w:p>
        </w:tc>
        <w:tc>
          <w:tcPr>
            <w:tcW w:type="dxa" w:w="18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Performance</w:t>
            </w:r>
          </w:p>
        </w:tc>
        <w:tc>
          <w:tcPr>
            <w:tcW w:type="dxa" w:w="68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Under normal single-user testing conditions, common actions (login, ticket creation, ticket list retrieval) shall complete within 3 seconds on the target development/demo environment.</w:t>
            </w:r>
          </w:p>
        </w:tc>
      </w:tr>
      <w:tr>
        <w:tc>
          <w:tcPr>
            <w:tcW w:type="dxa" w:w="9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NFR-02</w:t>
            </w:r>
          </w:p>
        </w:tc>
        <w:tc>
          <w:tcPr>
            <w:tcW w:type="dxa" w:w="18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Security</w:t>
            </w:r>
          </w:p>
        </w:tc>
        <w:tc>
          <w:tcPr>
            <w:tcW w:type="dxa" w:w="68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Passwords shall not be stored or displayed in plain text; access to ticket data shall be restricted according to the role-based rules in Section 6.</w:t>
            </w:r>
          </w:p>
        </w:tc>
      </w:tr>
      <w:tr>
        <w:tc>
          <w:tcPr>
            <w:tcW w:type="dxa" w:w="9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NFR-03</w:t>
            </w:r>
          </w:p>
        </w:tc>
        <w:tc>
          <w:tcPr>
            <w:tcW w:type="dxa" w:w="18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Usability</w:t>
            </w:r>
          </w:p>
        </w:tc>
        <w:tc>
          <w:tcPr>
            <w:tcW w:type="dxa" w:w="68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A first-time Employee user shall be able to create a ticket without external instructions, using clearly labelled fields and a visible confirmation upon submission.</w:t>
            </w:r>
          </w:p>
        </w:tc>
      </w:tr>
      <w:tr>
        <w:tc>
          <w:tcPr>
            <w:tcW w:type="dxa" w:w="9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NFR-04</w:t>
            </w:r>
          </w:p>
        </w:tc>
        <w:tc>
          <w:tcPr>
            <w:tcW w:type="dxa" w:w="18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Reliability</w:t>
            </w:r>
          </w:p>
        </w:tc>
        <w:tc>
          <w:tcPr>
            <w:tcW w:type="dxa" w:w="68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system shall not lose a successfully submitted ticket; once a creation or update action is confirmed to the user, the corresponding data shall be persisted.</w:t>
            </w:r>
          </w:p>
        </w:tc>
      </w:tr>
      <w:tr>
        <w:tc>
          <w:tcPr>
            <w:tcW w:type="dxa" w:w="9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NFR-05</w:t>
            </w:r>
          </w:p>
        </w:tc>
        <w:tc>
          <w:tcPr>
            <w:tcW w:type="dxa" w:w="18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Maintainability</w:t>
            </w:r>
          </w:p>
        </w:tc>
        <w:tc>
          <w:tcPr>
            <w:tcW w:type="dxa" w:w="68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application shall be structured so that a new ticket category or status label can be added by modifying configuration/data rather than requiring changes across multiple unrelated components.</w:t>
            </w:r>
          </w:p>
        </w:tc>
      </w:tr>
      <w:tr>
        <w:tc>
          <w:tcPr>
            <w:tcW w:type="dxa" w:w="9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NFR-06</w:t>
            </w:r>
          </w:p>
        </w:tc>
        <w:tc>
          <w:tcPr>
            <w:tcW w:type="dxa" w:w="18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Scalability</w:t>
            </w:r>
          </w:p>
        </w:tc>
        <w:tc>
          <w:tcPr>
            <w:tcW w:type="dxa" w:w="68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system shall support at least the number of concurrent users realistic for a small-organisation academic demonstration (a working assumption of approximately 20–30 registered users) without requiring architectural change.</w:t>
            </w:r>
          </w:p>
        </w:tc>
      </w:tr>
      <w:tr>
        <w:tc>
          <w:tcPr>
            <w:tcW w:type="dxa" w:w="9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NFR-07</w:t>
            </w:r>
          </w:p>
        </w:tc>
        <w:tc>
          <w:tcPr>
            <w:tcW w:type="dxa" w:w="18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Availability</w:t>
            </w:r>
          </w:p>
        </w:tc>
        <w:tc>
          <w:tcPr>
            <w:tcW w:type="dxa" w:w="68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During scheduled demonstration and evaluation sessions, the deployed instance shall be accessible, excluding planned maintenance or environment restarts communicated in advance to the team.</w:t>
            </w:r>
          </w:p>
        </w:tc>
      </w:tr>
      <w:tr>
        <w:tc>
          <w:tcPr>
            <w:tcW w:type="dxa" w:w="9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NFR-08</w:t>
            </w:r>
          </w:p>
        </w:tc>
        <w:tc>
          <w:tcPr>
            <w:tcW w:type="dxa" w:w="18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Compatibility</w:t>
            </w:r>
          </w:p>
        </w:tc>
        <w:tc>
          <w:tcPr>
            <w:tcW w:type="dxa" w:w="68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web application shall function correctly on at least one current, widely used desktop browser (e.g., a recent version of Chrome or Firefox), as further defined in Section 7.4.</w:t>
            </w:r>
          </w:p>
        </w:tc>
      </w:tr>
    </w:tbl>
    <w:p>
      <w:pPr>
        <w:pStyle w:val="Heading1"/>
        <w:pBdr>
          <w:bottom w:val="single" w:color="1F4E79" w:sz="6" w:space="4"/>
        </w:pBdr>
        <w:spacing w:after="200" w:before="360"/>
      </w:pPr>
      <w:r>
        <w:rPr>
          <w:rFonts w:ascii="Calibri" w:cs="Calibri" w:eastAsia="Calibri" w:hAnsi="Calibri"/>
          <w:b/>
          <w:bCs/>
          <w:color w:val="1F4E79"/>
          <w:sz w:val="30"/>
          <w:szCs w:val="30"/>
        </w:rPr>
        <w:t xml:space="preserve">5. User Requirements</w:t>
      </w:r>
    </w:p>
    <w:p>
      <w:pPr>
        <w:spacing w:after="160" w:line="276"/>
        <w:jc w:val="both"/>
      </w:pPr>
      <w:r>
        <w:rPr>
          <w:rFonts w:ascii="Calibri" w:cs="Calibri" w:eastAsia="Calibri" w:hAnsi="Calibri"/>
          <w:sz w:val="22"/>
          <w:szCs w:val="22"/>
        </w:rPr>
        <w:t xml:space="preserve">This section restates the system's requirements from each user role's own point of view, in plain language, complementing the formal functional requirements in Section 3.</w:t>
      </w:r>
    </w:p>
    <w:p>
      <w:pPr>
        <w:pStyle w:val="Heading3"/>
        <w:spacing w:after="100" w:before="180"/>
      </w:pPr>
      <w:r>
        <w:rPr>
          <w:rFonts w:ascii="Calibri" w:cs="Calibri" w:eastAsia="Calibri" w:hAnsi="Calibri"/>
          <w:b/>
          <w:bCs/>
          <w:color w:val="203864"/>
          <w:sz w:val="22"/>
          <w:szCs w:val="22"/>
        </w:rPr>
        <w:t xml:space="preserve">5.1 Employee Perspective</w:t>
      </w:r>
    </w:p>
    <w:p>
      <w:pPr>
        <w:pStyle w:val="ListParagraph"/>
        <w:numPr>
          <w:ilvl w:val="0"/>
          <w:numId w:val="2"/>
        </w:numPr>
        <w:spacing w:after="100" w:line="276"/>
      </w:pPr>
      <w:r>
        <w:rPr>
          <w:rFonts w:ascii="Calibri" w:cs="Calibri" w:eastAsia="Calibri" w:hAnsi="Calibri"/>
          <w:sz w:val="22"/>
          <w:szCs w:val="22"/>
        </w:rPr>
        <w:t xml:space="preserve">I need to log in securely and see only my own tickets.</w:t>
      </w:r>
    </w:p>
    <w:p>
      <w:pPr>
        <w:pStyle w:val="ListParagraph"/>
        <w:numPr>
          <w:ilvl w:val="0"/>
          <w:numId w:val="2"/>
        </w:numPr>
        <w:spacing w:after="100" w:line="276"/>
      </w:pPr>
      <w:r>
        <w:rPr>
          <w:rFonts w:ascii="Calibri" w:cs="Calibri" w:eastAsia="Calibri" w:hAnsi="Calibri"/>
          <w:sz w:val="22"/>
          <w:szCs w:val="22"/>
        </w:rPr>
        <w:t xml:space="preserve">I need to report an IT issue quickly, without needing to know technical categorisation details beyond a simple category list.</w:t>
      </w:r>
    </w:p>
    <w:p>
      <w:pPr>
        <w:pStyle w:val="ListParagraph"/>
        <w:numPr>
          <w:ilvl w:val="0"/>
          <w:numId w:val="2"/>
        </w:numPr>
        <w:spacing w:after="100" w:line="276"/>
      </w:pPr>
      <w:r>
        <w:rPr>
          <w:rFonts w:ascii="Calibri" w:cs="Calibri" w:eastAsia="Calibri" w:hAnsi="Calibri"/>
          <w:sz w:val="22"/>
          <w:szCs w:val="22"/>
        </w:rPr>
        <w:t xml:space="preserve">I need to check the status of a ticket I previously raised without contacting IT support directly.</w:t>
      </w:r>
    </w:p>
    <w:p>
      <w:pPr>
        <w:pStyle w:val="ListParagraph"/>
        <w:numPr>
          <w:ilvl w:val="0"/>
          <w:numId w:val="2"/>
        </w:numPr>
        <w:spacing w:after="100" w:line="276"/>
      </w:pPr>
      <w:r>
        <w:rPr>
          <w:rFonts w:ascii="Calibri" w:cs="Calibri" w:eastAsia="Calibri" w:hAnsi="Calibri"/>
          <w:sz w:val="22"/>
          <w:szCs w:val="22"/>
        </w:rPr>
        <w:t xml:space="preserve">I need to find a specific past ticket without scrolling through my entire history.</w:t>
      </w:r>
    </w:p>
    <w:p>
      <w:pPr>
        <w:pStyle w:val="Heading3"/>
        <w:spacing w:after="100" w:before="180"/>
      </w:pPr>
      <w:r>
        <w:rPr>
          <w:rFonts w:ascii="Calibri" w:cs="Calibri" w:eastAsia="Calibri" w:hAnsi="Calibri"/>
          <w:b/>
          <w:bCs/>
          <w:color w:val="203864"/>
          <w:sz w:val="22"/>
          <w:szCs w:val="22"/>
        </w:rPr>
        <w:t xml:space="preserve">5.2 IT Support Staff Perspective</w:t>
      </w:r>
    </w:p>
    <w:p>
      <w:pPr>
        <w:pStyle w:val="ListParagraph"/>
        <w:numPr>
          <w:ilvl w:val="0"/>
          <w:numId w:val="2"/>
        </w:numPr>
        <w:spacing w:after="100" w:line="276"/>
      </w:pPr>
      <w:r>
        <w:rPr>
          <w:rFonts w:ascii="Calibri" w:cs="Calibri" w:eastAsia="Calibri" w:hAnsi="Calibri"/>
          <w:sz w:val="22"/>
          <w:szCs w:val="22"/>
        </w:rPr>
        <w:t xml:space="preserve">I need a clear view of tickets that are open or assigned to me, so I know what requires attention.</w:t>
      </w:r>
    </w:p>
    <w:p>
      <w:pPr>
        <w:pStyle w:val="ListParagraph"/>
        <w:numPr>
          <w:ilvl w:val="0"/>
          <w:numId w:val="2"/>
        </w:numPr>
        <w:spacing w:after="100" w:line="276"/>
      </w:pPr>
      <w:r>
        <w:rPr>
          <w:rFonts w:ascii="Calibri" w:cs="Calibri" w:eastAsia="Calibri" w:hAnsi="Calibri"/>
          <w:sz w:val="22"/>
          <w:szCs w:val="22"/>
        </w:rPr>
        <w:t xml:space="preserve">I need to update a ticket's status and record what I did, so there is a record of my work.</w:t>
      </w:r>
    </w:p>
    <w:p>
      <w:pPr>
        <w:pStyle w:val="ListParagraph"/>
        <w:numPr>
          <w:ilvl w:val="0"/>
          <w:numId w:val="2"/>
        </w:numPr>
        <w:spacing w:after="100" w:line="276"/>
      </w:pPr>
      <w:r>
        <w:rPr>
          <w:rFonts w:ascii="Calibri" w:cs="Calibri" w:eastAsia="Calibri" w:hAnsi="Calibri"/>
          <w:sz w:val="22"/>
          <w:szCs w:val="22"/>
        </w:rPr>
        <w:t xml:space="preserve">I need to search or filter tickets by category to identify related or duplicate issues.</w:t>
      </w:r>
    </w:p>
    <w:p>
      <w:pPr>
        <w:pStyle w:val="Heading3"/>
        <w:spacing w:after="100" w:before="180"/>
      </w:pPr>
      <w:r>
        <w:rPr>
          <w:rFonts w:ascii="Calibri" w:cs="Calibri" w:eastAsia="Calibri" w:hAnsi="Calibri"/>
          <w:b/>
          <w:bCs/>
          <w:color w:val="203864"/>
          <w:sz w:val="22"/>
          <w:szCs w:val="22"/>
        </w:rPr>
        <w:t xml:space="preserve">5.3 Administrator Perspective</w:t>
      </w:r>
    </w:p>
    <w:p>
      <w:pPr>
        <w:pStyle w:val="ListParagraph"/>
        <w:numPr>
          <w:ilvl w:val="0"/>
          <w:numId w:val="2"/>
        </w:numPr>
        <w:spacing w:after="100" w:line="276"/>
      </w:pPr>
      <w:r>
        <w:rPr>
          <w:rFonts w:ascii="Calibri" w:cs="Calibri" w:eastAsia="Calibri" w:hAnsi="Calibri"/>
          <w:sz w:val="22"/>
          <w:szCs w:val="22"/>
        </w:rPr>
        <w:t xml:space="preserve">I need full visibility of all tickets in the system, regardless of who raised or is handling them.</w:t>
      </w:r>
    </w:p>
    <w:p>
      <w:pPr>
        <w:pStyle w:val="ListParagraph"/>
        <w:numPr>
          <w:ilvl w:val="0"/>
          <w:numId w:val="2"/>
        </w:numPr>
        <w:spacing w:after="100" w:line="276"/>
      </w:pPr>
      <w:r>
        <w:rPr>
          <w:rFonts w:ascii="Calibri" w:cs="Calibri" w:eastAsia="Calibri" w:hAnsi="Calibri"/>
          <w:sz w:val="22"/>
          <w:szCs w:val="22"/>
        </w:rPr>
        <w:t xml:space="preserve">I need to manage user accounts so that access to the system is controlled.</w:t>
      </w:r>
    </w:p>
    <w:p>
      <w:pPr>
        <w:pStyle w:val="ListParagraph"/>
        <w:numPr>
          <w:ilvl w:val="0"/>
          <w:numId w:val="2"/>
        </w:numPr>
        <w:spacing w:after="100" w:line="276"/>
      </w:pPr>
      <w:r>
        <w:rPr>
          <w:rFonts w:ascii="Calibri" w:cs="Calibri" w:eastAsia="Calibri" w:hAnsi="Calibri"/>
          <w:sz w:val="22"/>
          <w:szCs w:val="22"/>
        </w:rPr>
        <w:t xml:space="preserve">I need a dashboard summary so that I can assess overall ticket volume and category trends without reviewing every ticket individually.</w:t>
      </w:r>
    </w:p>
    <w:p>
      <w:pPr>
        <w:pStyle w:val="ListParagraph"/>
        <w:numPr>
          <w:ilvl w:val="0"/>
          <w:numId w:val="2"/>
        </w:numPr>
        <w:spacing w:after="100" w:line="276"/>
      </w:pPr>
      <w:r>
        <w:rPr>
          <w:rFonts w:ascii="Calibri" w:cs="Calibri" w:eastAsia="Calibri" w:hAnsi="Calibri"/>
          <w:sz w:val="22"/>
          <w:szCs w:val="22"/>
        </w:rPr>
        <w:t xml:space="preserve">I need the ability to reassign a ticket when the original assignee cannot complete it.</w:t>
      </w:r>
    </w:p>
    <w:p>
      <w:pPr>
        <w:pStyle w:val="Heading1"/>
        <w:pBdr>
          <w:bottom w:val="single" w:color="1F4E79" w:sz="6" w:space="4"/>
        </w:pBdr>
        <w:spacing w:after="200" w:before="360"/>
      </w:pPr>
      <w:r>
        <w:rPr>
          <w:rFonts w:ascii="Calibri" w:cs="Calibri" w:eastAsia="Calibri" w:hAnsi="Calibri"/>
          <w:b/>
          <w:bCs/>
          <w:color w:val="1F4E79"/>
          <w:sz w:val="30"/>
          <w:szCs w:val="30"/>
        </w:rPr>
        <w:t xml:space="preserve">6. Business Rules</w:t>
      </w:r>
    </w:p>
    <w:p>
      <w:pPr>
        <w:pStyle w:val="Heading3"/>
        <w:spacing w:after="100" w:before="180"/>
      </w:pPr>
      <w:r>
        <w:rPr>
          <w:rFonts w:ascii="Calibri" w:cs="Calibri" w:eastAsia="Calibri" w:hAnsi="Calibri"/>
          <w:b/>
          <w:bCs/>
          <w:color w:val="203864"/>
          <w:sz w:val="22"/>
          <w:szCs w:val="22"/>
        </w:rPr>
        <w:t xml:space="preserve">BR — Required Ticket Fields</w:t>
      </w:r>
    </w:p>
    <w:p>
      <w:pPr>
        <w:pStyle w:val="ListParagraph"/>
        <w:numPr>
          <w:ilvl w:val="0"/>
          <w:numId w:val="2"/>
        </w:numPr>
        <w:spacing w:after="100" w:line="276"/>
      </w:pPr>
      <w:r>
        <w:rPr>
          <w:rFonts w:ascii="Calibri" w:cs="Calibri" w:eastAsia="Calibri" w:hAnsi="Calibri"/>
          <w:sz w:val="22"/>
          <w:szCs w:val="22"/>
        </w:rPr>
        <w:t xml:space="preserve">A ticket cannot be created without a title, a description, and a category; the system shall reject submission of a ticket missing any of these fields.</w:t>
      </w:r>
    </w:p>
    <w:p>
      <w:pPr>
        <w:pStyle w:val="Heading3"/>
        <w:spacing w:after="100" w:before="180"/>
      </w:pPr>
      <w:r>
        <w:rPr>
          <w:rFonts w:ascii="Calibri" w:cs="Calibri" w:eastAsia="Calibri" w:hAnsi="Calibri"/>
          <w:b/>
          <w:bCs/>
          <w:color w:val="203864"/>
          <w:sz w:val="22"/>
          <w:szCs w:val="22"/>
        </w:rPr>
        <w:t xml:space="preserve">BR — Valid Status Transitions</w:t>
      </w:r>
    </w:p>
    <w:p>
      <w:pPr>
        <w:pStyle w:val="ListParagraph"/>
        <w:numPr>
          <w:ilvl w:val="0"/>
          <w:numId w:val="2"/>
        </w:numPr>
        <w:spacing w:after="100" w:line="276"/>
      </w:pPr>
      <w:r>
        <w:rPr>
          <w:rFonts w:ascii="Calibri" w:cs="Calibri" w:eastAsia="Calibri" w:hAnsi="Calibri"/>
          <w:sz w:val="22"/>
          <w:szCs w:val="22"/>
        </w:rPr>
        <w:t xml:space="preserve">A ticket may only move between statuses along the transitions defined in Section 3.3 (FR-08 to FR-12); any other transition is invalid and shall be rejected.</w:t>
      </w:r>
    </w:p>
    <w:p>
      <w:pPr>
        <w:pStyle w:val="ListParagraph"/>
        <w:numPr>
          <w:ilvl w:val="0"/>
          <w:numId w:val="2"/>
        </w:numPr>
        <w:spacing w:after="100" w:line="276"/>
      </w:pPr>
      <w:r>
        <w:rPr>
          <w:rFonts w:ascii="Calibri" w:cs="Calibri" w:eastAsia="Calibri" w:hAnsi="Calibri"/>
          <w:sz w:val="22"/>
          <w:szCs w:val="22"/>
        </w:rPr>
        <w:t xml:space="preserve">A ticket cannot be marked "Resolved" without accompanying resolution notes.</w:t>
      </w:r>
    </w:p>
    <w:p>
      <w:pPr>
        <w:pStyle w:val="Heading3"/>
        <w:spacing w:after="100" w:before="180"/>
      </w:pPr>
      <w:r>
        <w:rPr>
          <w:rFonts w:ascii="Calibri" w:cs="Calibri" w:eastAsia="Calibri" w:hAnsi="Calibri"/>
          <w:b/>
          <w:bCs/>
          <w:color w:val="203864"/>
          <w:sz w:val="22"/>
          <w:szCs w:val="22"/>
        </w:rPr>
        <w:t xml:space="preserve">BR — Role Permissions</w:t>
      </w:r>
    </w:p>
    <w:p>
      <w:pPr>
        <w:pStyle w:val="ListParagraph"/>
        <w:numPr>
          <w:ilvl w:val="0"/>
          <w:numId w:val="2"/>
        </w:numPr>
        <w:spacing w:after="100" w:line="276"/>
      </w:pPr>
      <w:r>
        <w:rPr>
          <w:rFonts w:ascii="Calibri" w:cs="Calibri" w:eastAsia="Calibri" w:hAnsi="Calibri"/>
          <w:sz w:val="22"/>
          <w:szCs w:val="22"/>
        </w:rPr>
        <w:t xml:space="preserve">An Employee may create tickets and view/search only their own tickets; they may not update ticket status or view other Employees' tickets.</w:t>
      </w:r>
    </w:p>
    <w:p>
      <w:pPr>
        <w:pStyle w:val="ListParagraph"/>
        <w:numPr>
          <w:ilvl w:val="0"/>
          <w:numId w:val="2"/>
        </w:numPr>
        <w:spacing w:after="100" w:line="276"/>
      </w:pPr>
      <w:r>
        <w:rPr>
          <w:rFonts w:ascii="Calibri" w:cs="Calibri" w:eastAsia="Calibri" w:hAnsi="Calibri"/>
          <w:sz w:val="22"/>
          <w:szCs w:val="22"/>
        </w:rPr>
        <w:t xml:space="preserve">IT Support Staff may view, search, and update tickets in the shared/assigned queue; they may not manage user accounts.</w:t>
      </w:r>
    </w:p>
    <w:p>
      <w:pPr>
        <w:pStyle w:val="ListParagraph"/>
        <w:numPr>
          <w:ilvl w:val="0"/>
          <w:numId w:val="2"/>
        </w:numPr>
        <w:spacing w:after="100" w:line="276"/>
      </w:pPr>
      <w:r>
        <w:rPr>
          <w:rFonts w:ascii="Calibri" w:cs="Calibri" w:eastAsia="Calibri" w:hAnsi="Calibri"/>
          <w:sz w:val="22"/>
          <w:szCs w:val="22"/>
        </w:rPr>
        <w:t xml:space="preserve">An Administrator has all permissions available to IT Support Staff, plus user account management and the ability to reassign or close any ticket.</w:t>
      </w:r>
    </w:p>
    <w:p>
      <w:pPr>
        <w:pStyle w:val="Heading3"/>
        <w:spacing w:after="100" w:before="180"/>
      </w:pPr>
      <w:r>
        <w:rPr>
          <w:rFonts w:ascii="Calibri" w:cs="Calibri" w:eastAsia="Calibri" w:hAnsi="Calibri"/>
          <w:b/>
          <w:bCs/>
          <w:color w:val="203864"/>
          <w:sz w:val="22"/>
          <w:szCs w:val="22"/>
        </w:rPr>
        <w:t xml:space="preserve">BR — Search Behaviour</w:t>
      </w:r>
    </w:p>
    <w:p>
      <w:pPr>
        <w:pStyle w:val="ListParagraph"/>
        <w:numPr>
          <w:ilvl w:val="0"/>
          <w:numId w:val="2"/>
        </w:numPr>
        <w:spacing w:after="100" w:line="276"/>
      </w:pPr>
      <w:r>
        <w:rPr>
          <w:rFonts w:ascii="Calibri" w:cs="Calibri" w:eastAsia="Calibri" w:hAnsi="Calibri"/>
          <w:sz w:val="22"/>
          <w:szCs w:val="22"/>
        </w:rPr>
        <w:t xml:space="preserve">Search shall match on partial text within the ticket title or description (not exact match only) and shall respect the same role-based visibility rules as ticket viewing — a user cannot search their way into seeing tickets they are not permitted to view.</w:t>
      </w:r>
    </w:p>
    <w:p>
      <w:pPr>
        <w:pStyle w:val="ListParagraph"/>
        <w:numPr>
          <w:ilvl w:val="0"/>
          <w:numId w:val="2"/>
        </w:numPr>
        <w:spacing w:after="100" w:line="276"/>
      </w:pPr>
      <w:r>
        <w:rPr>
          <w:rFonts w:ascii="Calibri" w:cs="Calibri" w:eastAsia="Calibri" w:hAnsi="Calibri"/>
          <w:sz w:val="22"/>
          <w:szCs w:val="22"/>
        </w:rPr>
        <w:t xml:space="preserve">Search results may be further narrowed by status and/or category filters, applied in combination with the keyword search.</w:t>
      </w:r>
    </w:p>
    <w:p>
      <w:pPr>
        <w:pStyle w:val="Heading1"/>
        <w:pBdr>
          <w:bottom w:val="single" w:color="1F4E79" w:sz="6" w:space="4"/>
        </w:pBdr>
        <w:spacing w:after="200" w:before="360"/>
      </w:pPr>
      <w:r>
        <w:rPr>
          <w:rFonts w:ascii="Calibri" w:cs="Calibri" w:eastAsia="Calibri" w:hAnsi="Calibri"/>
          <w:b/>
          <w:bCs/>
          <w:color w:val="1F4E79"/>
          <w:sz w:val="30"/>
          <w:szCs w:val="30"/>
        </w:rPr>
        <w:t xml:space="preserve">7. External Interface Requirements</w:t>
      </w:r>
    </w:p>
    <w:p>
      <w:pPr>
        <w:pStyle w:val="Heading2"/>
        <w:spacing w:after="140" w:before="260"/>
      </w:pPr>
      <w:r>
        <w:rPr>
          <w:rFonts w:ascii="Calibri" w:cs="Calibri" w:eastAsia="Calibri" w:hAnsi="Calibri"/>
          <w:b/>
          <w:bCs/>
          <w:color w:val="1F4E79"/>
          <w:sz w:val="24"/>
          <w:szCs w:val="24"/>
        </w:rPr>
        <w:t xml:space="preserve">7.1 User Interface Requirements</w:t>
      </w:r>
    </w:p>
    <w:p>
      <w:pPr>
        <w:pStyle w:val="ListParagraph"/>
        <w:numPr>
          <w:ilvl w:val="0"/>
          <w:numId w:val="2"/>
        </w:numPr>
        <w:spacing w:after="100" w:line="276"/>
      </w:pPr>
      <w:r>
        <w:rPr>
          <w:rFonts w:ascii="Calibri" w:cs="Calibri" w:eastAsia="Calibri" w:hAnsi="Calibri"/>
          <w:sz w:val="22"/>
          <w:szCs w:val="22"/>
        </w:rPr>
        <w:t xml:space="preserve">The system shall provide a web-based graphical user interface accessible via a standard browser; no command-line interface is required.</w:t>
      </w:r>
    </w:p>
    <w:p>
      <w:pPr>
        <w:pStyle w:val="ListParagraph"/>
        <w:numPr>
          <w:ilvl w:val="0"/>
          <w:numId w:val="2"/>
        </w:numPr>
        <w:spacing w:after="100" w:line="276"/>
      </w:pPr>
      <w:r>
        <w:rPr>
          <w:rFonts w:ascii="Calibri" w:cs="Calibri" w:eastAsia="Calibri" w:hAnsi="Calibri"/>
          <w:sz w:val="22"/>
          <w:szCs w:val="22"/>
        </w:rPr>
        <w:t xml:space="preserve">The interface shall present role-appropriate navigation — an Employee shall not see menu items or controls for functions they are not permitted to use (e.g., user management).</w:t>
      </w:r>
    </w:p>
    <w:p>
      <w:pPr>
        <w:pStyle w:val="ListParagraph"/>
        <w:numPr>
          <w:ilvl w:val="0"/>
          <w:numId w:val="2"/>
        </w:numPr>
        <w:spacing w:after="100" w:line="276"/>
      </w:pPr>
      <w:r>
        <w:rPr>
          <w:rFonts w:ascii="Calibri" w:cs="Calibri" w:eastAsia="Calibri" w:hAnsi="Calibri"/>
          <w:sz w:val="22"/>
          <w:szCs w:val="22"/>
        </w:rPr>
        <w:t xml:space="preserve">Forms (such as ticket creation) shall provide visible validation feedback when a required field is missing or invalid.</w:t>
      </w:r>
    </w:p>
    <w:p>
      <w:pPr>
        <w:pStyle w:val="Heading2"/>
        <w:spacing w:after="140" w:before="260"/>
      </w:pPr>
      <w:r>
        <w:rPr>
          <w:rFonts w:ascii="Calibri" w:cs="Calibri" w:eastAsia="Calibri" w:hAnsi="Calibri"/>
          <w:b/>
          <w:bCs/>
          <w:color w:val="1F4E79"/>
          <w:sz w:val="24"/>
          <w:szCs w:val="24"/>
        </w:rPr>
        <w:t xml:space="preserve">7.2 API / Interface Expectations</w:t>
      </w:r>
    </w:p>
    <w:p>
      <w:pPr>
        <w:spacing w:after="160" w:line="276"/>
        <w:jc w:val="both"/>
      </w:pPr>
      <w:r>
        <w:rPr>
          <w:rFonts w:ascii="Calibri" w:cs="Calibri" w:eastAsia="Calibri" w:hAnsi="Calibri"/>
          <w:sz w:val="22"/>
          <w:szCs w:val="22"/>
        </w:rPr>
        <w:t xml:space="preserve">The application is expected to expose an internal interface (e.g., a web API) between its user interface and its business logic/data layer, sufficient to support the functional requirements above and to allow the automated Selenium tests planned in the Week 2 backlog to exercise the application's workflows. The specific technology and API design are implementation decisions for the technical design phase and are not fixed by this SRS.</w:t>
      </w:r>
    </w:p>
    <w:p>
      <w:pPr>
        <w:pStyle w:val="Heading2"/>
        <w:spacing w:after="140" w:before="260"/>
      </w:pPr>
      <w:r>
        <w:rPr>
          <w:rFonts w:ascii="Calibri" w:cs="Calibri" w:eastAsia="Calibri" w:hAnsi="Calibri"/>
          <w:b/>
          <w:bCs/>
          <w:color w:val="1F4E79"/>
          <w:sz w:val="24"/>
          <w:szCs w:val="24"/>
        </w:rPr>
        <w:t xml:space="preserve">7.3 Database Interaction Expectations</w:t>
      </w:r>
    </w:p>
    <w:p>
      <w:pPr>
        <w:spacing w:after="160" w:line="276"/>
        <w:jc w:val="both"/>
      </w:pPr>
      <w:r>
        <w:rPr>
          <w:rFonts w:ascii="Calibri" w:cs="Calibri" w:eastAsia="Calibri" w:hAnsi="Calibri"/>
          <w:sz w:val="22"/>
          <w:szCs w:val="22"/>
        </w:rPr>
        <w:t xml:space="preserve">The system is expected to persist ticket, user, and category data in a backing data store such that data survives an application restart. The specific database technology and schema are outside the scope of this document and will be addressed in a separate database design document; this SRS defines only the data content expected to be stored (see Section 8).</w:t>
      </w:r>
    </w:p>
    <w:p>
      <w:pPr>
        <w:pStyle w:val="Heading2"/>
        <w:spacing w:after="140" w:before="260"/>
      </w:pPr>
      <w:r>
        <w:rPr>
          <w:rFonts w:ascii="Calibri" w:cs="Calibri" w:eastAsia="Calibri" w:hAnsi="Calibri"/>
          <w:b/>
          <w:bCs/>
          <w:color w:val="1F4E79"/>
          <w:sz w:val="24"/>
          <w:szCs w:val="24"/>
        </w:rPr>
        <w:t xml:space="preserve">7.4 Browser Requirements</w:t>
      </w:r>
    </w:p>
    <w:p>
      <w:pPr>
        <w:pStyle w:val="ListParagraph"/>
        <w:numPr>
          <w:ilvl w:val="0"/>
          <w:numId w:val="2"/>
        </w:numPr>
        <w:spacing w:after="100" w:line="276"/>
      </w:pPr>
      <w:r>
        <w:rPr>
          <w:rFonts w:ascii="Calibri" w:cs="Calibri" w:eastAsia="Calibri" w:hAnsi="Calibri"/>
          <w:sz w:val="22"/>
          <w:szCs w:val="22"/>
        </w:rPr>
        <w:t xml:space="preserve">The application shall be usable on at least one current desktop browser (e.g., a recent version of Google Chrome or Mozilla Firefox).</w:t>
      </w:r>
    </w:p>
    <w:p>
      <w:pPr>
        <w:pStyle w:val="ListParagraph"/>
        <w:numPr>
          <w:ilvl w:val="0"/>
          <w:numId w:val="2"/>
        </w:numPr>
        <w:spacing w:after="100" w:line="276"/>
      </w:pPr>
      <w:r>
        <w:rPr>
          <w:rFonts w:ascii="Calibri" w:cs="Calibri" w:eastAsia="Calibri" w:hAnsi="Calibri"/>
          <w:sz w:val="22"/>
          <w:szCs w:val="22"/>
        </w:rPr>
        <w:t xml:space="preserve">The application is not required to support legacy browsers or to provide a dedicated mobile-optimised interface, consistent with the Week 1 out-of-scope decision on native mobile applications.</w:t>
      </w:r>
    </w:p>
    <w:p>
      <w:pPr>
        <w:pStyle w:val="Heading1"/>
        <w:pBdr>
          <w:bottom w:val="single" w:color="1F4E79" w:sz="6" w:space="4"/>
        </w:pBdr>
        <w:spacing w:after="200" w:before="360"/>
      </w:pPr>
      <w:r>
        <w:rPr>
          <w:rFonts w:ascii="Calibri" w:cs="Calibri" w:eastAsia="Calibri" w:hAnsi="Calibri"/>
          <w:b/>
          <w:bCs/>
          <w:color w:val="1F4E79"/>
          <w:sz w:val="30"/>
          <w:szCs w:val="30"/>
        </w:rPr>
        <w:t xml:space="preserve">8. Data Requirements</w:t>
      </w:r>
    </w:p>
    <w:p>
      <w:pPr>
        <w:spacing w:after="160" w:line="276"/>
        <w:jc w:val="both"/>
      </w:pPr>
      <w:r>
        <w:rPr>
          <w:rFonts w:ascii="Calibri" w:cs="Calibri" w:eastAsia="Calibri" w:hAnsi="Calibri"/>
          <w:sz w:val="22"/>
          <w:szCs w:val="22"/>
        </w:rPr>
        <w:t xml:space="preserve">This section describes the information a ticket record must contain, at the level of a data dictionary. It does not define the database schema, table structure, or storage technology — these are addressed separately in the project's database design work.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Field</w:t>
            </w:r>
          </w:p>
        </w:tc>
        <w:tc>
          <w:tcPr>
            <w:tcW w:type="dxa" w:w="74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Description</w:t>
            </w:r>
          </w:p>
        </w:tc>
      </w:tr>
      <w:tr>
        <w:tc>
          <w:tcPr>
            <w:tcW w:type="dxa" w:w="22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Ticket ID</w:t>
            </w:r>
          </w:p>
        </w:tc>
        <w:tc>
          <w:tcPr>
            <w:tcW w:type="dxa" w:w="74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A unique identifier automatically generated by the system when a ticket is created.</w:t>
            </w:r>
          </w:p>
        </w:tc>
      </w:tr>
      <w:tr>
        <w:tc>
          <w:tcPr>
            <w:tcW w:type="dxa" w:w="22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Title</w:t>
            </w:r>
          </w:p>
        </w:tc>
        <w:tc>
          <w:tcPr>
            <w:tcW w:type="dxa" w:w="74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A short, user-supplied summary of the issue, required at creation.</w:t>
            </w:r>
          </w:p>
        </w:tc>
      </w:tr>
      <w:tr>
        <w:tc>
          <w:tcPr>
            <w:tcW w:type="dxa" w:w="22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Description</w:t>
            </w:r>
          </w:p>
        </w:tc>
        <w:tc>
          <w:tcPr>
            <w:tcW w:type="dxa" w:w="74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A free-text explanation of the issue, required at creation.</w:t>
            </w:r>
          </w:p>
        </w:tc>
      </w:tr>
      <w:tr>
        <w:tc>
          <w:tcPr>
            <w:tcW w:type="dxa" w:w="22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Category</w:t>
            </w:r>
          </w:p>
        </w:tc>
        <w:tc>
          <w:tcPr>
            <w:tcW w:type="dxa" w:w="74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A classification of the issue (e.g., Hardware, Software, Network, Access), selected at creation from a defined list.</w:t>
            </w:r>
          </w:p>
        </w:tc>
      </w:tr>
      <w:tr>
        <w:tc>
          <w:tcPr>
            <w:tcW w:type="dxa" w:w="22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Priority</w:t>
            </w:r>
          </w:p>
        </w:tc>
        <w:tc>
          <w:tcPr>
            <w:tcW w:type="dxa" w:w="74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An indication of urgency (e.g., Low, Medium, High), used to help IT Support Staff order their work.</w:t>
            </w:r>
          </w:p>
        </w:tc>
      </w:tr>
      <w:tr>
        <w:tc>
          <w:tcPr>
            <w:tcW w:type="dxa" w:w="22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Status</w:t>
            </w:r>
          </w:p>
        </w:tc>
        <w:tc>
          <w:tcPr>
            <w:tcW w:type="dxa" w:w="74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current workflow state of the ticket, per Section 3.3 (Open, Assigned, In Progress, Resolved, Closed).</w:t>
            </w:r>
          </w:p>
        </w:tc>
      </w:tr>
      <w:tr>
        <w:tc>
          <w:tcPr>
            <w:tcW w:type="dxa" w:w="22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Created Date</w:t>
            </w:r>
          </w:p>
        </w:tc>
        <w:tc>
          <w:tcPr>
            <w:tcW w:type="dxa" w:w="74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date and time the ticket was created, recorded automatically by the system.</w:t>
            </w:r>
          </w:p>
        </w:tc>
      </w:tr>
      <w:tr>
        <w:tc>
          <w:tcPr>
            <w:tcW w:type="dxa" w:w="22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Updated Date</w:t>
            </w:r>
          </w:p>
        </w:tc>
        <w:tc>
          <w:tcPr>
            <w:tcW w:type="dxa" w:w="74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date and time of the most recent update to the ticket, recorded automatically by the system.</w:t>
            </w:r>
          </w:p>
        </w:tc>
      </w:tr>
      <w:tr>
        <w:tc>
          <w:tcPr>
            <w:tcW w:type="dxa" w:w="22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Created By</w:t>
            </w:r>
          </w:p>
        </w:tc>
        <w:tc>
          <w:tcPr>
            <w:tcW w:type="dxa" w:w="74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identity of the Employee who raised the ticket.</w:t>
            </w:r>
          </w:p>
        </w:tc>
      </w:tr>
      <w:tr>
        <w:tc>
          <w:tcPr>
            <w:tcW w:type="dxa" w:w="22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Assigned To</w:t>
            </w:r>
          </w:p>
        </w:tc>
        <w:tc>
          <w:tcPr>
            <w:tcW w:type="dxa" w:w="74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identity of the IT Support Staff member currently responsible for the ticket, if assigned.</w:t>
            </w:r>
          </w:p>
        </w:tc>
      </w:tr>
      <w:tr>
        <w:tc>
          <w:tcPr>
            <w:tcW w:type="dxa" w:w="22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Resolution Notes</w:t>
            </w:r>
          </w:p>
        </w:tc>
        <w:tc>
          <w:tcPr>
            <w:tcW w:type="dxa" w:w="74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Free-text notes recorded by IT Support Staff describing the action taken to resolve the issue.</w:t>
            </w:r>
          </w:p>
        </w:tc>
      </w:tr>
    </w:tbl>
    <w:p>
      <w:pPr>
        <w:pStyle w:val="Heading1"/>
        <w:pBdr>
          <w:bottom w:val="single" w:color="1F4E79" w:sz="6" w:space="4"/>
        </w:pBdr>
        <w:spacing w:after="200" w:before="360"/>
      </w:pPr>
      <w:r>
        <w:rPr>
          <w:rFonts w:ascii="Calibri" w:cs="Calibri" w:eastAsia="Calibri" w:hAnsi="Calibri"/>
          <w:b/>
          <w:bCs/>
          <w:color w:val="1F4E79"/>
          <w:sz w:val="30"/>
          <w:szCs w:val="30"/>
        </w:rPr>
        <w:t xml:space="preserve">9. Security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8400"/>
      </w:tblGrid>
      <w:tr>
        <w:trPr>
          <w:tblHeader/>
        </w:trPr>
        <w:tc>
          <w:tcPr>
            <w:tcW w:type="dxa" w:w="9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ID</w:t>
            </w:r>
          </w:p>
        </w:tc>
        <w:tc>
          <w:tcPr>
            <w:tcW w:type="dxa" w:w="84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Requirement</w:t>
            </w:r>
          </w:p>
        </w:tc>
      </w:tr>
      <w:tr>
        <w:tc>
          <w:tcPr>
            <w:tcW w:type="dxa" w:w="9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SR-01</w:t>
            </w:r>
          </w:p>
        </w:tc>
        <w:tc>
          <w:tcPr>
            <w:tcW w:type="dxa" w:w="84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system shall require a valid username and password before granting access to any ticket data or role-restricted function.</w:t>
            </w:r>
          </w:p>
        </w:tc>
      </w:tr>
      <w:tr>
        <w:tc>
          <w:tcPr>
            <w:tcW w:type="dxa" w:w="9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SR-02</w:t>
            </w:r>
          </w:p>
        </w:tc>
        <w:tc>
          <w:tcPr>
            <w:tcW w:type="dxa" w:w="84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Passwords shall be stored in a hashed (non-reversible) form rather than in plain text.</w:t>
            </w:r>
          </w:p>
        </w:tc>
      </w:tr>
      <w:tr>
        <w:tc>
          <w:tcPr>
            <w:tcW w:type="dxa" w:w="9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SR-03</w:t>
            </w:r>
          </w:p>
        </w:tc>
        <w:tc>
          <w:tcPr>
            <w:tcW w:type="dxa" w:w="84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system shall enforce role-based access control server-side (not only by hiding UI elements), so that a user cannot access data or actions outside their role by directly requesting a restricted function.</w:t>
            </w:r>
          </w:p>
        </w:tc>
      </w:tr>
      <w:tr>
        <w:tc>
          <w:tcPr>
            <w:tcW w:type="dxa" w:w="9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SR-04</w:t>
            </w:r>
          </w:p>
        </w:tc>
        <w:tc>
          <w:tcPr>
            <w:tcW w:type="dxa" w:w="84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User sessions shall expire after a period of inactivity, requiring re-authentication.</w:t>
            </w:r>
          </w:p>
        </w:tc>
      </w:tr>
      <w:tr>
        <w:tc>
          <w:tcPr>
            <w:tcW w:type="dxa" w:w="9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SR-05</w:t>
            </w:r>
          </w:p>
        </w:tc>
        <w:tc>
          <w:tcPr>
            <w:tcW w:type="dxa" w:w="84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The system shall not expose one user's ticket data to another user who is not permitted to view it, as defined in Section 6.</w:t>
            </w:r>
          </w:p>
        </w:tc>
      </w:tr>
    </w:tbl>
    <w:p>
      <w:pPr>
        <w:pStyle w:val="Heading1"/>
        <w:pBdr>
          <w:bottom w:val="single" w:color="1F4E79" w:sz="6" w:space="4"/>
        </w:pBdr>
        <w:spacing w:after="200" w:before="360"/>
      </w:pPr>
      <w:r>
        <w:rPr>
          <w:rFonts w:ascii="Calibri" w:cs="Calibri" w:eastAsia="Calibri" w:hAnsi="Calibri"/>
          <w:b/>
          <w:bCs/>
          <w:color w:val="1F4E79"/>
          <w:sz w:val="30"/>
          <w:szCs w:val="30"/>
        </w:rPr>
        <w:t xml:space="preserve">10. Error Handling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8400"/>
      </w:tblGrid>
      <w:tr>
        <w:trPr>
          <w:tblHeader/>
        </w:trPr>
        <w:tc>
          <w:tcPr>
            <w:tcW w:type="dxa" w:w="9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ID</w:t>
            </w:r>
          </w:p>
        </w:tc>
        <w:tc>
          <w:tcPr>
            <w:tcW w:type="dxa" w:w="84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Requirement</w:t>
            </w:r>
          </w:p>
        </w:tc>
      </w:tr>
      <w:tr>
        <w:tc>
          <w:tcPr>
            <w:tcW w:type="dxa" w:w="9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ER-01</w:t>
            </w:r>
          </w:p>
        </w:tc>
        <w:tc>
          <w:tcPr>
            <w:tcW w:type="dxa" w:w="84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If a user submits a ticket creation form with a missing required field, the system shall reject the submission and clearly indicate which field(s) are missing, without discarding the data already entered.</w:t>
            </w:r>
          </w:p>
        </w:tc>
      </w:tr>
      <w:tr>
        <w:tc>
          <w:tcPr>
            <w:tcW w:type="dxa" w:w="9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ER-02</w:t>
            </w:r>
          </w:p>
        </w:tc>
        <w:tc>
          <w:tcPr>
            <w:tcW w:type="dxa" w:w="84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If a login attempt fails, the system shall display a generic error message that does not reveal whether the username or the password was incorrect, and shall not lock the interface itself (account lockout policy, if any, is a security decision to be defined in later design work).</w:t>
            </w:r>
          </w:p>
        </w:tc>
      </w:tr>
      <w:tr>
        <w:tc>
          <w:tcPr>
            <w:tcW w:type="dxa" w:w="9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ER-03</w:t>
            </w:r>
          </w:p>
        </w:tc>
        <w:tc>
          <w:tcPr>
            <w:tcW w:type="dxa" w:w="84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If a user attempts an action outside their role's permissions (e.g., an Employee attempting to update ticket status), the system shall reject the action and display an appropriate access-denied message.</w:t>
            </w:r>
          </w:p>
        </w:tc>
      </w:tr>
      <w:tr>
        <w:tc>
          <w:tcPr>
            <w:tcW w:type="dxa" w:w="9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ER-04</w:t>
            </w:r>
          </w:p>
        </w:tc>
        <w:tc>
          <w:tcPr>
            <w:tcW w:type="dxa" w:w="84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If an invalid status transition is attempted (Section 3.3), the system shall reject it and inform the user of the ticket's current valid next state(s).</w:t>
            </w:r>
          </w:p>
        </w:tc>
      </w:tr>
      <w:tr>
        <w:tc>
          <w:tcPr>
            <w:tcW w:type="dxa" w:w="9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ER-05</w:t>
            </w:r>
          </w:p>
        </w:tc>
        <w:tc>
          <w:tcPr>
            <w:tcW w:type="dxa" w:w="84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If the system is unable to persist a ticket creation or update (e.g., due to a backend/database error), the system shall inform the user that the action did not complete, rather than showing a false success confirmation.</w:t>
            </w:r>
          </w:p>
        </w:tc>
      </w:tr>
    </w:tbl>
    <w:p>
      <w:pPr>
        <w:pStyle w:val="Heading1"/>
        <w:pBdr>
          <w:bottom w:val="single" w:color="1F4E79" w:sz="6" w:space="4"/>
        </w:pBdr>
        <w:spacing w:after="200" w:before="360"/>
      </w:pPr>
      <w:r>
        <w:rPr>
          <w:rFonts w:ascii="Calibri" w:cs="Calibri" w:eastAsia="Calibri" w:hAnsi="Calibri"/>
          <w:b/>
          <w:bCs/>
          <w:color w:val="1F4E79"/>
          <w:sz w:val="30"/>
          <w:szCs w:val="30"/>
        </w:rPr>
        <w:t xml:space="preserve">11. Traceability Matrix</w:t>
      </w:r>
    </w:p>
    <w:p>
      <w:pPr>
        <w:spacing w:after="160" w:line="276"/>
        <w:jc w:val="both"/>
      </w:pPr>
      <w:r>
        <w:rPr>
          <w:rFonts w:ascii="Calibri" w:cs="Calibri" w:eastAsia="Calibri" w:hAnsi="Calibri"/>
          <w:sz w:val="22"/>
          <w:szCs w:val="22"/>
        </w:rPr>
        <w:t xml:space="preserve">The table below traces each core business objective from the Week 1 scope through its corresponding Week 2 user story, the functional requirement(s) defined in this SRS, and the acceptance criteria that will be used to verify it (as first defined in the Week 2 document, and elaborated here where the workflow was refined).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700"/>
        <w:gridCol w:w="2700"/>
      </w:tblGrid>
      <w:tr>
        <w:trPr>
          <w:tblHeader/>
        </w:trPr>
        <w:tc>
          <w:tcPr>
            <w:tcW w:type="dxa" w:w="25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Business Objective</w:t>
            </w:r>
          </w:p>
        </w:tc>
        <w:tc>
          <w:tcPr>
            <w:tcW w:type="dxa" w:w="20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User Story</w:t>
            </w:r>
          </w:p>
        </w:tc>
        <w:tc>
          <w:tcPr>
            <w:tcW w:type="dxa" w:w="17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Functional Requirement(s)</w:t>
            </w:r>
          </w:p>
        </w:tc>
        <w:tc>
          <w:tcPr>
            <w:tcW w:type="dxa" w:w="2700"/>
            <w:shd w:fill="1F4E79" w:val="clear"/>
            <w:tcMar>
              <w:top w:type="dxa" w:w="80"/>
              <w:left w:type="dxa" w:w="100"/>
              <w:bottom w:type="dxa" w:w="80"/>
              <w:right w:type="dxa" w:w="100"/>
            </w:tcMar>
            <w:vAlign w:val="center"/>
          </w:tcPr>
          <w:p>
            <w:pPr>
              <w:spacing w:after="40" w:line="250"/>
            </w:pPr>
            <w:r>
              <w:rPr>
                <w:rFonts w:ascii="Calibri" w:cs="Calibri" w:eastAsia="Calibri" w:hAnsi="Calibri"/>
                <w:b/>
                <w:bCs/>
                <w:color w:val="FFFFFF"/>
                <w:sz w:val="18"/>
                <w:szCs w:val="18"/>
              </w:rPr>
              <w:t xml:space="preserve">Acceptance Criteria Reference</w:t>
            </w:r>
          </w:p>
        </w:tc>
      </w:tr>
      <w:tr>
        <w:tc>
          <w:tcPr>
            <w:tcW w:type="dxa" w:w="25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Employees can report IT issues without informal, untracked communication.</w:t>
            </w:r>
          </w:p>
        </w:tc>
        <w:tc>
          <w:tcPr>
            <w:tcW w:type="dxa" w:w="20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US-02 — Create ticket</w:t>
            </w:r>
          </w:p>
        </w:tc>
        <w:tc>
          <w:tcPr>
            <w:tcW w:type="dxa" w:w="17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FR-04</w:t>
            </w:r>
          </w:p>
        </w:tc>
        <w:tc>
          <w:tcPr>
            <w:tcW w:type="dxa" w:w="27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Ticket created with category and description; unique ID and "Open" status assigned automatically (US-02 AC).</w:t>
            </w:r>
          </w:p>
        </w:tc>
      </w:tr>
      <w:tr>
        <w:tc>
          <w:tcPr>
            <w:tcW w:type="dxa" w:w="25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Employees can check on issues they reported without contacting IT support again.</w:t>
            </w:r>
          </w:p>
        </w:tc>
        <w:tc>
          <w:tcPr>
            <w:tcW w:type="dxa" w:w="20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US-03 — View own tickets</w:t>
            </w:r>
          </w:p>
        </w:tc>
        <w:tc>
          <w:tcPr>
            <w:tcW w:type="dxa" w:w="17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FR-05</w:t>
            </w:r>
          </w:p>
        </w:tc>
        <w:tc>
          <w:tcPr>
            <w:tcW w:type="dxa" w:w="27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Employee views own tickets with ID, category, status, and creation date (US-03 AC).</w:t>
            </w:r>
          </w:p>
        </w:tc>
      </w:tr>
      <w:tr>
        <w:tc>
          <w:tcPr>
            <w:tcW w:type="dxa" w:w="25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IT Support Staff have an organised, shared view of outstanding work.</w:t>
            </w:r>
          </w:p>
        </w:tc>
        <w:tc>
          <w:tcPr>
            <w:tcW w:type="dxa" w:w="20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US-05 — View ticket queue</w:t>
            </w:r>
          </w:p>
        </w:tc>
        <w:tc>
          <w:tcPr>
            <w:tcW w:type="dxa" w:w="17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FR-05</w:t>
            </w:r>
          </w:p>
        </w:tc>
        <w:tc>
          <w:tcPr>
            <w:tcW w:type="dxa" w:w="27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IT Support Staff views open/in-progress tickets with key details (US-05 AC).</w:t>
            </w:r>
          </w:p>
        </w:tc>
      </w:tr>
      <w:tr>
        <w:tc>
          <w:tcPr>
            <w:tcW w:type="dxa" w:w="25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Ticket handling is tracked and accountable as it progresses.</w:t>
            </w:r>
          </w:p>
        </w:tc>
        <w:tc>
          <w:tcPr>
            <w:tcW w:type="dxa" w:w="20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US-06 — Update status</w:t>
            </w:r>
          </w:p>
        </w:tc>
        <w:tc>
          <w:tcPr>
            <w:tcW w:type="dxa" w:w="17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FR-06, FR-08–FR-12</w:t>
            </w:r>
          </w:p>
        </w:tc>
        <w:tc>
          <w:tcPr>
            <w:tcW w:type="dxa" w:w="27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Status changes only via valid transitions; visible to the Employee immediately (US-06 AC).</w:t>
            </w:r>
          </w:p>
        </w:tc>
      </w:tr>
      <w:tr>
        <w:tc>
          <w:tcPr>
            <w:tcW w:type="dxa" w:w="25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Resolution actions are documented for future reference.</w:t>
            </w:r>
          </w:p>
        </w:tc>
        <w:tc>
          <w:tcPr>
            <w:tcW w:type="dxa" w:w="20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US-07 — Add resolution notes</w:t>
            </w:r>
          </w:p>
        </w:tc>
        <w:tc>
          <w:tcPr>
            <w:tcW w:type="dxa" w:w="17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FR-06</w:t>
            </w:r>
          </w:p>
        </w:tc>
        <w:tc>
          <w:tcPr>
            <w:tcW w:type="dxa" w:w="27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Notes are timestamped and retained as part of ticket history (US-07 AC).</w:t>
            </w:r>
          </w:p>
        </w:tc>
      </w:tr>
      <w:tr>
        <w:tc>
          <w:tcPr>
            <w:tcW w:type="dxa" w:w="25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Users can find specific tickets without manually scanning full lists.</w:t>
            </w:r>
          </w:p>
        </w:tc>
        <w:tc>
          <w:tcPr>
            <w:tcW w:type="dxa" w:w="20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US-04 / US-08 — Search tickets</w:t>
            </w:r>
          </w:p>
        </w:tc>
        <w:tc>
          <w:tcPr>
            <w:tcW w:type="dxa" w:w="17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FR-07</w:t>
            </w:r>
          </w:p>
        </w:tc>
        <w:tc>
          <w:tcPr>
            <w:tcW w:type="dxa" w:w="27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Search/filter by keyword, status, or category, scoped to the user's role (Section 6).</w:t>
            </w:r>
          </w:p>
        </w:tc>
      </w:tr>
      <w:tr>
        <w:tc>
          <w:tcPr>
            <w:tcW w:type="dxa" w:w="25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Administrators have full oversight of ticketing activity.</w:t>
            </w:r>
          </w:p>
        </w:tc>
        <w:tc>
          <w:tcPr>
            <w:tcW w:type="dxa" w:w="20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US-09 — View all tickets</w:t>
            </w:r>
          </w:p>
        </w:tc>
        <w:tc>
          <w:tcPr>
            <w:tcW w:type="dxa" w:w="17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FR-05</w:t>
            </w:r>
          </w:p>
        </w:tc>
        <w:tc>
          <w:tcPr>
            <w:tcW w:type="dxa" w:w="27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Administrator views all tickets regardless of creator or assignee (US-09 AC).</w:t>
            </w:r>
          </w:p>
        </w:tc>
      </w:tr>
      <w:tr>
        <w:tc>
          <w:tcPr>
            <w:tcW w:type="dxa" w:w="25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Management/administration can assess workload at a glance.</w:t>
            </w:r>
          </w:p>
        </w:tc>
        <w:tc>
          <w:tcPr>
            <w:tcW w:type="dxa" w:w="20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US-11 — Summary dashboard</w:t>
            </w:r>
          </w:p>
        </w:tc>
        <w:tc>
          <w:tcPr>
            <w:tcW w:type="dxa" w:w="17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FR-13, FR-14, FR-16</w:t>
            </w:r>
          </w:p>
        </w:tc>
        <w:tc>
          <w:tcPr>
            <w:tcW w:type="dxa" w:w="2700"/>
            <w:shd w:fill="F2F6FA" w:val="clear"/>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Dashboard shows counts by status and category, reflecting current data (US-11 AC).</w:t>
            </w:r>
          </w:p>
        </w:tc>
      </w:tr>
      <w:tr>
        <w:tc>
          <w:tcPr>
            <w:tcW w:type="dxa" w:w="25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Access to the system is controlled and role-appropriate.</w:t>
            </w:r>
          </w:p>
        </w:tc>
        <w:tc>
          <w:tcPr>
            <w:tcW w:type="dxa" w:w="20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US-01, US-10 — Login; manage users</w:t>
            </w:r>
          </w:p>
        </w:tc>
        <w:tc>
          <w:tcPr>
            <w:tcW w:type="dxa" w:w="17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FR-01, FR-02, FR-03</w:t>
            </w:r>
          </w:p>
        </w:tc>
        <w:tc>
          <w:tcPr>
            <w:tcW w:type="dxa" w:w="2700"/>
            <w:tcMar>
              <w:top w:type="dxa" w:w="80"/>
              <w:left w:type="dxa" w:w="100"/>
              <w:bottom w:type="dxa" w:w="80"/>
              <w:right w:type="dxa" w:w="100"/>
            </w:tcMar>
            <w:vAlign w:val="center"/>
          </w:tcPr>
          <w:p>
            <w:pPr>
              <w:spacing w:after="40" w:line="250"/>
            </w:pPr>
            <w:r>
              <w:rPr>
                <w:rFonts w:ascii="Calibri" w:cs="Calibri" w:eastAsia="Calibri" w:hAnsi="Calibri"/>
                <w:sz w:val="18"/>
                <w:szCs w:val="18"/>
              </w:rPr>
              <w:t xml:space="preserve">Valid/invalid login handled correctly; user directed per role (US-01 AC).</w:t>
            </w:r>
          </w:p>
        </w:tc>
      </w:tr>
    </w:tbl>
    <w:p>
      <w:pPr>
        <w:pStyle w:val="Heading1"/>
        <w:pBdr>
          <w:bottom w:val="single" w:color="1F4E79" w:sz="6" w:space="4"/>
        </w:pBdr>
        <w:spacing w:after="200" w:before="360"/>
      </w:pPr>
      <w:r>
        <w:rPr>
          <w:rFonts w:ascii="Calibri" w:cs="Calibri" w:eastAsia="Calibri" w:hAnsi="Calibri"/>
          <w:b/>
          <w:bCs/>
          <w:color w:val="1F4E79"/>
          <w:sz w:val="30"/>
          <w:szCs w:val="30"/>
        </w:rPr>
        <w:t xml:space="preserve">12. Out-of-Scope Requirements</w:t>
      </w:r>
    </w:p>
    <w:p>
      <w:pPr>
        <w:spacing w:after="160" w:line="276"/>
        <w:jc w:val="both"/>
      </w:pPr>
      <w:r>
        <w:rPr>
          <w:rFonts w:ascii="Calibri" w:cs="Calibri" w:eastAsia="Calibri" w:hAnsi="Calibri"/>
          <w:sz w:val="22"/>
          <w:szCs w:val="22"/>
        </w:rPr>
        <w:t xml:space="preserve">Consistent with the Week 1 scope document, the following are explicitly not required of the system by this SRS:</w:t>
      </w:r>
    </w:p>
    <w:p>
      <w:pPr>
        <w:pStyle w:val="ListParagraph"/>
        <w:numPr>
          <w:ilvl w:val="0"/>
          <w:numId w:val="2"/>
        </w:numPr>
        <w:spacing w:after="100" w:line="276"/>
      </w:pPr>
      <w:r>
        <w:rPr>
          <w:rFonts w:ascii="Calibri" w:cs="Calibri" w:eastAsia="Calibri" w:hAnsi="Calibri"/>
          <w:sz w:val="22"/>
          <w:szCs w:val="22"/>
        </w:rPr>
        <w:t xml:space="preserve">Integration with external identity systems (Active Directory/LDAP), single sign-on, or third-party ticketing platforms.</w:t>
      </w:r>
    </w:p>
    <w:p>
      <w:pPr>
        <w:pStyle w:val="ListParagraph"/>
        <w:numPr>
          <w:ilvl w:val="0"/>
          <w:numId w:val="2"/>
        </w:numPr>
        <w:spacing w:after="100" w:line="276"/>
      </w:pPr>
      <w:r>
        <w:rPr>
          <w:rFonts w:ascii="Calibri" w:cs="Calibri" w:eastAsia="Calibri" w:hAnsi="Calibri"/>
          <w:sz w:val="22"/>
          <w:szCs w:val="22"/>
        </w:rPr>
        <w:t xml:space="preserve">Formal ITIL-aligned processes such as SLA enforcement, change management, or a configuration management database (CMDB).</w:t>
      </w:r>
    </w:p>
    <w:p>
      <w:pPr>
        <w:pStyle w:val="ListParagraph"/>
        <w:numPr>
          <w:ilvl w:val="0"/>
          <w:numId w:val="2"/>
        </w:numPr>
        <w:spacing w:after="100" w:line="276"/>
      </w:pPr>
      <w:r>
        <w:rPr>
          <w:rFonts w:ascii="Calibri" w:cs="Calibri" w:eastAsia="Calibri" w:hAnsi="Calibri"/>
          <w:sz w:val="22"/>
          <w:szCs w:val="22"/>
        </w:rPr>
        <w:t xml:space="preserve">Multi-organisation or multi-tenant support.</w:t>
      </w:r>
    </w:p>
    <w:p>
      <w:pPr>
        <w:pStyle w:val="ListParagraph"/>
        <w:numPr>
          <w:ilvl w:val="0"/>
          <w:numId w:val="2"/>
        </w:numPr>
        <w:spacing w:after="100" w:line="276"/>
      </w:pPr>
      <w:r>
        <w:rPr>
          <w:rFonts w:ascii="Calibri" w:cs="Calibri" w:eastAsia="Calibri" w:hAnsi="Calibri"/>
          <w:sz w:val="22"/>
          <w:szCs w:val="22"/>
        </w:rPr>
        <w:t xml:space="preserve">Native mobile applications; only a browser-based responsive-capable web interface is required.</w:t>
      </w:r>
    </w:p>
    <w:p>
      <w:pPr>
        <w:pStyle w:val="ListParagraph"/>
        <w:numPr>
          <w:ilvl w:val="0"/>
          <w:numId w:val="2"/>
        </w:numPr>
        <w:spacing w:after="100" w:line="276"/>
      </w:pPr>
      <w:r>
        <w:rPr>
          <w:rFonts w:ascii="Calibri" w:cs="Calibri" w:eastAsia="Calibri" w:hAnsi="Calibri"/>
          <w:sz w:val="22"/>
          <w:szCs w:val="22"/>
        </w:rPr>
        <w:t xml:space="preserve">Advanced analytics, reporting, or automated/ML-based ticket categorisation.</w:t>
      </w:r>
    </w:p>
    <w:p>
      <w:pPr>
        <w:pStyle w:val="ListParagraph"/>
        <w:numPr>
          <w:ilvl w:val="0"/>
          <w:numId w:val="2"/>
        </w:numPr>
        <w:spacing w:after="100" w:line="276"/>
      </w:pPr>
      <w:r>
        <w:rPr>
          <w:rFonts w:ascii="Calibri" w:cs="Calibri" w:eastAsia="Calibri" w:hAnsi="Calibri"/>
          <w:sz w:val="22"/>
          <w:szCs w:val="22"/>
        </w:rPr>
        <w:t xml:space="preserve">Real-time chat, SMS notifications, or ticket creation via inbound email.</w:t>
      </w:r>
    </w:p>
    <w:p>
      <w:pPr>
        <w:pStyle w:val="ListParagraph"/>
        <w:numPr>
          <w:ilvl w:val="0"/>
          <w:numId w:val="2"/>
        </w:numPr>
        <w:spacing w:after="100" w:line="276"/>
      </w:pPr>
      <w:r>
        <w:rPr>
          <w:rFonts w:ascii="Calibri" w:cs="Calibri" w:eastAsia="Calibri" w:hAnsi="Calibri"/>
          <w:sz w:val="22"/>
          <w:szCs w:val="22"/>
        </w:rPr>
        <w:t xml:space="preserve">Production-grade security certification, penetration testing, or compliance auditing.</w:t>
      </w:r>
    </w:p>
    <w:p>
      <w:pPr>
        <w:pStyle w:val="Heading1"/>
        <w:pBdr>
          <w:bottom w:val="single" w:color="1F4E79" w:sz="6" w:space="4"/>
        </w:pBdr>
        <w:spacing w:after="200" w:before="360"/>
      </w:pPr>
      <w:r>
        <w:rPr>
          <w:rFonts w:ascii="Calibri" w:cs="Calibri" w:eastAsia="Calibri" w:hAnsi="Calibri"/>
          <w:b/>
          <w:bCs/>
          <w:color w:val="1F4E79"/>
          <w:sz w:val="30"/>
          <w:szCs w:val="30"/>
        </w:rPr>
        <w:t xml:space="preserve">13. Assumptions and Dependencies</w:t>
      </w:r>
    </w:p>
    <w:p>
      <w:pPr>
        <w:pStyle w:val="Heading2"/>
        <w:spacing w:after="140" w:before="260"/>
      </w:pPr>
      <w:r>
        <w:rPr>
          <w:rFonts w:ascii="Calibri" w:cs="Calibri" w:eastAsia="Calibri" w:hAnsi="Calibri"/>
          <w:b/>
          <w:bCs/>
          <w:color w:val="1F4E79"/>
          <w:sz w:val="24"/>
          <w:szCs w:val="24"/>
        </w:rPr>
        <w:t xml:space="preserve">13.1 Assumptions</w:t>
      </w:r>
    </w:p>
    <w:p>
      <w:pPr>
        <w:pStyle w:val="ListParagraph"/>
        <w:numPr>
          <w:ilvl w:val="0"/>
          <w:numId w:val="2"/>
        </w:numPr>
        <w:spacing w:after="100" w:line="276"/>
      </w:pPr>
      <w:r>
        <w:rPr>
          <w:rFonts w:ascii="Calibri" w:cs="Calibri" w:eastAsia="Calibri" w:hAnsi="Calibri"/>
          <w:sz w:val="22"/>
          <w:szCs w:val="22"/>
        </w:rPr>
        <w:t xml:space="preserve">User accounts are provisioned by an Administrator rather than through public self-registration, unless a later design document specifies otherwise.</w:t>
      </w:r>
    </w:p>
    <w:p>
      <w:pPr>
        <w:pStyle w:val="ListParagraph"/>
        <w:numPr>
          <w:ilvl w:val="0"/>
          <w:numId w:val="2"/>
        </w:numPr>
        <w:spacing w:after="100" w:line="276"/>
      </w:pPr>
      <w:r>
        <w:rPr>
          <w:rFonts w:ascii="Calibri" w:cs="Calibri" w:eastAsia="Calibri" w:hAnsi="Calibri"/>
          <w:sz w:val="22"/>
          <w:szCs w:val="22"/>
        </w:rPr>
        <w:t xml:space="preserve">The set of ticket categories (e.g., Hardware, Software, Network, Access) is a fixed, pre-defined list for the MVP rather than user-configurable.</w:t>
      </w:r>
    </w:p>
    <w:p>
      <w:pPr>
        <w:pStyle w:val="ListParagraph"/>
        <w:numPr>
          <w:ilvl w:val="0"/>
          <w:numId w:val="2"/>
        </w:numPr>
        <w:spacing w:after="100" w:line="276"/>
      </w:pPr>
      <w:r>
        <w:rPr>
          <w:rFonts w:ascii="Calibri" w:cs="Calibri" w:eastAsia="Calibri" w:hAnsi="Calibri"/>
          <w:sz w:val="22"/>
          <w:szCs w:val="22"/>
        </w:rPr>
        <w:t xml:space="preserve">A single Administrator role is sufficient for the MVP; multiple tiers of administrative privilege are not assumed.</w:t>
      </w:r>
    </w:p>
    <w:p>
      <w:pPr>
        <w:pStyle w:val="Heading2"/>
        <w:spacing w:after="140" w:before="260"/>
      </w:pPr>
      <w:r>
        <w:rPr>
          <w:rFonts w:ascii="Calibri" w:cs="Calibri" w:eastAsia="Calibri" w:hAnsi="Calibri"/>
          <w:b/>
          <w:bCs/>
          <w:color w:val="1F4E79"/>
          <w:sz w:val="24"/>
          <w:szCs w:val="24"/>
        </w:rPr>
        <w:t xml:space="preserve">13.2 Dependencies</w:t>
      </w:r>
    </w:p>
    <w:p>
      <w:pPr>
        <w:pStyle w:val="ListParagraph"/>
        <w:numPr>
          <w:ilvl w:val="0"/>
          <w:numId w:val="2"/>
        </w:numPr>
        <w:spacing w:after="100" w:line="276"/>
      </w:pPr>
      <w:r>
        <w:rPr>
          <w:rFonts w:ascii="Calibri" w:cs="Calibri" w:eastAsia="Calibri" w:hAnsi="Calibri"/>
          <w:sz w:val="22"/>
          <w:szCs w:val="22"/>
        </w:rPr>
        <w:t xml:space="preserve">Automated verification of these requirements depends on the Selenium test cases planned in the Week 2 backlog (PB-10), which should be written against the functional requirements and acceptance criteria in this document.</w:t>
      </w:r>
    </w:p>
    <w:p>
      <w:pPr>
        <w:pStyle w:val="ListParagraph"/>
        <w:numPr>
          <w:ilvl w:val="0"/>
          <w:numId w:val="2"/>
        </w:numPr>
        <w:spacing w:after="100" w:line="276"/>
      </w:pPr>
      <w:r>
        <w:rPr>
          <w:rFonts w:ascii="Calibri" w:cs="Calibri" w:eastAsia="Calibri" w:hAnsi="Calibri"/>
          <w:sz w:val="22"/>
          <w:szCs w:val="22"/>
        </w:rPr>
        <w:t xml:space="preserve">Deployment and demonstration of the system in a realistic environment depends on the Docker containerisation and Ansible/Puppet automation planned for later weeks (PB-11–PB-13).</w:t>
      </w:r>
    </w:p>
    <w:p>
      <w:pPr>
        <w:pStyle w:val="Heading1"/>
        <w:pBdr>
          <w:bottom w:val="single" w:color="1F4E79" w:sz="6" w:space="4"/>
        </w:pBdr>
        <w:spacing w:after="200" w:before="360"/>
      </w:pPr>
      <w:r>
        <w:rPr>
          <w:rFonts w:ascii="Calibri" w:cs="Calibri" w:eastAsia="Calibri" w:hAnsi="Calibri"/>
          <w:b/>
          <w:bCs/>
          <w:color w:val="1F4E79"/>
          <w:sz w:val="30"/>
          <w:szCs w:val="30"/>
        </w:rPr>
        <w:t xml:space="preserve">14. Acceptance Conditions</w:t>
      </w:r>
    </w:p>
    <w:p>
      <w:pPr>
        <w:spacing w:after="160" w:line="276"/>
        <w:jc w:val="both"/>
      </w:pPr>
      <w:r>
        <w:rPr>
          <w:rFonts w:ascii="Calibri" w:cs="Calibri" w:eastAsia="Calibri" w:hAnsi="Calibri"/>
          <w:sz w:val="22"/>
          <w:szCs w:val="22"/>
        </w:rPr>
        <w:t xml:space="preserve">This SRS, and the implementation built against it, will be considered acceptable when:</w:t>
      </w:r>
    </w:p>
    <w:p>
      <w:pPr>
        <w:pStyle w:val="ListParagraph"/>
        <w:numPr>
          <w:ilvl w:val="0"/>
          <w:numId w:val="3"/>
        </w:numPr>
        <w:spacing w:after="100" w:line="276"/>
      </w:pPr>
      <w:r>
        <w:rPr>
          <w:rFonts w:ascii="Calibri" w:cs="Calibri" w:eastAsia="Calibri" w:hAnsi="Calibri"/>
          <w:sz w:val="22"/>
          <w:szCs w:val="22"/>
        </w:rPr>
        <w:t xml:space="preserve">Every functional requirement in Section 3 has a corresponding, demonstrable behaviour in the implemented application.</w:t>
      </w:r>
    </w:p>
    <w:p>
      <w:pPr>
        <w:pStyle w:val="ListParagraph"/>
        <w:numPr>
          <w:ilvl w:val="0"/>
          <w:numId w:val="3"/>
        </w:numPr>
        <w:spacing w:after="100" w:line="276"/>
      </w:pPr>
      <w:r>
        <w:rPr>
          <w:rFonts w:ascii="Calibri" w:cs="Calibri" w:eastAsia="Calibri" w:hAnsi="Calibri"/>
          <w:sz w:val="22"/>
          <w:szCs w:val="22"/>
        </w:rPr>
        <w:t xml:space="preserve">Every High-priority user story from the Week 2 document (US-01, US-02, US-03, US-05, US-06, US-07, US-09, US-11) is satisfied and traceable to at least one functional requirement, per Section 11.</w:t>
      </w:r>
    </w:p>
    <w:p>
      <w:pPr>
        <w:pStyle w:val="ListParagraph"/>
        <w:numPr>
          <w:ilvl w:val="0"/>
          <w:numId w:val="3"/>
        </w:numPr>
        <w:spacing w:after="100" w:line="276"/>
      </w:pPr>
      <w:r>
        <w:rPr>
          <w:rFonts w:ascii="Calibri" w:cs="Calibri" w:eastAsia="Calibri" w:hAnsi="Calibri"/>
          <w:sz w:val="22"/>
          <w:szCs w:val="22"/>
        </w:rPr>
        <w:t xml:space="preserve">The role-based access rules in Section 6 are enforced and verified for all three user roles.</w:t>
      </w:r>
    </w:p>
    <w:p>
      <w:pPr>
        <w:pStyle w:val="ListParagraph"/>
        <w:numPr>
          <w:ilvl w:val="0"/>
          <w:numId w:val="3"/>
        </w:numPr>
        <w:spacing w:after="100" w:line="276"/>
      </w:pPr>
      <w:r>
        <w:rPr>
          <w:rFonts w:ascii="Calibri" w:cs="Calibri" w:eastAsia="Calibri" w:hAnsi="Calibri"/>
          <w:sz w:val="22"/>
          <w:szCs w:val="22"/>
        </w:rPr>
        <w:t xml:space="preserve">The non-functional requirements in Section 4 are met to the extent measurable in the academic development/demo environment.</w:t>
      </w:r>
    </w:p>
    <w:p>
      <w:pPr>
        <w:pStyle w:val="ListParagraph"/>
        <w:numPr>
          <w:ilvl w:val="0"/>
          <w:numId w:val="3"/>
        </w:numPr>
        <w:spacing w:after="100" w:line="276"/>
      </w:pPr>
      <w:r>
        <w:rPr>
          <w:rFonts w:ascii="Calibri" w:cs="Calibri" w:eastAsia="Calibri" w:hAnsi="Calibri"/>
          <w:sz w:val="22"/>
          <w:szCs w:val="22"/>
        </w:rPr>
        <w:t xml:space="preserve">The data fields defined in Section 8 are captured and retained correctly for every created ticket.</w:t>
      </w:r>
    </w:p>
    <w:p>
      <w:pPr>
        <w:pStyle w:val="Heading1"/>
        <w:pBdr>
          <w:bottom w:val="single" w:color="1F4E79" w:sz="6" w:space="4"/>
        </w:pBdr>
        <w:spacing w:after="200" w:before="360"/>
      </w:pPr>
      <w:r>
        <w:rPr>
          <w:rFonts w:ascii="Calibri" w:cs="Calibri" w:eastAsia="Calibri" w:hAnsi="Calibri"/>
          <w:b/>
          <w:bCs/>
          <w:color w:val="1F4E79"/>
          <w:sz w:val="30"/>
          <w:szCs w:val="30"/>
        </w:rPr>
        <w:t xml:space="preserve">15. Conclusion</w:t>
      </w:r>
    </w:p>
    <w:p>
      <w:pPr>
        <w:spacing w:after="160" w:line="276"/>
        <w:jc w:val="both"/>
      </w:pPr>
      <w:r>
        <w:rPr>
          <w:rFonts w:ascii="Calibri" w:cs="Calibri" w:eastAsia="Calibri" w:hAnsi="Calibri"/>
          <w:sz w:val="22"/>
          <w:szCs w:val="22"/>
        </w:rPr>
        <w:t xml:space="preserve">This SRS has translated the problem definition, scope, and Agile backlog established in Weeks 1 and 2 into a structured, testable specification of what the IT Service Desk Portal must do. It defines functional requirements for authentication, ticket management, the ticket status workflow, and the dashboard; non-functional requirements covering performance, security, usability, and related qualities; business rules; data requirements; and a traceability matrix linking business objectives through to acceptance criteria. No implementation has taken place under this document; it establishes the requirement baseline against which the technical design and subsequent development work will proceed.</w:t>
      </w:r>
    </w:p>
    <w:p>
      <w:pPr>
        <w:pStyle w:val="Heading1"/>
        <w:pBdr>
          <w:bottom w:val="single" w:color="1F4E79" w:sz="6" w:space="4"/>
        </w:pBdr>
        <w:spacing w:after="200" w:before="360"/>
      </w:pPr>
      <w:r>
        <w:rPr>
          <w:rFonts w:ascii="Calibri" w:cs="Calibri" w:eastAsia="Calibri" w:hAnsi="Calibri"/>
          <w:b/>
          <w:bCs/>
          <w:color w:val="1F4E79"/>
          <w:sz w:val="30"/>
          <w:szCs w:val="30"/>
        </w:rPr>
        <w:t xml:space="preserve">Week 3 SRS Deliverables Checklist</w:t>
      </w:r>
    </w:p>
    <w:p>
      <w:pPr>
        <w:spacing w:after="160" w:line="276"/>
        <w:jc w:val="both"/>
      </w:pPr>
      <w:r>
        <w:rPr>
          <w:rFonts w:ascii="Calibri" w:cs="Calibri" w:eastAsia="Calibri" w:hAnsi="Calibri"/>
          <w:sz w:val="22"/>
          <w:szCs w:val="22"/>
        </w:rPr>
        <w:t xml:space="preserve">The following items constitute evidence of completion for the Week 3 deliverable, "Software Requirements Specification":</w:t>
      </w:r>
    </w:p>
    <w:p>
      <w:pPr>
        <w:pStyle w:val="ListParagraph"/>
        <w:numPr>
          <w:ilvl w:val="0"/>
          <w:numId w:val="2"/>
        </w:numPr>
        <w:spacing w:after="100" w:line="276"/>
      </w:pPr>
      <w:r>
        <w:rPr>
          <w:rFonts w:ascii="Calibri" w:cs="Calibri" w:eastAsia="Calibri" w:hAnsi="Calibri"/>
          <w:sz w:val="22"/>
          <w:szCs w:val="22"/>
        </w:rPr>
        <w:t xml:space="preserve">Document control information completed (version, date, prepared by, reviewed by, status).</w:t>
      </w:r>
    </w:p>
    <w:p>
      <w:pPr>
        <w:pStyle w:val="ListParagraph"/>
        <w:numPr>
          <w:ilvl w:val="0"/>
          <w:numId w:val="2"/>
        </w:numPr>
        <w:spacing w:after="100" w:line="276"/>
      </w:pPr>
      <w:r>
        <w:rPr>
          <w:rFonts w:ascii="Calibri" w:cs="Calibri" w:eastAsia="Calibri" w:hAnsi="Calibri"/>
          <w:sz w:val="22"/>
          <w:szCs w:val="22"/>
        </w:rPr>
        <w:t xml:space="preserve">Introduction defining purpose, scope, audience, terminology, and references (Section 1).</w:t>
      </w:r>
    </w:p>
    <w:p>
      <w:pPr>
        <w:pStyle w:val="ListParagraph"/>
        <w:numPr>
          <w:ilvl w:val="0"/>
          <w:numId w:val="2"/>
        </w:numPr>
        <w:spacing w:after="100" w:line="276"/>
      </w:pPr>
      <w:r>
        <w:rPr>
          <w:rFonts w:ascii="Calibri" w:cs="Calibri" w:eastAsia="Calibri" w:hAnsi="Calibri"/>
          <w:sz w:val="22"/>
          <w:szCs w:val="22"/>
        </w:rPr>
        <w:t xml:space="preserve">Overall description covering product perspective, functions, user classes, environment, constraints, assumptions, and dependencies (Section 2).</w:t>
      </w:r>
    </w:p>
    <w:p>
      <w:pPr>
        <w:pStyle w:val="ListParagraph"/>
        <w:numPr>
          <w:ilvl w:val="0"/>
          <w:numId w:val="2"/>
        </w:numPr>
        <w:spacing w:after="100" w:line="276"/>
      </w:pPr>
      <w:r>
        <w:rPr>
          <w:rFonts w:ascii="Calibri" w:cs="Calibri" w:eastAsia="Calibri" w:hAnsi="Calibri"/>
          <w:sz w:val="22"/>
          <w:szCs w:val="22"/>
        </w:rPr>
        <w:t xml:space="preserve">Functional requirements defined with unique IDs for authentication, ticket management, ticket workflow, and dashboard (Section 3).</w:t>
      </w:r>
    </w:p>
    <w:p>
      <w:pPr>
        <w:pStyle w:val="ListParagraph"/>
        <w:numPr>
          <w:ilvl w:val="0"/>
          <w:numId w:val="2"/>
        </w:numPr>
        <w:spacing w:after="100" w:line="276"/>
      </w:pPr>
      <w:r>
        <w:rPr>
          <w:rFonts w:ascii="Calibri" w:cs="Calibri" w:eastAsia="Calibri" w:hAnsi="Calibri"/>
          <w:sz w:val="22"/>
          <w:szCs w:val="22"/>
        </w:rPr>
        <w:t xml:space="preserve">Non-functional requirements defined and made measurable where possible (Section 4).</w:t>
      </w:r>
    </w:p>
    <w:p>
      <w:pPr>
        <w:pStyle w:val="ListParagraph"/>
        <w:numPr>
          <w:ilvl w:val="0"/>
          <w:numId w:val="2"/>
        </w:numPr>
        <w:spacing w:after="100" w:line="276"/>
      </w:pPr>
      <w:r>
        <w:rPr>
          <w:rFonts w:ascii="Calibri" w:cs="Calibri" w:eastAsia="Calibri" w:hAnsi="Calibri"/>
          <w:sz w:val="22"/>
          <w:szCs w:val="22"/>
        </w:rPr>
        <w:t xml:space="preserve">User requirements described from Employee, IT Support Staff, and Administrator perspectives (Section 5).</w:t>
      </w:r>
    </w:p>
    <w:p>
      <w:pPr>
        <w:pStyle w:val="ListParagraph"/>
        <w:numPr>
          <w:ilvl w:val="0"/>
          <w:numId w:val="2"/>
        </w:numPr>
        <w:spacing w:after="100" w:line="276"/>
      </w:pPr>
      <w:r>
        <w:rPr>
          <w:rFonts w:ascii="Calibri" w:cs="Calibri" w:eastAsia="Calibri" w:hAnsi="Calibri"/>
          <w:sz w:val="22"/>
          <w:szCs w:val="22"/>
        </w:rPr>
        <w:t xml:space="preserve">Business rules defined for required fields, valid transitions, role permissions, and search behaviour (Section 6).</w:t>
      </w:r>
    </w:p>
    <w:p>
      <w:pPr>
        <w:pStyle w:val="ListParagraph"/>
        <w:numPr>
          <w:ilvl w:val="0"/>
          <w:numId w:val="2"/>
        </w:numPr>
        <w:spacing w:after="100" w:line="276"/>
      </w:pPr>
      <w:r>
        <w:rPr>
          <w:rFonts w:ascii="Calibri" w:cs="Calibri" w:eastAsia="Calibri" w:hAnsi="Calibri"/>
          <w:sz w:val="22"/>
          <w:szCs w:val="22"/>
        </w:rPr>
        <w:t xml:space="preserve">External interface requirements defined for UI, API, database interaction, and browser support (Section 7).</w:t>
      </w:r>
    </w:p>
    <w:p>
      <w:pPr>
        <w:pStyle w:val="ListParagraph"/>
        <w:numPr>
          <w:ilvl w:val="0"/>
          <w:numId w:val="2"/>
        </w:numPr>
        <w:spacing w:after="100" w:line="276"/>
      </w:pPr>
      <w:r>
        <w:rPr>
          <w:rFonts w:ascii="Calibri" w:cs="Calibri" w:eastAsia="Calibri" w:hAnsi="Calibri"/>
          <w:sz w:val="22"/>
          <w:szCs w:val="22"/>
        </w:rPr>
        <w:t xml:space="preserve">Data requirements (ticket data dictionary) defined without prescribing database schema (Section 8).</w:t>
      </w:r>
    </w:p>
    <w:p>
      <w:pPr>
        <w:pStyle w:val="ListParagraph"/>
        <w:numPr>
          <w:ilvl w:val="0"/>
          <w:numId w:val="2"/>
        </w:numPr>
        <w:spacing w:after="100" w:line="276"/>
      </w:pPr>
      <w:r>
        <w:rPr>
          <w:rFonts w:ascii="Calibri" w:cs="Calibri" w:eastAsia="Calibri" w:hAnsi="Calibri"/>
          <w:sz w:val="22"/>
          <w:szCs w:val="22"/>
        </w:rPr>
        <w:t xml:space="preserve">Security requirements defined (Section 9).</w:t>
      </w:r>
    </w:p>
    <w:p>
      <w:pPr>
        <w:pStyle w:val="ListParagraph"/>
        <w:numPr>
          <w:ilvl w:val="0"/>
          <w:numId w:val="2"/>
        </w:numPr>
        <w:spacing w:after="100" w:line="276"/>
      </w:pPr>
      <w:r>
        <w:rPr>
          <w:rFonts w:ascii="Calibri" w:cs="Calibri" w:eastAsia="Calibri" w:hAnsi="Calibri"/>
          <w:sz w:val="22"/>
          <w:szCs w:val="22"/>
        </w:rPr>
        <w:t xml:space="preserve">Error handling requirements defined (Section 10).</w:t>
      </w:r>
    </w:p>
    <w:p>
      <w:pPr>
        <w:pStyle w:val="ListParagraph"/>
        <w:numPr>
          <w:ilvl w:val="0"/>
          <w:numId w:val="2"/>
        </w:numPr>
        <w:spacing w:after="100" w:line="276"/>
      </w:pPr>
      <w:r>
        <w:rPr>
          <w:rFonts w:ascii="Calibri" w:cs="Calibri" w:eastAsia="Calibri" w:hAnsi="Calibri"/>
          <w:sz w:val="22"/>
          <w:szCs w:val="22"/>
        </w:rPr>
        <w:t xml:space="preserve">Traceability matrix completed, linking business objectives to user stories, functional requirements, and acceptance criteria (Section 11).</w:t>
      </w:r>
    </w:p>
    <w:p>
      <w:pPr>
        <w:pStyle w:val="ListParagraph"/>
        <w:numPr>
          <w:ilvl w:val="0"/>
          <w:numId w:val="2"/>
        </w:numPr>
        <w:spacing w:after="100" w:line="276"/>
      </w:pPr>
      <w:r>
        <w:rPr>
          <w:rFonts w:ascii="Calibri" w:cs="Calibri" w:eastAsia="Calibri" w:hAnsi="Calibri"/>
          <w:sz w:val="22"/>
          <w:szCs w:val="22"/>
        </w:rPr>
        <w:t xml:space="preserve">Out-of-scope requirements restated for consistency with Week 1 (Section 12).</w:t>
      </w:r>
    </w:p>
    <w:p>
      <w:pPr>
        <w:pStyle w:val="ListParagraph"/>
        <w:numPr>
          <w:ilvl w:val="0"/>
          <w:numId w:val="2"/>
        </w:numPr>
        <w:spacing w:after="100" w:line="276"/>
      </w:pPr>
      <w:r>
        <w:rPr>
          <w:rFonts w:ascii="Calibri" w:cs="Calibri" w:eastAsia="Calibri" w:hAnsi="Calibri"/>
          <w:sz w:val="22"/>
          <w:szCs w:val="22"/>
        </w:rPr>
        <w:t xml:space="preserve">Assumptions and dependencies documented (Section 13).</w:t>
      </w:r>
    </w:p>
    <w:p>
      <w:pPr>
        <w:pStyle w:val="ListParagraph"/>
        <w:numPr>
          <w:ilvl w:val="0"/>
          <w:numId w:val="2"/>
        </w:numPr>
        <w:spacing w:after="100" w:line="276"/>
      </w:pPr>
      <w:r>
        <w:rPr>
          <w:rFonts w:ascii="Calibri" w:cs="Calibri" w:eastAsia="Calibri" w:hAnsi="Calibri"/>
          <w:sz w:val="22"/>
          <w:szCs w:val="22"/>
        </w:rPr>
        <w:t xml:space="preserve">Acceptance conditions defined (Section 14).</w:t>
      </w:r>
    </w:p>
    <w:p>
      <w:pPr>
        <w:pStyle w:val="ListParagraph"/>
        <w:numPr>
          <w:ilvl w:val="0"/>
          <w:numId w:val="2"/>
        </w:numPr>
        <w:spacing w:after="100" w:line="276"/>
      </w:pPr>
      <w:r>
        <w:rPr>
          <w:rFonts w:ascii="Calibri" w:cs="Calibri" w:eastAsia="Calibri" w:hAnsi="Calibri"/>
          <w:sz w:val="22"/>
          <w:szCs w:val="22"/>
        </w:rPr>
        <w:t xml:space="preserve">This Week 3 SRS document submitted in final form.</w:t>
      </w:r>
    </w:p>
    <w:sectPr>
      <w:headerReference w:type="default" r:id="rId7"/>
      <w:footerReference w:type="default" r:id="rId8"/>
      <w:pgSz w:w="12240" w:h="15840" w:orient="portrait"/>
      <w:pgMar w:top="1080" w:right="950" w:bottom="108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3"/>
      </w:tabs>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6"/>
        <w:szCs w:val="16"/>
      </w:rPr>
      <w:t xml:space="preserve">CI/CD Pipeline for an IT Service Desk Portal — Week 3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2026-08-30T08:36:56.530Z</dcterms:created>
  <dcterms:modified xsi:type="dcterms:W3CDTF">2026-08-30T08:36:56.530Z</dcterms:modified>
</cp:coreProperties>
</file>

<file path=docProps/custom.xml><?xml version="1.0" encoding="utf-8"?>
<Properties xmlns="http://schemas.openxmlformats.org/officeDocument/2006/custom-properties" xmlns:vt="http://schemas.openxmlformats.org/officeDocument/2006/docPropsVTypes"/>
</file>