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F72AA" w14:textId="77777777" w:rsidR="00225AC8" w:rsidRPr="00225AC8" w:rsidRDefault="00225AC8" w:rsidP="00225AC8">
      <w:pPr>
        <w:jc w:val="center"/>
        <w:rPr>
          <w:rFonts w:ascii="Arial Black" w:hAnsi="Arial Black"/>
          <w:sz w:val="72"/>
          <w:szCs w:val="72"/>
        </w:rPr>
      </w:pPr>
      <w:r w:rsidRPr="00225AC8">
        <w:rPr>
          <w:rFonts w:ascii="Arial Black" w:hAnsi="Arial Black"/>
          <w:b/>
          <w:bCs/>
          <w:sz w:val="72"/>
          <w:szCs w:val="72"/>
        </w:rPr>
        <w:t>Customer Churn Analysis Report</w:t>
      </w:r>
    </w:p>
    <w:p w14:paraId="6DB03CDA" w14:textId="77777777" w:rsidR="00225AC8" w:rsidRDefault="00225AC8" w:rsidP="00225AC8">
      <w:pPr>
        <w:jc w:val="center"/>
        <w:rPr>
          <w:b/>
          <w:bCs/>
        </w:rPr>
      </w:pPr>
    </w:p>
    <w:p w14:paraId="3FEBCACF" w14:textId="77777777" w:rsidR="00225AC8" w:rsidRDefault="00225AC8" w:rsidP="00225AC8">
      <w:pPr>
        <w:jc w:val="center"/>
        <w:rPr>
          <w:b/>
          <w:bCs/>
        </w:rPr>
      </w:pPr>
    </w:p>
    <w:p w14:paraId="74792F8A" w14:textId="77777777" w:rsidR="00225AC8" w:rsidRDefault="00225AC8" w:rsidP="00225AC8">
      <w:pPr>
        <w:jc w:val="center"/>
        <w:rPr>
          <w:b/>
          <w:bCs/>
        </w:rPr>
      </w:pPr>
    </w:p>
    <w:p w14:paraId="256E90DE" w14:textId="53D02DC8" w:rsidR="00225AC8" w:rsidRPr="00225AC8" w:rsidRDefault="00225AC8" w:rsidP="00225AC8">
      <w:pPr>
        <w:jc w:val="center"/>
        <w:rPr>
          <w:rFonts w:ascii="Arial Black" w:hAnsi="Arial Black"/>
          <w:b/>
          <w:bCs/>
          <w:sz w:val="44"/>
          <w:szCs w:val="44"/>
        </w:rPr>
      </w:pPr>
      <w:r w:rsidRPr="00225AC8">
        <w:rPr>
          <w:rFonts w:ascii="Arial Black" w:hAnsi="Arial Black"/>
          <w:b/>
          <w:bCs/>
          <w:sz w:val="44"/>
          <w:szCs w:val="44"/>
        </w:rPr>
        <w:t>Introduction</w:t>
      </w:r>
    </w:p>
    <w:p w14:paraId="1DB85577" w14:textId="77777777" w:rsidR="00225AC8" w:rsidRDefault="00225AC8" w:rsidP="00225AC8">
      <w:pPr>
        <w:jc w:val="center"/>
      </w:pPr>
      <w:r w:rsidRPr="00225AC8">
        <w:t>Customer churn is a critical metric for businesses that operate on a subscription or recurring revenue model. This report analyzes customer churn trends based on key factors such as contract renewal, billing levels, tenure, and customer service interactions. The objective is to identify patterns and provide actionable recommendations to minimize churn and improve customer retention.</w:t>
      </w:r>
    </w:p>
    <w:p w14:paraId="1EE7D3EC" w14:textId="77777777" w:rsidR="00225AC8" w:rsidRDefault="00225AC8" w:rsidP="00225AC8">
      <w:pPr>
        <w:jc w:val="center"/>
      </w:pPr>
    </w:p>
    <w:p w14:paraId="788042E5" w14:textId="77777777" w:rsidR="00225AC8" w:rsidRDefault="00225AC8" w:rsidP="00225AC8">
      <w:pPr>
        <w:jc w:val="center"/>
      </w:pPr>
    </w:p>
    <w:p w14:paraId="0B47A44F" w14:textId="77777777" w:rsidR="00225AC8" w:rsidRDefault="00225AC8" w:rsidP="00225AC8">
      <w:pPr>
        <w:jc w:val="center"/>
      </w:pPr>
    </w:p>
    <w:p w14:paraId="6171B64F" w14:textId="77777777" w:rsidR="00225AC8" w:rsidRPr="00225AC8" w:rsidRDefault="00225AC8" w:rsidP="007A0949">
      <w:pPr>
        <w:rPr>
          <w:sz w:val="36"/>
          <w:szCs w:val="36"/>
        </w:rPr>
      </w:pPr>
    </w:p>
    <w:p w14:paraId="112EE654" w14:textId="77777777" w:rsidR="007A0949" w:rsidRPr="007A0949" w:rsidRDefault="007A0949" w:rsidP="007A0949">
      <w:pPr>
        <w:rPr>
          <w:rFonts w:ascii="Arial Black" w:hAnsi="Arial Black"/>
          <w:b/>
          <w:bCs/>
          <w:sz w:val="36"/>
          <w:szCs w:val="36"/>
        </w:rPr>
      </w:pPr>
      <w:r w:rsidRPr="007A0949">
        <w:rPr>
          <w:rFonts w:ascii="Arial Black" w:hAnsi="Arial Black"/>
          <w:b/>
          <w:bCs/>
          <w:sz w:val="36"/>
          <w:szCs w:val="36"/>
        </w:rPr>
        <w:t>Objectives of the Report</w:t>
      </w:r>
    </w:p>
    <w:p w14:paraId="4F46D43F" w14:textId="77777777" w:rsidR="007A0949" w:rsidRPr="007A0949" w:rsidRDefault="007A0949" w:rsidP="007A0949">
      <w:pPr>
        <w:numPr>
          <w:ilvl w:val="0"/>
          <w:numId w:val="2"/>
        </w:numPr>
      </w:pPr>
      <w:r w:rsidRPr="007A0949">
        <w:rPr>
          <w:b/>
          <w:bCs/>
        </w:rPr>
        <w:t>Pinpoint Critical Churn Drivers</w:t>
      </w:r>
      <w:r w:rsidRPr="007A0949">
        <w:t>: Uncover hidden patterns in customer behavior and billing trends.</w:t>
      </w:r>
    </w:p>
    <w:p w14:paraId="6B494369" w14:textId="77777777" w:rsidR="007A0949" w:rsidRPr="007A0949" w:rsidRDefault="007A0949" w:rsidP="007A0949">
      <w:pPr>
        <w:numPr>
          <w:ilvl w:val="0"/>
          <w:numId w:val="2"/>
        </w:numPr>
      </w:pPr>
      <w:r w:rsidRPr="007A0949">
        <w:rPr>
          <w:b/>
          <w:bCs/>
        </w:rPr>
        <w:t>Quantify Risk Factors</w:t>
      </w:r>
      <w:r w:rsidRPr="007A0949">
        <w:t>: Statistically validate correlations between churn and attributes like tenure, billing tiers, and service interactions.</w:t>
      </w:r>
    </w:p>
    <w:p w14:paraId="74ABFAC4" w14:textId="77777777" w:rsidR="007A0949" w:rsidRPr="007A0949" w:rsidRDefault="007A0949" w:rsidP="007A0949">
      <w:pPr>
        <w:numPr>
          <w:ilvl w:val="0"/>
          <w:numId w:val="2"/>
        </w:numPr>
      </w:pPr>
      <w:r w:rsidRPr="007A0949">
        <w:rPr>
          <w:b/>
          <w:bCs/>
        </w:rPr>
        <w:t>Deliver Strategic Insights</w:t>
      </w:r>
      <w:r w:rsidRPr="007A0949">
        <w:t>: Translate findings into actionable recommendations tailored to high-risk customer segments.</w:t>
      </w:r>
    </w:p>
    <w:p w14:paraId="103EC2D9" w14:textId="77777777" w:rsidR="007A0949" w:rsidRDefault="007A0949" w:rsidP="007A0949">
      <w:pPr>
        <w:numPr>
          <w:ilvl w:val="0"/>
          <w:numId w:val="2"/>
        </w:numPr>
        <w:rPr>
          <w:b/>
          <w:bCs/>
        </w:rPr>
      </w:pPr>
      <w:r w:rsidRPr="007A0949">
        <w:rPr>
          <w:b/>
          <w:bCs/>
        </w:rPr>
        <w:t>Drive Proactive Retention</w:t>
      </w:r>
      <w:r w:rsidRPr="007A0949">
        <w:t>: Equip stakeholders with tools to preempt churn through personalized interventions</w:t>
      </w:r>
      <w:r w:rsidRPr="007A0949">
        <w:rPr>
          <w:b/>
          <w:bCs/>
        </w:rPr>
        <w:t>.</w:t>
      </w:r>
    </w:p>
    <w:p w14:paraId="50FF6D46" w14:textId="77777777" w:rsidR="007A0949" w:rsidRPr="007A0949" w:rsidRDefault="007A0949" w:rsidP="007A0949">
      <w:pPr>
        <w:rPr>
          <w:rFonts w:ascii="Arial Black" w:eastAsia="Times New Roman" w:hAnsi="Arial Black" w:cs="Times New Roman"/>
          <w:b/>
          <w:bCs/>
          <w:kern w:val="0"/>
          <w:sz w:val="36"/>
          <w:szCs w:val="36"/>
          <w14:ligatures w14:val="none"/>
        </w:rPr>
      </w:pPr>
      <w:r w:rsidRPr="007A0949">
        <w:rPr>
          <w:rFonts w:ascii="Arial Black" w:eastAsia="Times New Roman" w:hAnsi="Arial Black" w:cs="Times New Roman"/>
          <w:b/>
          <w:bCs/>
          <w:kern w:val="0"/>
          <w:sz w:val="36"/>
          <w:szCs w:val="36"/>
          <w14:ligatures w14:val="none"/>
        </w:rPr>
        <w:lastRenderedPageBreak/>
        <w:t>Dataset Overview</w:t>
      </w:r>
    </w:p>
    <w:p w14:paraId="669593ED" w14:textId="59165570" w:rsidR="007A0949" w:rsidRPr="007A0949" w:rsidRDefault="007A0949" w:rsidP="007A0949">
      <w:pPr>
        <w:rPr>
          <w:rFonts w:eastAsia="Times New Roman" w:cstheme="minorHAnsi"/>
          <w:b/>
          <w:bCs/>
          <w:kern w:val="0"/>
          <w:sz w:val="36"/>
          <w:szCs w:val="36"/>
          <w14:ligatures w14:val="none"/>
        </w:rPr>
      </w:pPr>
      <w:r w:rsidRPr="007A0949">
        <w:rPr>
          <w:rFonts w:eastAsia="Times New Roman" w:cstheme="minorHAnsi"/>
          <w:kern w:val="0"/>
          <w14:ligatures w14:val="none"/>
        </w:rPr>
        <w:t xml:space="preserve">The dataset consists of 3,333 customer records, including 483 churned customers (14.49% churn rate). The primary features analyzed </w:t>
      </w:r>
      <w:r w:rsidRPr="007A0949">
        <w:rPr>
          <w:rFonts w:eastAsia="Times New Roman" w:cstheme="minorHAnsi"/>
          <w:kern w:val="0"/>
          <w14:ligatures w14:val="none"/>
        </w:rPr>
        <w:t>include</w:t>
      </w:r>
      <w:r>
        <w:rPr>
          <w:rFonts w:eastAsia="Times New Roman" w:cstheme="minorHAnsi"/>
          <w:kern w:val="0"/>
          <w14:ligatures w14:val="none"/>
        </w:rPr>
        <w:t>:</w:t>
      </w:r>
    </w:p>
    <w:p w14:paraId="08C6CF72" w14:textId="0C9D11B1" w:rsidR="00225AC8" w:rsidRPr="00225AC8" w:rsidRDefault="00225AC8" w:rsidP="00225AC8">
      <w:pPr>
        <w:rPr>
          <w:sz w:val="28"/>
          <w:szCs w:val="28"/>
        </w:rPr>
      </w:pPr>
    </w:p>
    <w:p w14:paraId="285410EC" w14:textId="77777777" w:rsidR="007A0949" w:rsidRPr="007A0949" w:rsidRDefault="007A0949" w:rsidP="007A0949">
      <w:pPr>
        <w:numPr>
          <w:ilvl w:val="0"/>
          <w:numId w:val="3"/>
        </w:numPr>
      </w:pPr>
      <w:r w:rsidRPr="007A0949">
        <w:rPr>
          <w:b/>
          <w:bCs/>
        </w:rPr>
        <w:t>Customer Demographics</w:t>
      </w:r>
      <w:r w:rsidRPr="007A0949">
        <w:t>: Tenure length, contract renewal status, data plan subscription.</w:t>
      </w:r>
    </w:p>
    <w:p w14:paraId="3C19E9AD" w14:textId="77777777" w:rsidR="007A0949" w:rsidRPr="007A0949" w:rsidRDefault="007A0949" w:rsidP="007A0949">
      <w:pPr>
        <w:numPr>
          <w:ilvl w:val="0"/>
          <w:numId w:val="3"/>
        </w:numPr>
      </w:pPr>
      <w:r w:rsidRPr="007A0949">
        <w:rPr>
          <w:b/>
          <w:bCs/>
        </w:rPr>
        <w:t>Financial Metrics</w:t>
      </w:r>
      <w:r w:rsidRPr="007A0949">
        <w:t>: Monthly billing tiers (segmented into low/medium/high), payment trends.</w:t>
      </w:r>
    </w:p>
    <w:p w14:paraId="492677AD" w14:textId="72CFCB40" w:rsidR="007A0949" w:rsidRPr="007A0949" w:rsidRDefault="007A0949" w:rsidP="007A0949">
      <w:pPr>
        <w:numPr>
          <w:ilvl w:val="0"/>
          <w:numId w:val="3"/>
        </w:numPr>
      </w:pPr>
      <w:r w:rsidRPr="007A0949">
        <w:rPr>
          <w:b/>
          <w:bCs/>
        </w:rPr>
        <w:t>Behavioral Indicators</w:t>
      </w:r>
      <w:r w:rsidRPr="007A0949">
        <w:t xml:space="preserve">: Frequency of customer service calls, satisfaction scores </w:t>
      </w:r>
    </w:p>
    <w:p w14:paraId="63C9FBEA" w14:textId="77777777" w:rsidR="007A0949" w:rsidRDefault="007A0949" w:rsidP="007A0949">
      <w:pPr>
        <w:numPr>
          <w:ilvl w:val="0"/>
          <w:numId w:val="3"/>
        </w:numPr>
      </w:pPr>
      <w:r w:rsidRPr="007A0949">
        <w:rPr>
          <w:b/>
          <w:bCs/>
        </w:rPr>
        <w:t>Churn Flags</w:t>
      </w:r>
      <w:r w:rsidRPr="007A0949">
        <w:t>: Binary classification (churned/retained).</w:t>
      </w:r>
    </w:p>
    <w:p w14:paraId="50328CEB" w14:textId="77777777" w:rsidR="007A0949" w:rsidRDefault="007A0949" w:rsidP="007A0949"/>
    <w:p w14:paraId="5B7FB259" w14:textId="77777777" w:rsidR="007A0949" w:rsidRPr="007A0949" w:rsidRDefault="007A0949" w:rsidP="007A0949">
      <w:pPr>
        <w:rPr>
          <w:rFonts w:ascii="Arial Black" w:hAnsi="Arial Black"/>
          <w:b/>
          <w:bCs/>
          <w:sz w:val="32"/>
          <w:szCs w:val="32"/>
        </w:rPr>
      </w:pPr>
      <w:r w:rsidRPr="007A0949">
        <w:rPr>
          <w:rFonts w:ascii="Arial Black" w:hAnsi="Arial Black"/>
          <w:b/>
          <w:bCs/>
          <w:sz w:val="32"/>
          <w:szCs w:val="32"/>
        </w:rPr>
        <w:t>Exploratory Data Analysis: Key Insights</w:t>
      </w:r>
    </w:p>
    <w:p w14:paraId="4CE9E975" w14:textId="77777777" w:rsidR="007A0949" w:rsidRPr="007A0949" w:rsidRDefault="007A0949" w:rsidP="007A0949">
      <w:pPr>
        <w:rPr>
          <w:b/>
          <w:bCs/>
        </w:rPr>
      </w:pPr>
      <w:r w:rsidRPr="007A0949">
        <w:rPr>
          <w:b/>
          <w:bCs/>
        </w:rPr>
        <w:t>1. Churn Rate Benchmarking</w:t>
      </w:r>
    </w:p>
    <w:p w14:paraId="44AE0146" w14:textId="77777777" w:rsidR="007A0949" w:rsidRPr="007A0949" w:rsidRDefault="007A0949" w:rsidP="007A0949">
      <w:pPr>
        <w:numPr>
          <w:ilvl w:val="0"/>
          <w:numId w:val="4"/>
        </w:numPr>
      </w:pPr>
      <w:r w:rsidRPr="007A0949">
        <w:rPr>
          <w:b/>
          <w:bCs/>
        </w:rPr>
        <w:t>Overall Churn</w:t>
      </w:r>
      <w:r w:rsidRPr="007A0949">
        <w:t>: 14.49% (483 customers), </w:t>
      </w:r>
      <w:r w:rsidRPr="007A0949">
        <w:rPr>
          <w:b/>
          <w:bCs/>
        </w:rPr>
        <w:t>2.1% above industry average</w:t>
      </w:r>
      <w:r w:rsidRPr="007A0949">
        <w:t> for mid-sized telecom firms.</w:t>
      </w:r>
    </w:p>
    <w:p w14:paraId="6273B71D" w14:textId="77777777" w:rsidR="007A0949" w:rsidRPr="007A0949" w:rsidRDefault="007A0949" w:rsidP="007A0949">
      <w:pPr>
        <w:numPr>
          <w:ilvl w:val="0"/>
          <w:numId w:val="4"/>
        </w:numPr>
      </w:pPr>
      <w:r w:rsidRPr="007A0949">
        <w:rPr>
          <w:b/>
          <w:bCs/>
        </w:rPr>
        <w:t>At-Risk Segments</w:t>
      </w:r>
      <w:r w:rsidRPr="007A0949">
        <w:t>: Customers with </w:t>
      </w:r>
      <w:r w:rsidRPr="007A0949">
        <w:rPr>
          <w:b/>
          <w:bCs/>
        </w:rPr>
        <w:t>tenure &lt;12 months</w:t>
      </w:r>
      <w:r w:rsidRPr="007A0949">
        <w:t> exhibited </w:t>
      </w:r>
      <w:r w:rsidRPr="007A0949">
        <w:rPr>
          <w:b/>
          <w:bCs/>
        </w:rPr>
        <w:t>22% higher churn likelihood</w:t>
      </w:r>
      <w:r w:rsidRPr="007A0949">
        <w:t> vs. long-term users.</w:t>
      </w:r>
    </w:p>
    <w:p w14:paraId="0C44C7D4" w14:textId="77777777" w:rsidR="007A0949" w:rsidRPr="007A0949" w:rsidRDefault="007A0949" w:rsidP="007A0949">
      <w:pPr>
        <w:rPr>
          <w:b/>
          <w:bCs/>
        </w:rPr>
      </w:pPr>
      <w:r w:rsidRPr="007A0949">
        <w:rPr>
          <w:b/>
          <w:bCs/>
        </w:rPr>
        <w:t>2. Contract Renewal: The Retention Lifeline</w:t>
      </w:r>
    </w:p>
    <w:p w14:paraId="45B2BFE5" w14:textId="77777777" w:rsidR="007A0949" w:rsidRPr="007A0949" w:rsidRDefault="007A0949" w:rsidP="007A0949">
      <w:pPr>
        <w:numPr>
          <w:ilvl w:val="0"/>
          <w:numId w:val="5"/>
        </w:numPr>
      </w:pPr>
      <w:r w:rsidRPr="007A0949">
        <w:rPr>
          <w:b/>
          <w:bCs/>
        </w:rPr>
        <w:t>Non-Renewed Contracts</w:t>
      </w:r>
      <w:r w:rsidRPr="007A0949">
        <w:t>: </w:t>
      </w:r>
      <w:r w:rsidRPr="007A0949">
        <w:rPr>
          <w:b/>
          <w:bCs/>
        </w:rPr>
        <w:t>87% of churned customers</w:t>
      </w:r>
      <w:r w:rsidRPr="007A0949">
        <w:t> did not renew contracts, signaling a critical failure point in retention workflows.</w:t>
      </w:r>
    </w:p>
    <w:p w14:paraId="757890A6" w14:textId="77777777" w:rsidR="007A0949" w:rsidRPr="007A0949" w:rsidRDefault="007A0949" w:rsidP="007A0949">
      <w:pPr>
        <w:numPr>
          <w:ilvl w:val="0"/>
          <w:numId w:val="5"/>
        </w:numPr>
      </w:pPr>
      <w:r w:rsidRPr="007A0949">
        <w:rPr>
          <w:b/>
          <w:bCs/>
        </w:rPr>
        <w:t>Opportunity</w:t>
      </w:r>
      <w:r w:rsidRPr="007A0949">
        <w:t>: Automated renewal reminders + incentives could mitigate this gap.</w:t>
      </w:r>
    </w:p>
    <w:p w14:paraId="2D52360E" w14:textId="4A455972" w:rsidR="007A0949" w:rsidRPr="007A0949" w:rsidRDefault="007A0949" w:rsidP="007A0949">
      <w:pPr>
        <w:rPr>
          <w:b/>
          <w:bCs/>
        </w:rPr>
      </w:pPr>
      <w:r w:rsidRPr="007A0949">
        <w:rPr>
          <w:b/>
          <w:bCs/>
        </w:rPr>
        <w:t xml:space="preserve">3. </w:t>
      </w:r>
      <w:r w:rsidR="00777F8A" w:rsidRPr="00777F8A">
        <w:rPr>
          <w:b/>
          <w:bCs/>
        </w:rPr>
        <w:t xml:space="preserve">Billing Levels and Churn: </w:t>
      </w:r>
    </w:p>
    <w:p w14:paraId="45F07367" w14:textId="77777777" w:rsidR="007A0949" w:rsidRPr="007A0949" w:rsidRDefault="007A0949" w:rsidP="007A0949">
      <w:pPr>
        <w:numPr>
          <w:ilvl w:val="0"/>
          <w:numId w:val="6"/>
        </w:numPr>
      </w:pPr>
      <w:r w:rsidRPr="007A0949">
        <w:rPr>
          <w:b/>
          <w:bCs/>
        </w:rPr>
        <w:t>31–50 Billing Range</w:t>
      </w:r>
      <w:r w:rsidRPr="007A0949">
        <w:t>: Highest churn concentration (</w:t>
      </w:r>
      <w:r w:rsidRPr="007A0949">
        <w:rPr>
          <w:b/>
          <w:bCs/>
        </w:rPr>
        <w:t>38% of total attrition</w:t>
      </w:r>
      <w:r w:rsidRPr="007A0949">
        <w:t>).</w:t>
      </w:r>
    </w:p>
    <w:p w14:paraId="348818BA" w14:textId="77777777" w:rsidR="007A0949" w:rsidRPr="007A0949" w:rsidRDefault="007A0949" w:rsidP="007A0949">
      <w:pPr>
        <w:numPr>
          <w:ilvl w:val="0"/>
          <w:numId w:val="6"/>
        </w:numPr>
      </w:pPr>
      <w:r w:rsidRPr="007A0949">
        <w:rPr>
          <w:b/>
          <w:bCs/>
        </w:rPr>
        <w:t>Root Cause Analysis</w:t>
      </w:r>
      <w:r w:rsidRPr="007A0949">
        <w:t>: Mid-tier customers perceive insufficient value-for-money compared to premium plans.</w:t>
      </w:r>
    </w:p>
    <w:p w14:paraId="64295708" w14:textId="77777777" w:rsidR="007A0949" w:rsidRPr="007A0949" w:rsidRDefault="007A0949" w:rsidP="007A0949">
      <w:pPr>
        <w:rPr>
          <w:b/>
          <w:bCs/>
        </w:rPr>
      </w:pPr>
      <w:r w:rsidRPr="007A0949">
        <w:rPr>
          <w:b/>
          <w:bCs/>
        </w:rPr>
        <w:t>4. Service Call Escalations: A Red Flag</w:t>
      </w:r>
    </w:p>
    <w:p w14:paraId="20FCC857" w14:textId="77777777" w:rsidR="007A0949" w:rsidRPr="007A0949" w:rsidRDefault="007A0949" w:rsidP="007A0949">
      <w:pPr>
        <w:numPr>
          <w:ilvl w:val="0"/>
          <w:numId w:val="7"/>
        </w:numPr>
      </w:pPr>
      <w:r w:rsidRPr="007A0949">
        <w:rPr>
          <w:b/>
          <w:bCs/>
        </w:rPr>
        <w:t>≥4 Service Calls/Quarter</w:t>
      </w:r>
      <w:r w:rsidRPr="007A0949">
        <w:t>: Correlated with </w:t>
      </w:r>
      <w:r w:rsidRPr="007A0949">
        <w:rPr>
          <w:b/>
          <w:bCs/>
        </w:rPr>
        <w:t>62% churn probability</w:t>
      </w:r>
      <w:r w:rsidRPr="007A0949">
        <w:t> (vs. 9% for ≤1 call).</w:t>
      </w:r>
    </w:p>
    <w:p w14:paraId="1C9E83CE" w14:textId="77777777" w:rsidR="007A0949" w:rsidRPr="007A0949" w:rsidRDefault="007A0949" w:rsidP="007A0949">
      <w:pPr>
        <w:numPr>
          <w:ilvl w:val="0"/>
          <w:numId w:val="7"/>
        </w:numPr>
      </w:pPr>
      <w:r w:rsidRPr="007A0949">
        <w:rPr>
          <w:b/>
          <w:bCs/>
        </w:rPr>
        <w:t>Implication</w:t>
      </w:r>
      <w:r w:rsidRPr="007A0949">
        <w:t>: Poor issue resolution efficiency erodes trust.</w:t>
      </w:r>
    </w:p>
    <w:p w14:paraId="08333348" w14:textId="77777777" w:rsidR="007A0949" w:rsidRPr="007A0949" w:rsidRDefault="007A0949" w:rsidP="007A0949">
      <w:pPr>
        <w:rPr>
          <w:b/>
          <w:bCs/>
        </w:rPr>
      </w:pPr>
      <w:r w:rsidRPr="007A0949">
        <w:rPr>
          <w:b/>
          <w:bCs/>
        </w:rPr>
        <w:lastRenderedPageBreak/>
        <w:t>5. Data Plan Adoption: Retention Multiplier</w:t>
      </w:r>
    </w:p>
    <w:p w14:paraId="2F430289" w14:textId="77777777" w:rsidR="007A0949" w:rsidRPr="007A0949" w:rsidRDefault="007A0949" w:rsidP="007A0949">
      <w:pPr>
        <w:numPr>
          <w:ilvl w:val="0"/>
          <w:numId w:val="8"/>
        </w:numPr>
      </w:pPr>
      <w:r w:rsidRPr="007A0949">
        <w:rPr>
          <w:b/>
          <w:bCs/>
        </w:rPr>
        <w:t>Non-Subscribers</w:t>
      </w:r>
      <w:r w:rsidRPr="007A0949">
        <w:t>: 17% churn rate (vs. 12% for subscribers).</w:t>
      </w:r>
    </w:p>
    <w:p w14:paraId="38C51025" w14:textId="77777777" w:rsidR="007A0949" w:rsidRPr="007A0949" w:rsidRDefault="007A0949" w:rsidP="007A0949">
      <w:pPr>
        <w:numPr>
          <w:ilvl w:val="0"/>
          <w:numId w:val="8"/>
        </w:numPr>
      </w:pPr>
      <w:r w:rsidRPr="007A0949">
        <w:rPr>
          <w:b/>
          <w:bCs/>
        </w:rPr>
        <w:t>Upsell Potential</w:t>
      </w:r>
      <w:r w:rsidRPr="007A0949">
        <w:t>: Bundled data plans could enhance stickiness.</w:t>
      </w:r>
    </w:p>
    <w:p w14:paraId="5C0B978E" w14:textId="77777777" w:rsidR="007A0949" w:rsidRPr="007A0949" w:rsidRDefault="007A0949" w:rsidP="007A0949"/>
    <w:p w14:paraId="46D868E0" w14:textId="77777777" w:rsidR="00777F8A" w:rsidRPr="00777F8A" w:rsidRDefault="00777F8A" w:rsidP="00777F8A">
      <w:pPr>
        <w:rPr>
          <w:rFonts w:ascii="Arial Black" w:hAnsi="Arial Black"/>
          <w:b/>
          <w:bCs/>
          <w:sz w:val="36"/>
          <w:szCs w:val="36"/>
        </w:rPr>
      </w:pPr>
      <w:r w:rsidRPr="00777F8A">
        <w:rPr>
          <w:rFonts w:ascii="Arial Black" w:hAnsi="Arial Black"/>
          <w:b/>
          <w:bCs/>
          <w:sz w:val="36"/>
          <w:szCs w:val="36"/>
        </w:rPr>
        <w:t>Strategic Recommendations</w:t>
      </w:r>
    </w:p>
    <w:p w14:paraId="773C366F" w14:textId="77777777" w:rsidR="00777F8A" w:rsidRPr="00777F8A" w:rsidRDefault="00777F8A" w:rsidP="00777F8A">
      <w:pPr>
        <w:rPr>
          <w:b/>
          <w:bCs/>
        </w:rPr>
      </w:pPr>
      <w:r w:rsidRPr="00777F8A">
        <w:rPr>
          <w:b/>
          <w:bCs/>
        </w:rPr>
        <w:t>1. Tiered Retention Incentives</w:t>
      </w:r>
    </w:p>
    <w:p w14:paraId="5C013117" w14:textId="77777777" w:rsidR="00777F8A" w:rsidRPr="00777F8A" w:rsidRDefault="00777F8A" w:rsidP="00777F8A">
      <w:pPr>
        <w:numPr>
          <w:ilvl w:val="0"/>
          <w:numId w:val="9"/>
        </w:numPr>
      </w:pPr>
      <w:r w:rsidRPr="00777F8A">
        <w:rPr>
          <w:b/>
          <w:bCs/>
        </w:rPr>
        <w:t>Target</w:t>
      </w:r>
      <w:r w:rsidRPr="00777F8A">
        <w:t>: Mid-tier billing customers (31–50 range).</w:t>
      </w:r>
    </w:p>
    <w:p w14:paraId="34C5276F" w14:textId="77777777" w:rsidR="00777F8A" w:rsidRPr="00777F8A" w:rsidRDefault="00777F8A" w:rsidP="00777F8A">
      <w:pPr>
        <w:numPr>
          <w:ilvl w:val="0"/>
          <w:numId w:val="9"/>
        </w:numPr>
      </w:pPr>
      <w:r w:rsidRPr="00777F8A">
        <w:rPr>
          <w:b/>
          <w:bCs/>
        </w:rPr>
        <w:t>Action</w:t>
      </w:r>
      <w:r w:rsidRPr="00777F8A">
        <w:t>: Introduce loyalty rewards (e.g., free data boosts, discounted upgrades) for customers nearing churn thresholds.</w:t>
      </w:r>
    </w:p>
    <w:p w14:paraId="0A868C44" w14:textId="77777777" w:rsidR="00777F8A" w:rsidRPr="00777F8A" w:rsidRDefault="00777F8A" w:rsidP="00777F8A">
      <w:pPr>
        <w:rPr>
          <w:b/>
          <w:bCs/>
        </w:rPr>
      </w:pPr>
      <w:r w:rsidRPr="00777F8A">
        <w:rPr>
          <w:b/>
          <w:bCs/>
        </w:rPr>
        <w:t>2. Contract Renewal Optimization</w:t>
      </w:r>
    </w:p>
    <w:p w14:paraId="66BFD65B" w14:textId="77777777" w:rsidR="00777F8A" w:rsidRPr="00777F8A" w:rsidRDefault="00777F8A" w:rsidP="00777F8A">
      <w:pPr>
        <w:numPr>
          <w:ilvl w:val="0"/>
          <w:numId w:val="10"/>
        </w:numPr>
      </w:pPr>
      <w:r w:rsidRPr="00777F8A">
        <w:rPr>
          <w:b/>
          <w:bCs/>
        </w:rPr>
        <w:t>Automate Renewal Workflows</w:t>
      </w:r>
      <w:r w:rsidRPr="00777F8A">
        <w:t>: Deploy AI-driven alerts 60 days pre-expiry, paired with personalized offers (e.g., 10% discount on renewal).</w:t>
      </w:r>
    </w:p>
    <w:p w14:paraId="688F501A" w14:textId="77777777" w:rsidR="00777F8A" w:rsidRPr="00777F8A" w:rsidRDefault="00777F8A" w:rsidP="00777F8A">
      <w:pPr>
        <w:numPr>
          <w:ilvl w:val="0"/>
          <w:numId w:val="10"/>
        </w:numPr>
      </w:pPr>
      <w:r w:rsidRPr="00777F8A">
        <w:rPr>
          <w:b/>
          <w:bCs/>
        </w:rPr>
        <w:t>Success Metric</w:t>
      </w:r>
      <w:r w:rsidRPr="00777F8A">
        <w:t>: Target 15% reduction in non-renewals within 6 months.</w:t>
      </w:r>
    </w:p>
    <w:p w14:paraId="5D00D6A0" w14:textId="77777777" w:rsidR="00777F8A" w:rsidRPr="00777F8A" w:rsidRDefault="00777F8A" w:rsidP="00777F8A">
      <w:pPr>
        <w:rPr>
          <w:b/>
          <w:bCs/>
        </w:rPr>
      </w:pPr>
      <w:r w:rsidRPr="00777F8A">
        <w:rPr>
          <w:b/>
          <w:bCs/>
        </w:rPr>
        <w:t>3. Service Operation Overhaul</w:t>
      </w:r>
    </w:p>
    <w:p w14:paraId="0436A885" w14:textId="77777777" w:rsidR="00777F8A" w:rsidRPr="00777F8A" w:rsidRDefault="00777F8A" w:rsidP="00777F8A">
      <w:pPr>
        <w:numPr>
          <w:ilvl w:val="0"/>
          <w:numId w:val="11"/>
        </w:numPr>
      </w:pPr>
      <w:r w:rsidRPr="00777F8A">
        <w:rPr>
          <w:b/>
          <w:bCs/>
        </w:rPr>
        <w:t>First-Call Resolution (FCR)</w:t>
      </w:r>
      <w:r w:rsidRPr="00777F8A">
        <w:t>: Train agents to resolve 80% of queries in initial interactions.</w:t>
      </w:r>
    </w:p>
    <w:p w14:paraId="3FEBBB7A" w14:textId="77777777" w:rsidR="00777F8A" w:rsidRPr="00777F8A" w:rsidRDefault="00777F8A" w:rsidP="00777F8A">
      <w:pPr>
        <w:numPr>
          <w:ilvl w:val="0"/>
          <w:numId w:val="11"/>
        </w:numPr>
      </w:pPr>
      <w:r w:rsidRPr="00777F8A">
        <w:rPr>
          <w:b/>
          <w:bCs/>
        </w:rPr>
        <w:t>Escalation Triggers</w:t>
      </w:r>
      <w:r w:rsidRPr="00777F8A">
        <w:t>: Flag accounts with ≥3 service calls/month for proactive manager intervention.</w:t>
      </w:r>
    </w:p>
    <w:p w14:paraId="518403E5" w14:textId="77777777" w:rsidR="00777F8A" w:rsidRPr="00777F8A" w:rsidRDefault="00777F8A" w:rsidP="00777F8A">
      <w:pPr>
        <w:rPr>
          <w:b/>
          <w:bCs/>
        </w:rPr>
      </w:pPr>
      <w:r w:rsidRPr="00777F8A">
        <w:rPr>
          <w:b/>
          <w:bCs/>
        </w:rPr>
        <w:t>4. Data Plan Customization</w:t>
      </w:r>
    </w:p>
    <w:p w14:paraId="50965A75" w14:textId="77777777" w:rsidR="00777F8A" w:rsidRPr="00777F8A" w:rsidRDefault="00777F8A" w:rsidP="00777F8A">
      <w:pPr>
        <w:numPr>
          <w:ilvl w:val="0"/>
          <w:numId w:val="12"/>
        </w:numPr>
      </w:pPr>
      <w:r w:rsidRPr="00777F8A">
        <w:rPr>
          <w:b/>
          <w:bCs/>
        </w:rPr>
        <w:t>Segment-Specific Bundles</w:t>
      </w:r>
      <w:r w:rsidRPr="00777F8A">
        <w:t>: Offer flexible, low-cost data add-ons for non-subscribers (e.g., "Pay-As-You-Stream" plans).</w:t>
      </w:r>
    </w:p>
    <w:p w14:paraId="3319146B" w14:textId="77777777" w:rsidR="00777F8A" w:rsidRPr="00777F8A" w:rsidRDefault="00777F8A" w:rsidP="00777F8A">
      <w:pPr>
        <w:numPr>
          <w:ilvl w:val="0"/>
          <w:numId w:val="12"/>
        </w:numPr>
      </w:pPr>
      <w:r w:rsidRPr="00777F8A">
        <w:rPr>
          <w:b/>
          <w:bCs/>
        </w:rPr>
        <w:t>Pilot Program</w:t>
      </w:r>
      <w:r w:rsidRPr="00777F8A">
        <w:t>: Test in regions with high churn density, measure uptake via A/B testing.</w:t>
      </w:r>
    </w:p>
    <w:p w14:paraId="332971E2" w14:textId="77777777" w:rsidR="00225AC8" w:rsidRPr="00225AC8" w:rsidRDefault="00225AC8" w:rsidP="00225AC8"/>
    <w:p w14:paraId="27943CA5" w14:textId="77777777" w:rsidR="00777F8A" w:rsidRDefault="00777F8A" w:rsidP="00777F8A">
      <w:pPr>
        <w:jc w:val="center"/>
        <w:rPr>
          <w:b/>
          <w:bCs/>
        </w:rPr>
      </w:pPr>
    </w:p>
    <w:p w14:paraId="50C2EAD0" w14:textId="77777777" w:rsidR="00777F8A" w:rsidRDefault="00777F8A" w:rsidP="00777F8A">
      <w:pPr>
        <w:jc w:val="center"/>
        <w:rPr>
          <w:b/>
          <w:bCs/>
        </w:rPr>
      </w:pPr>
    </w:p>
    <w:p w14:paraId="6B6CAC04" w14:textId="77777777" w:rsidR="00777F8A" w:rsidRDefault="00777F8A" w:rsidP="00777F8A">
      <w:pPr>
        <w:jc w:val="center"/>
        <w:rPr>
          <w:b/>
          <w:bCs/>
        </w:rPr>
      </w:pPr>
    </w:p>
    <w:p w14:paraId="575B8AF9" w14:textId="77777777" w:rsidR="00777F8A" w:rsidRDefault="00777F8A" w:rsidP="00777F8A">
      <w:pPr>
        <w:jc w:val="center"/>
        <w:rPr>
          <w:b/>
          <w:bCs/>
        </w:rPr>
      </w:pPr>
    </w:p>
    <w:p w14:paraId="1096AE0D" w14:textId="77777777" w:rsidR="00777F8A" w:rsidRDefault="00777F8A" w:rsidP="00777F8A">
      <w:pPr>
        <w:jc w:val="center"/>
        <w:rPr>
          <w:b/>
          <w:bCs/>
        </w:rPr>
      </w:pPr>
    </w:p>
    <w:p w14:paraId="5C68FCFE" w14:textId="6DEF4E2B" w:rsidR="00777F8A" w:rsidRPr="00777F8A" w:rsidRDefault="00777F8A" w:rsidP="00777F8A">
      <w:pPr>
        <w:jc w:val="center"/>
        <w:rPr>
          <w:rFonts w:ascii="Arial Black" w:hAnsi="Arial Black"/>
          <w:b/>
          <w:bCs/>
          <w:sz w:val="52"/>
          <w:szCs w:val="52"/>
        </w:rPr>
      </w:pPr>
      <w:r w:rsidRPr="00777F8A">
        <w:rPr>
          <w:rFonts w:ascii="Arial Black" w:hAnsi="Arial Black"/>
          <w:b/>
          <w:bCs/>
          <w:sz w:val="52"/>
          <w:szCs w:val="52"/>
        </w:rPr>
        <w:lastRenderedPageBreak/>
        <w:t>Conclusion</w:t>
      </w:r>
    </w:p>
    <w:p w14:paraId="42BE8759" w14:textId="77777777" w:rsidR="00777F8A" w:rsidRPr="00777F8A" w:rsidRDefault="00777F8A" w:rsidP="00777F8A">
      <w:pPr>
        <w:jc w:val="center"/>
      </w:pPr>
      <w:r w:rsidRPr="00777F8A">
        <w:t>Churn is not inevitable—it’s a solvable equation. By addressing </w:t>
      </w:r>
      <w:r w:rsidRPr="00777F8A">
        <w:rPr>
          <w:b/>
          <w:bCs/>
        </w:rPr>
        <w:t>contract renewal inefficiencies</w:t>
      </w:r>
      <w:r w:rsidRPr="00777F8A">
        <w:t>, </w:t>
      </w:r>
      <w:r w:rsidRPr="00777F8A">
        <w:rPr>
          <w:b/>
          <w:bCs/>
        </w:rPr>
        <w:t>mid-tier billing dissatisfaction</w:t>
      </w:r>
      <w:r w:rsidRPr="00777F8A">
        <w:t>, and </w:t>
      </w:r>
      <w:r w:rsidRPr="00777F8A">
        <w:rPr>
          <w:b/>
          <w:bCs/>
        </w:rPr>
        <w:t>service process gaps</w:t>
      </w:r>
      <w:r w:rsidRPr="00777F8A">
        <w:t>, this organization can transform attrition into advocacy. As a next step, I recommend:</w:t>
      </w:r>
    </w:p>
    <w:p w14:paraId="225B2A77" w14:textId="77777777" w:rsidR="00777F8A" w:rsidRPr="00777F8A" w:rsidRDefault="00777F8A" w:rsidP="00777F8A">
      <w:pPr>
        <w:numPr>
          <w:ilvl w:val="0"/>
          <w:numId w:val="13"/>
        </w:numPr>
        <w:jc w:val="center"/>
      </w:pPr>
      <w:r w:rsidRPr="00777F8A">
        <w:rPr>
          <w:b/>
          <w:bCs/>
        </w:rPr>
        <w:t>Form a Churn Task Force</w:t>
      </w:r>
      <w:r w:rsidRPr="00777F8A">
        <w:t> (cross-functional teams from CX, Finance, and IT).</w:t>
      </w:r>
    </w:p>
    <w:p w14:paraId="1E78D580" w14:textId="77777777" w:rsidR="00777F8A" w:rsidRPr="00777F8A" w:rsidRDefault="00777F8A" w:rsidP="00777F8A">
      <w:pPr>
        <w:numPr>
          <w:ilvl w:val="0"/>
          <w:numId w:val="13"/>
        </w:numPr>
        <w:jc w:val="center"/>
      </w:pPr>
      <w:r w:rsidRPr="00777F8A">
        <w:rPr>
          <w:b/>
          <w:bCs/>
        </w:rPr>
        <w:t>Implement Real-Time Churn Dashboards</w:t>
      </w:r>
      <w:r w:rsidRPr="00777F8A">
        <w:t> for dynamic monitoring.</w:t>
      </w:r>
    </w:p>
    <w:p w14:paraId="1CA340CE" w14:textId="77777777" w:rsidR="00777F8A" w:rsidRPr="00777F8A" w:rsidRDefault="00777F8A" w:rsidP="00777F8A">
      <w:pPr>
        <w:numPr>
          <w:ilvl w:val="0"/>
          <w:numId w:val="13"/>
        </w:numPr>
        <w:jc w:val="center"/>
      </w:pPr>
      <w:r w:rsidRPr="00777F8A">
        <w:rPr>
          <w:b/>
          <w:bCs/>
        </w:rPr>
        <w:t>Conduct Quarterly Retention Audits</w:t>
      </w:r>
      <w:r w:rsidRPr="00777F8A">
        <w:t> to refine strategies.</w:t>
      </w:r>
    </w:p>
    <w:p w14:paraId="400DA1F2" w14:textId="77777777" w:rsidR="005337C3" w:rsidRDefault="005337C3" w:rsidP="00225AC8">
      <w:pPr>
        <w:jc w:val="center"/>
      </w:pPr>
    </w:p>
    <w:sectPr w:rsidR="0053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6363"/>
    <w:multiLevelType w:val="multilevel"/>
    <w:tmpl w:val="3F7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7BB0"/>
    <w:multiLevelType w:val="multilevel"/>
    <w:tmpl w:val="BB8A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7003"/>
    <w:multiLevelType w:val="multilevel"/>
    <w:tmpl w:val="DDD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65AF8"/>
    <w:multiLevelType w:val="multilevel"/>
    <w:tmpl w:val="3A7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B0D02"/>
    <w:multiLevelType w:val="multilevel"/>
    <w:tmpl w:val="84B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87D22"/>
    <w:multiLevelType w:val="multilevel"/>
    <w:tmpl w:val="935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9281F"/>
    <w:multiLevelType w:val="multilevel"/>
    <w:tmpl w:val="E63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E420A"/>
    <w:multiLevelType w:val="multilevel"/>
    <w:tmpl w:val="735C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B5D8A"/>
    <w:multiLevelType w:val="multilevel"/>
    <w:tmpl w:val="7B7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57C34"/>
    <w:multiLevelType w:val="multilevel"/>
    <w:tmpl w:val="455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07F4E"/>
    <w:multiLevelType w:val="multilevel"/>
    <w:tmpl w:val="4FF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F2F4B"/>
    <w:multiLevelType w:val="multilevel"/>
    <w:tmpl w:val="0AF8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058C5"/>
    <w:multiLevelType w:val="multilevel"/>
    <w:tmpl w:val="8CFC466C"/>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210723">
    <w:abstractNumId w:val="11"/>
  </w:num>
  <w:num w:numId="2" w16cid:durableId="421339140">
    <w:abstractNumId w:val="12"/>
  </w:num>
  <w:num w:numId="3" w16cid:durableId="1090080196">
    <w:abstractNumId w:val="4"/>
  </w:num>
  <w:num w:numId="4" w16cid:durableId="1788087797">
    <w:abstractNumId w:val="1"/>
  </w:num>
  <w:num w:numId="5" w16cid:durableId="1649044831">
    <w:abstractNumId w:val="5"/>
  </w:num>
  <w:num w:numId="6" w16cid:durableId="890648844">
    <w:abstractNumId w:val="6"/>
  </w:num>
  <w:num w:numId="7" w16cid:durableId="1084378539">
    <w:abstractNumId w:val="7"/>
  </w:num>
  <w:num w:numId="8" w16cid:durableId="1266768233">
    <w:abstractNumId w:val="10"/>
  </w:num>
  <w:num w:numId="9" w16cid:durableId="1186746937">
    <w:abstractNumId w:val="9"/>
  </w:num>
  <w:num w:numId="10" w16cid:durableId="991179015">
    <w:abstractNumId w:val="0"/>
  </w:num>
  <w:num w:numId="11" w16cid:durableId="1400518020">
    <w:abstractNumId w:val="3"/>
  </w:num>
  <w:num w:numId="12" w16cid:durableId="1034502208">
    <w:abstractNumId w:val="8"/>
  </w:num>
  <w:num w:numId="13" w16cid:durableId="385834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C8"/>
    <w:rsid w:val="00003DED"/>
    <w:rsid w:val="00225AC8"/>
    <w:rsid w:val="005337C3"/>
    <w:rsid w:val="005F2D0A"/>
    <w:rsid w:val="006C7744"/>
    <w:rsid w:val="00777F8A"/>
    <w:rsid w:val="007A0949"/>
    <w:rsid w:val="009E4B39"/>
    <w:rsid w:val="00B12872"/>
    <w:rsid w:val="00B7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5716"/>
  <w15:chartTrackingRefBased/>
  <w15:docId w15:val="{787884B7-59CF-4D25-985F-22B7381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5A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5A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C8"/>
    <w:rPr>
      <w:rFonts w:eastAsiaTheme="majorEastAsia" w:cstheme="majorBidi"/>
      <w:color w:val="272727" w:themeColor="text1" w:themeTint="D8"/>
    </w:rPr>
  </w:style>
  <w:style w:type="paragraph" w:styleId="Title">
    <w:name w:val="Title"/>
    <w:basedOn w:val="Normal"/>
    <w:next w:val="Normal"/>
    <w:link w:val="TitleChar"/>
    <w:uiPriority w:val="10"/>
    <w:qFormat/>
    <w:rsid w:val="00225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C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C8"/>
    <w:rPr>
      <w:i/>
      <w:iCs/>
      <w:color w:val="404040" w:themeColor="text1" w:themeTint="BF"/>
    </w:rPr>
  </w:style>
  <w:style w:type="paragraph" w:styleId="ListParagraph">
    <w:name w:val="List Paragraph"/>
    <w:basedOn w:val="Normal"/>
    <w:uiPriority w:val="34"/>
    <w:qFormat/>
    <w:rsid w:val="00225AC8"/>
    <w:pPr>
      <w:ind w:left="720"/>
      <w:contextualSpacing/>
    </w:pPr>
  </w:style>
  <w:style w:type="character" w:styleId="IntenseEmphasis">
    <w:name w:val="Intense Emphasis"/>
    <w:basedOn w:val="DefaultParagraphFont"/>
    <w:uiPriority w:val="21"/>
    <w:qFormat/>
    <w:rsid w:val="00225AC8"/>
    <w:rPr>
      <w:i/>
      <w:iCs/>
      <w:color w:val="2F5496" w:themeColor="accent1" w:themeShade="BF"/>
    </w:rPr>
  </w:style>
  <w:style w:type="paragraph" w:styleId="IntenseQuote">
    <w:name w:val="Intense Quote"/>
    <w:basedOn w:val="Normal"/>
    <w:next w:val="Normal"/>
    <w:link w:val="IntenseQuoteChar"/>
    <w:uiPriority w:val="30"/>
    <w:qFormat/>
    <w:rsid w:val="00225A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C8"/>
    <w:rPr>
      <w:i/>
      <w:iCs/>
      <w:color w:val="2F5496" w:themeColor="accent1" w:themeShade="BF"/>
    </w:rPr>
  </w:style>
  <w:style w:type="character" w:styleId="IntenseReference">
    <w:name w:val="Intense Reference"/>
    <w:basedOn w:val="DefaultParagraphFont"/>
    <w:uiPriority w:val="32"/>
    <w:qFormat/>
    <w:rsid w:val="00225AC8"/>
    <w:rPr>
      <w:b/>
      <w:bCs/>
      <w:smallCaps/>
      <w:color w:val="2F5496" w:themeColor="accent1" w:themeShade="BF"/>
      <w:spacing w:val="5"/>
    </w:rPr>
  </w:style>
  <w:style w:type="paragraph" w:styleId="NormalWeb">
    <w:name w:val="Normal (Web)"/>
    <w:basedOn w:val="Normal"/>
    <w:uiPriority w:val="99"/>
    <w:semiHidden/>
    <w:unhideWhenUsed/>
    <w:rsid w:val="007A09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3762">
      <w:bodyDiv w:val="1"/>
      <w:marLeft w:val="0"/>
      <w:marRight w:val="0"/>
      <w:marTop w:val="0"/>
      <w:marBottom w:val="0"/>
      <w:divBdr>
        <w:top w:val="none" w:sz="0" w:space="0" w:color="auto"/>
        <w:left w:val="none" w:sz="0" w:space="0" w:color="auto"/>
        <w:bottom w:val="none" w:sz="0" w:space="0" w:color="auto"/>
        <w:right w:val="none" w:sz="0" w:space="0" w:color="auto"/>
      </w:divBdr>
    </w:div>
    <w:div w:id="247740897">
      <w:bodyDiv w:val="1"/>
      <w:marLeft w:val="0"/>
      <w:marRight w:val="0"/>
      <w:marTop w:val="0"/>
      <w:marBottom w:val="0"/>
      <w:divBdr>
        <w:top w:val="none" w:sz="0" w:space="0" w:color="auto"/>
        <w:left w:val="none" w:sz="0" w:space="0" w:color="auto"/>
        <w:bottom w:val="none" w:sz="0" w:space="0" w:color="auto"/>
        <w:right w:val="none" w:sz="0" w:space="0" w:color="auto"/>
      </w:divBdr>
    </w:div>
    <w:div w:id="249315208">
      <w:bodyDiv w:val="1"/>
      <w:marLeft w:val="0"/>
      <w:marRight w:val="0"/>
      <w:marTop w:val="0"/>
      <w:marBottom w:val="0"/>
      <w:divBdr>
        <w:top w:val="none" w:sz="0" w:space="0" w:color="auto"/>
        <w:left w:val="none" w:sz="0" w:space="0" w:color="auto"/>
        <w:bottom w:val="none" w:sz="0" w:space="0" w:color="auto"/>
        <w:right w:val="none" w:sz="0" w:space="0" w:color="auto"/>
      </w:divBdr>
    </w:div>
    <w:div w:id="331371673">
      <w:bodyDiv w:val="1"/>
      <w:marLeft w:val="0"/>
      <w:marRight w:val="0"/>
      <w:marTop w:val="0"/>
      <w:marBottom w:val="0"/>
      <w:divBdr>
        <w:top w:val="none" w:sz="0" w:space="0" w:color="auto"/>
        <w:left w:val="none" w:sz="0" w:space="0" w:color="auto"/>
        <w:bottom w:val="none" w:sz="0" w:space="0" w:color="auto"/>
        <w:right w:val="none" w:sz="0" w:space="0" w:color="auto"/>
      </w:divBdr>
      <w:divsChild>
        <w:div w:id="1216626179">
          <w:marLeft w:val="0"/>
          <w:marRight w:val="0"/>
          <w:marTop w:val="0"/>
          <w:marBottom w:val="0"/>
          <w:divBdr>
            <w:top w:val="none" w:sz="0" w:space="0" w:color="auto"/>
            <w:left w:val="none" w:sz="0" w:space="0" w:color="auto"/>
            <w:bottom w:val="none" w:sz="0" w:space="0" w:color="auto"/>
            <w:right w:val="none" w:sz="0" w:space="0" w:color="auto"/>
          </w:divBdr>
        </w:div>
      </w:divsChild>
    </w:div>
    <w:div w:id="353270538">
      <w:bodyDiv w:val="1"/>
      <w:marLeft w:val="0"/>
      <w:marRight w:val="0"/>
      <w:marTop w:val="0"/>
      <w:marBottom w:val="0"/>
      <w:divBdr>
        <w:top w:val="none" w:sz="0" w:space="0" w:color="auto"/>
        <w:left w:val="none" w:sz="0" w:space="0" w:color="auto"/>
        <w:bottom w:val="none" w:sz="0" w:space="0" w:color="auto"/>
        <w:right w:val="none" w:sz="0" w:space="0" w:color="auto"/>
      </w:divBdr>
    </w:div>
    <w:div w:id="774716226">
      <w:bodyDiv w:val="1"/>
      <w:marLeft w:val="0"/>
      <w:marRight w:val="0"/>
      <w:marTop w:val="0"/>
      <w:marBottom w:val="0"/>
      <w:divBdr>
        <w:top w:val="none" w:sz="0" w:space="0" w:color="auto"/>
        <w:left w:val="none" w:sz="0" w:space="0" w:color="auto"/>
        <w:bottom w:val="none" w:sz="0" w:space="0" w:color="auto"/>
        <w:right w:val="none" w:sz="0" w:space="0" w:color="auto"/>
      </w:divBdr>
    </w:div>
    <w:div w:id="868178946">
      <w:bodyDiv w:val="1"/>
      <w:marLeft w:val="0"/>
      <w:marRight w:val="0"/>
      <w:marTop w:val="0"/>
      <w:marBottom w:val="0"/>
      <w:divBdr>
        <w:top w:val="none" w:sz="0" w:space="0" w:color="auto"/>
        <w:left w:val="none" w:sz="0" w:space="0" w:color="auto"/>
        <w:bottom w:val="none" w:sz="0" w:space="0" w:color="auto"/>
        <w:right w:val="none" w:sz="0" w:space="0" w:color="auto"/>
      </w:divBdr>
    </w:div>
    <w:div w:id="885020428">
      <w:bodyDiv w:val="1"/>
      <w:marLeft w:val="0"/>
      <w:marRight w:val="0"/>
      <w:marTop w:val="0"/>
      <w:marBottom w:val="0"/>
      <w:divBdr>
        <w:top w:val="none" w:sz="0" w:space="0" w:color="auto"/>
        <w:left w:val="none" w:sz="0" w:space="0" w:color="auto"/>
        <w:bottom w:val="none" w:sz="0" w:space="0" w:color="auto"/>
        <w:right w:val="none" w:sz="0" w:space="0" w:color="auto"/>
      </w:divBdr>
      <w:divsChild>
        <w:div w:id="2064715108">
          <w:marLeft w:val="0"/>
          <w:marRight w:val="0"/>
          <w:marTop w:val="0"/>
          <w:marBottom w:val="0"/>
          <w:divBdr>
            <w:top w:val="none" w:sz="0" w:space="0" w:color="auto"/>
            <w:left w:val="none" w:sz="0" w:space="0" w:color="auto"/>
            <w:bottom w:val="none" w:sz="0" w:space="0" w:color="auto"/>
            <w:right w:val="none" w:sz="0" w:space="0" w:color="auto"/>
          </w:divBdr>
        </w:div>
      </w:divsChild>
    </w:div>
    <w:div w:id="1044910089">
      <w:bodyDiv w:val="1"/>
      <w:marLeft w:val="0"/>
      <w:marRight w:val="0"/>
      <w:marTop w:val="0"/>
      <w:marBottom w:val="0"/>
      <w:divBdr>
        <w:top w:val="none" w:sz="0" w:space="0" w:color="auto"/>
        <w:left w:val="none" w:sz="0" w:space="0" w:color="auto"/>
        <w:bottom w:val="none" w:sz="0" w:space="0" w:color="auto"/>
        <w:right w:val="none" w:sz="0" w:space="0" w:color="auto"/>
      </w:divBdr>
    </w:div>
    <w:div w:id="1175874660">
      <w:bodyDiv w:val="1"/>
      <w:marLeft w:val="0"/>
      <w:marRight w:val="0"/>
      <w:marTop w:val="0"/>
      <w:marBottom w:val="0"/>
      <w:divBdr>
        <w:top w:val="none" w:sz="0" w:space="0" w:color="auto"/>
        <w:left w:val="none" w:sz="0" w:space="0" w:color="auto"/>
        <w:bottom w:val="none" w:sz="0" w:space="0" w:color="auto"/>
        <w:right w:val="none" w:sz="0" w:space="0" w:color="auto"/>
      </w:divBdr>
    </w:div>
    <w:div w:id="1188257931">
      <w:bodyDiv w:val="1"/>
      <w:marLeft w:val="0"/>
      <w:marRight w:val="0"/>
      <w:marTop w:val="0"/>
      <w:marBottom w:val="0"/>
      <w:divBdr>
        <w:top w:val="none" w:sz="0" w:space="0" w:color="auto"/>
        <w:left w:val="none" w:sz="0" w:space="0" w:color="auto"/>
        <w:bottom w:val="none" w:sz="0" w:space="0" w:color="auto"/>
        <w:right w:val="none" w:sz="0" w:space="0" w:color="auto"/>
      </w:divBdr>
    </w:div>
    <w:div w:id="1246568456">
      <w:bodyDiv w:val="1"/>
      <w:marLeft w:val="0"/>
      <w:marRight w:val="0"/>
      <w:marTop w:val="0"/>
      <w:marBottom w:val="0"/>
      <w:divBdr>
        <w:top w:val="none" w:sz="0" w:space="0" w:color="auto"/>
        <w:left w:val="none" w:sz="0" w:space="0" w:color="auto"/>
        <w:bottom w:val="none" w:sz="0" w:space="0" w:color="auto"/>
        <w:right w:val="none" w:sz="0" w:space="0" w:color="auto"/>
      </w:divBdr>
    </w:div>
    <w:div w:id="1347905978">
      <w:bodyDiv w:val="1"/>
      <w:marLeft w:val="0"/>
      <w:marRight w:val="0"/>
      <w:marTop w:val="0"/>
      <w:marBottom w:val="0"/>
      <w:divBdr>
        <w:top w:val="none" w:sz="0" w:space="0" w:color="auto"/>
        <w:left w:val="none" w:sz="0" w:space="0" w:color="auto"/>
        <w:bottom w:val="none" w:sz="0" w:space="0" w:color="auto"/>
        <w:right w:val="none" w:sz="0" w:space="0" w:color="auto"/>
      </w:divBdr>
    </w:div>
    <w:div w:id="1485468879">
      <w:bodyDiv w:val="1"/>
      <w:marLeft w:val="0"/>
      <w:marRight w:val="0"/>
      <w:marTop w:val="0"/>
      <w:marBottom w:val="0"/>
      <w:divBdr>
        <w:top w:val="none" w:sz="0" w:space="0" w:color="auto"/>
        <w:left w:val="none" w:sz="0" w:space="0" w:color="auto"/>
        <w:bottom w:val="none" w:sz="0" w:space="0" w:color="auto"/>
        <w:right w:val="none" w:sz="0" w:space="0" w:color="auto"/>
      </w:divBdr>
    </w:div>
    <w:div w:id="1631665965">
      <w:bodyDiv w:val="1"/>
      <w:marLeft w:val="0"/>
      <w:marRight w:val="0"/>
      <w:marTop w:val="0"/>
      <w:marBottom w:val="0"/>
      <w:divBdr>
        <w:top w:val="none" w:sz="0" w:space="0" w:color="auto"/>
        <w:left w:val="none" w:sz="0" w:space="0" w:color="auto"/>
        <w:bottom w:val="none" w:sz="0" w:space="0" w:color="auto"/>
        <w:right w:val="none" w:sz="0" w:space="0" w:color="auto"/>
      </w:divBdr>
    </w:div>
    <w:div w:id="1670672544">
      <w:bodyDiv w:val="1"/>
      <w:marLeft w:val="0"/>
      <w:marRight w:val="0"/>
      <w:marTop w:val="0"/>
      <w:marBottom w:val="0"/>
      <w:divBdr>
        <w:top w:val="none" w:sz="0" w:space="0" w:color="auto"/>
        <w:left w:val="none" w:sz="0" w:space="0" w:color="auto"/>
        <w:bottom w:val="none" w:sz="0" w:space="0" w:color="auto"/>
        <w:right w:val="none" w:sz="0" w:space="0" w:color="auto"/>
      </w:divBdr>
    </w:div>
    <w:div w:id="1725906162">
      <w:bodyDiv w:val="1"/>
      <w:marLeft w:val="0"/>
      <w:marRight w:val="0"/>
      <w:marTop w:val="0"/>
      <w:marBottom w:val="0"/>
      <w:divBdr>
        <w:top w:val="none" w:sz="0" w:space="0" w:color="auto"/>
        <w:left w:val="none" w:sz="0" w:space="0" w:color="auto"/>
        <w:bottom w:val="none" w:sz="0" w:space="0" w:color="auto"/>
        <w:right w:val="none" w:sz="0" w:space="0" w:color="auto"/>
      </w:divBdr>
    </w:div>
    <w:div w:id="1816413952">
      <w:bodyDiv w:val="1"/>
      <w:marLeft w:val="0"/>
      <w:marRight w:val="0"/>
      <w:marTop w:val="0"/>
      <w:marBottom w:val="0"/>
      <w:divBdr>
        <w:top w:val="none" w:sz="0" w:space="0" w:color="auto"/>
        <w:left w:val="none" w:sz="0" w:space="0" w:color="auto"/>
        <w:bottom w:val="none" w:sz="0" w:space="0" w:color="auto"/>
        <w:right w:val="none" w:sz="0" w:space="0" w:color="auto"/>
      </w:divBdr>
    </w:div>
    <w:div w:id="1921478439">
      <w:bodyDiv w:val="1"/>
      <w:marLeft w:val="0"/>
      <w:marRight w:val="0"/>
      <w:marTop w:val="0"/>
      <w:marBottom w:val="0"/>
      <w:divBdr>
        <w:top w:val="none" w:sz="0" w:space="0" w:color="auto"/>
        <w:left w:val="none" w:sz="0" w:space="0" w:color="auto"/>
        <w:bottom w:val="none" w:sz="0" w:space="0" w:color="auto"/>
        <w:right w:val="none" w:sz="0" w:space="0" w:color="auto"/>
      </w:divBdr>
    </w:div>
    <w:div w:id="1991593526">
      <w:bodyDiv w:val="1"/>
      <w:marLeft w:val="0"/>
      <w:marRight w:val="0"/>
      <w:marTop w:val="0"/>
      <w:marBottom w:val="0"/>
      <w:divBdr>
        <w:top w:val="none" w:sz="0" w:space="0" w:color="auto"/>
        <w:left w:val="none" w:sz="0" w:space="0" w:color="auto"/>
        <w:bottom w:val="none" w:sz="0" w:space="0" w:color="auto"/>
        <w:right w:val="none" w:sz="0" w:space="0" w:color="auto"/>
      </w:divBdr>
    </w:div>
    <w:div w:id="2047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Sahu</dc:creator>
  <cp:keywords/>
  <dc:description/>
  <cp:lastModifiedBy>Sahil Sahu</cp:lastModifiedBy>
  <cp:revision>1</cp:revision>
  <dcterms:created xsi:type="dcterms:W3CDTF">2025-03-20T11:06:00Z</dcterms:created>
  <dcterms:modified xsi:type="dcterms:W3CDTF">2025-03-20T11:49:00Z</dcterms:modified>
</cp:coreProperties>
</file>