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C5152"/>
          <w:sz w:val="32"/>
          <w:szCs w:val="32"/>
        </w:rPr>
        <w:t xml:space="preserve">ARL Growize Investor Portal</w:t>
      </w:r>
    </w:p>
    <w:p>
      <w:pPr>
        <w:spacing w:after="40"/>
      </w:pPr>
      <w:r>
        <w:rPr>
          <w:b/>
          <w:bCs/>
          <w:color w:val="0F1A15"/>
          <w:sz w:val="23"/>
          <w:szCs w:val="23"/>
        </w:rPr>
        <w:t xml:space="preserve">Engineering &amp; Compliance Change Record</w:t>
      </w:r>
    </w:p>
    <w:p>
      <w:pPr>
        <w:spacing w:after="160"/>
      </w:pPr>
      <w:r>
        <w:rPr>
          <w:i/>
          <w:iCs/>
          <w:color w:val="808080"/>
          <w:sz w:val="16"/>
          <w:szCs w:val="16"/>
        </w:rPr>
        <w:t xml:space="preserve">Prepared 2026-06-09 · Supabase project oynfhdqizebvgmaoiuax · DRAFT for legal review</w:t>
      </w:r>
    </w:p>
    <w:p>
      <w:pPr>
        <w:pStyle w:val="Heading1"/>
      </w:pPr>
      <w:r>
        <w:t xml:space="preserve">1. Purpose</w:t>
      </w:r>
    </w:p>
    <w:p>
      <w:pPr>
        <w:spacing w:after="120" w:before="0"/>
      </w:pPr>
      <w:r>
        <w:t xml:space="preserve">This record documents the engineering and data-protection (DPDP) changes made to the Growize platform during this engagement, the artifacts produced, where each change was applied, and the verification performed. It is intended as an evidence trail for internal governance and for legal review. It is not legal advice; counsel should confirm legal sufficiency of the data-protection items.</w:t>
      </w:r>
    </w:p>
    <w:p>
      <w:pPr>
        <w:pStyle w:val="Heading1"/>
      </w:pPr>
      <w:r>
        <w:t xml:space="preserve">2.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1500"/>
        <w:gridCol w:w="1500"/>
      </w:tblGrid>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FFFFFF"/>
                <w:sz w:val="16"/>
                <w:szCs w:val="16"/>
              </w:rPr>
              <w:t xml:space="preserve">Change</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FFFFFF"/>
                <w:sz w:val="16"/>
                <w:szCs w:val="16"/>
              </w:rPr>
              <w:t xml:space="preserve">Artifact(s)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FFFFFF"/>
                <w:sz w:val="16"/>
                <w:szCs w:val="16"/>
              </w:rPr>
              <w:t xml:space="preserve">Where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FFFFFF"/>
                <w:sz w:val="16"/>
                <w:szCs w:val="16"/>
              </w:rPr>
              <w:t xml:space="preserve">Status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Contract-progress calculation fix (percentage = elapsed/total months; bar+label in sync)</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lib/.../projects_provider.dart; test/project_progress_test.dart</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Code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(test passed)</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Graceful error fallbacks + global branded error boundary</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app_error_view.dart, async_value_widget.dart, main.dart, home/financials/projects/documents/explore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Code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(present)</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Documents 'Not available yet' state for missing files</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documents_screen.dart</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Code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documents-sync edge function (Zoho -&gt; arl-documents + tables)</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supabase/functions/documents-sync</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Deployed</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(HTTP 200)</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project_documents.zoho_file_id (idempotent sync)</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migration 055</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(column)</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documents-sync daily cron</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migration 056</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(cron)</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webhook_log source allows 'documents_sync'</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migration 057</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(constraint)</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Removed 4 broken/mis-pathed seed document rows</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DB cleanup</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(deleted)</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Migration drift re-baseline (history cleaned; old files archived)</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supabase/migrations_archive_20260608</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(db push clean)</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QA: 127-case test workbook + user-flow diagram + flows sheet</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docs/ARL_Growize_Test_Cases.xlsx; ARL_Growize_User_Flows.html</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0F1A15"/>
                <w:sz w:val="15"/>
                <w:szCs w:val="15"/>
              </w:rPr>
              <w:t xml:space="preserve">Delivered</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DPDP: gap plan, RoPA, templates, audit report</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docs/compliance/*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0F1A15"/>
                <w:sz w:val="15"/>
                <w:szCs w:val="15"/>
              </w:rPr>
              <w:t xml:space="preserve">Delivered</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Consent audit table + RLS (append-only, versioned)</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migration 058</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(2 policies)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Granular onboarding consent (required + optional) + withdrawal toggle</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setup_screen.dart, security_screen.dart, user_settings_repository.dart</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Code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(present)</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Data-principal rights tables (nominees, erasure_requests) + RLS</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migration 059</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(policies)</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Privacy Center: data export, nominee, erasure request</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privacy_screen.dart, privacy_repository.dart, router</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Code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(present)</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Security: revoke EXECUTE on 10 SECURITY DEFINER funcs from anon/auth</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migration 060</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(advisors clear)</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Retention: purge_expired_personal_data() + weekly cron</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migration 061</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Live DB</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(fn+cron, dry-run)</w:t>
            </w:r>
          </w:p>
        </w:tc>
      </w:tr>
      <w:tr>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Privacy Notice v1.1: 30-day grievance + cross-border disclosure</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legal_content.dart</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Code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2E7D6E"/>
                <w:sz w:val="15"/>
                <w:szCs w:val="15"/>
              </w:rPr>
              <w:t xml:space="preserve">Verified (v1.1)</w:t>
            </w:r>
          </w:p>
        </w:tc>
      </w:tr>
    </w:tbl>
    <w:p>
      <w:pPr>
        <w:pageBreakBefore/>
      </w:pPr>
      <w:r>
        <w:t xml:space="preserve"/>
      </w:r>
    </w:p>
    <w:p>
      <w:pPr>
        <w:pStyle w:val="Heading1"/>
      </w:pPr>
      <w:r>
        <w:t xml:space="preserve">3. Detail by area</w:t>
      </w:r>
    </w:p>
    <w:p>
      <w:pPr>
        <w:pStyle w:val="Heading2"/>
      </w:pPr>
      <w:r>
        <w:t xml:space="preserve">3.1 App correctness &amp; resilience</w:t>
      </w:r>
    </w:p>
    <w:p>
      <w:pPr>
        <w:pStyle w:val="ListParagraph"/>
        <w:numPr>
          <w:ilvl w:val="0"/>
          <w:numId w:val="2"/>
        </w:numPr>
        <w:spacing w:after="50"/>
      </w:pPr>
      <w:r>
        <w:t xml:space="preserve">Fixed the home 'Contract Progress' calculation: progress is derived from elapsed-vs-total contract months, so the percentage, the gradient bar, and the 'Month X of Y' label agree. A unit test locks this in.</w:t>
      </w:r>
    </w:p>
    <w:p>
      <w:pPr>
        <w:pStyle w:val="ListParagraph"/>
        <w:numPr>
          <w:ilvl w:val="0"/>
          <w:numId w:val="2"/>
        </w:numPr>
        <w:spacing w:after="50"/>
      </w:pPr>
      <w:r>
        <w:t xml:space="preserve">Added a global branded error boundary (ErrorWidget.builder) so an unexpected widget crash shows a calm card, not a red screen; hardened providers that could hang; added friendly 'couldn't load / Retry' states across home, financials, projects, documents and explore.</w:t>
      </w:r>
    </w:p>
    <w:p>
      <w:pPr>
        <w:pStyle w:val="ListParagraph"/>
        <w:numPr>
          <w:ilvl w:val="0"/>
          <w:numId w:val="2"/>
        </w:numPr>
        <w:spacing w:after="50"/>
      </w:pPr>
      <w:r>
        <w:t xml:space="preserve">Documents that have no uploaded file now show 'Not available yet' instead of a broken link.</w:t>
      </w:r>
    </w:p>
    <w:p>
      <w:pPr>
        <w:pStyle w:val="Heading2"/>
      </w:pPr>
      <w:r>
        <w:t xml:space="preserve">3.2 Documents data pipeline</w:t>
      </w:r>
    </w:p>
    <w:p>
      <w:pPr>
        <w:pStyle w:val="ListParagraph"/>
        <w:numPr>
          <w:ilvl w:val="0"/>
          <w:numId w:val="2"/>
        </w:numPr>
        <w:spacing w:after="50"/>
      </w:pPr>
      <w:r>
        <w:t xml:space="preserve">Built and deployed the documents-sync edge function: pulls project-document attachments from Zoho LLP records and personal-document attachments from Zoho Contacts into the private arl-documents bucket and the catalog tables; idempotent; logs each run; notifies investors. Verified with a live HTTP 200 run.</w:t>
      </w:r>
    </w:p>
    <w:p>
      <w:pPr>
        <w:pStyle w:val="ListParagraph"/>
        <w:numPr>
          <w:ilvl w:val="0"/>
          <w:numId w:val="2"/>
        </w:numPr>
        <w:spacing w:after="50"/>
      </w:pPr>
      <w:r>
        <w:t xml:space="preserve">Supporting migrations: 055 (project_documents.zoho_file_id), 056 (daily cron), 057 (webhook_log source). A latent bug in gallery-sync (projects.llp_status) was identified for a follow-up fix.</w:t>
      </w:r>
    </w:p>
    <w:p>
      <w:pPr>
        <w:pStyle w:val="Heading2"/>
      </w:pPr>
      <w:r>
        <w:t xml:space="preserve">3.3 Database hygiene</w:t>
      </w:r>
    </w:p>
    <w:p>
      <w:pPr>
        <w:pStyle w:val="ListParagraph"/>
        <w:numPr>
          <w:ilvl w:val="0"/>
          <w:numId w:val="2"/>
        </w:numPr>
        <w:spacing w:after="50"/>
      </w:pPr>
      <w:r>
        <w:t xml:space="preserve">Resolved a pre-existing migration-history drift by re-baselining (old migrations archived; remote history reconciled). db push now reports a clean state. Removed four broken/mis-pathed seed document rows.</w:t>
      </w:r>
    </w:p>
    <w:p>
      <w:pPr>
        <w:pStyle w:val="Heading2"/>
      </w:pPr>
      <w:r>
        <w:t xml:space="preserve">3.4 Quality assurance</w:t>
      </w:r>
    </w:p>
    <w:p>
      <w:pPr>
        <w:pStyle w:val="ListParagraph"/>
        <w:numPr>
          <w:ilvl w:val="0"/>
          <w:numId w:val="2"/>
        </w:numPr>
        <w:spacing w:after="50"/>
      </w:pPr>
      <w:r>
        <w:t xml:space="preserve">Produced a 127-case regression test workbook (UI + backend + RLS) with an execution tracker and dashboard, and a user-flow diagram plus a flows sheet linking journeys to test IDs.</w:t>
      </w:r>
    </w:p>
    <w:p>
      <w:pPr>
        <w:pStyle w:val="Heading2"/>
      </w:pPr>
      <w:r>
        <w:t xml:space="preserve">3.5 DPDP compliance program</w:t>
      </w:r>
    </w:p>
    <w:p>
      <w:pPr>
        <w:pStyle w:val="ListParagraph"/>
        <w:numPr>
          <w:ilvl w:val="0"/>
          <w:numId w:val="2"/>
        </w:numPr>
        <w:spacing w:after="50"/>
      </w:pPr>
      <w:r>
        <w:t xml:space="preserve">Documents: gap assessment &amp; action plan, data inventory / RoPA, fill-in templates (notice, consent, grievance, breach, DPA), and a live findings audit report.</w:t>
      </w:r>
    </w:p>
    <w:p>
      <w:pPr>
        <w:pStyle w:val="ListParagraph"/>
        <w:numPr>
          <w:ilvl w:val="0"/>
          <w:numId w:val="2"/>
        </w:numPr>
        <w:spacing w:after="50"/>
      </w:pPr>
      <w:r>
        <w:t xml:space="preserve">Consent (migration 058): an append-only consent audit log; onboarding now captures granular, version-stamped consent (required Terms+Privacy; separate optional marketing); a withdrawal toggle on the Security screen.</w:t>
      </w:r>
    </w:p>
    <w:p>
      <w:pPr>
        <w:pStyle w:val="ListParagraph"/>
        <w:numPr>
          <w:ilvl w:val="0"/>
          <w:numId w:val="2"/>
        </w:numPr>
        <w:spacing w:after="50"/>
      </w:pPr>
      <w:r>
        <w:t xml:space="preserve">Data-principal rights (migration 059 + Privacy Center): data access/export, nominee management, and retention-aware erasure requests.</w:t>
      </w:r>
    </w:p>
    <w:p>
      <w:pPr>
        <w:pStyle w:val="ListParagraph"/>
        <w:numPr>
          <w:ilvl w:val="0"/>
          <w:numId w:val="2"/>
        </w:numPr>
        <w:spacing w:after="50"/>
      </w:pPr>
      <w:r>
        <w:t xml:space="preserve">Security (migration 060): revoked EXECUTE on ten SECURITY DEFINER trigger/internal functions from anon/authenticated, removing an API abuse surface (triggers still fire).</w:t>
      </w:r>
    </w:p>
    <w:p>
      <w:pPr>
        <w:pStyle w:val="ListParagraph"/>
        <w:numPr>
          <w:ilvl w:val="0"/>
          <w:numId w:val="2"/>
        </w:numPr>
        <w:spacing w:after="50"/>
      </w:pPr>
      <w:r>
        <w:t xml:space="preserve">Retention (migration 061): a weekly purge of login events (18 months), notifications (12 months) and old leads (24 months), with explicit carve-outs that never purge KYC/financial or consent records.</w:t>
      </w:r>
    </w:p>
    <w:p>
      <w:pPr>
        <w:pStyle w:val="ListParagraph"/>
        <w:numPr>
          <w:ilvl w:val="0"/>
          <w:numId w:val="2"/>
        </w:numPr>
        <w:spacing w:after="50"/>
      </w:pPr>
      <w:r>
        <w:t xml:space="preserve">Privacy Notice v1.1: grievance resolution stated as within 30 days; full processor and cross-border disclosure (Supabase/Zoho in India; Resend/Sentry/Netlify in the US, flagged for migration to India-based alternatives).</w:t>
      </w:r>
    </w:p>
    <w:p>
      <w:pPr>
        <w:pStyle w:val="Heading1"/>
      </w:pPr>
      <w:r>
        <w:t xml:space="preserve">4. Verification performed</w:t>
      </w:r>
    </w:p>
    <w:p>
      <w:pPr>
        <w:spacing w:after="120" w:before="0"/>
      </w:pPr>
      <w:r>
        <w:t xml:space="preserve">Live database and code inspected on the date above.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60"/>
        <w:gridCol w:w="2600"/>
      </w:tblGrid>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FFFFFF"/>
                <w:sz w:val="16"/>
                <w:szCs w:val="16"/>
              </w:rPr>
              <w:t xml:space="preserve">Verification check</w:t>
            </w:r>
          </w:p>
        </w:tc>
        <w:tc>
          <w:tcPr>
            <w:tcW w:type="dxa" w:w="1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FFFFFF"/>
                <w:sz w:val="16"/>
                <w:szCs w:val="16"/>
              </w:rPr>
              <w:t xml:space="preserve">Result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color w:val="FFFFFF"/>
                <w:sz w:val="16"/>
                <w:szCs w:val="16"/>
              </w:rPr>
              <w:t xml:space="preserve">Evidence</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consents table present + 2 RLS policies</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information_schema + pg_policy</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nominees table present + RLS policy</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pg_policy = 1</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erasure_requests table present + 2 RLS policies</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pg_policy = 2</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project_documents.zoho_file_id column present</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information_schema</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webhook_log allows 'documents_sync' source</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constraint definition</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purge_expired_personal_data() exists + cron scheduled</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pg_proc + cron.job</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documents-sync function deployed + daily cron</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edge functions + cron.job</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10 SECURITY DEFINER funcs NOT anon/authenticated-executable</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has_function_privilege = false</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Security advisors: all definer warnings cleared</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2 low/info items remain (by design)</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PAN/Aadhaar/bank stored masked only (0 full values)</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regex count on live data</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Code edits present (consent, Privacy Center, notice, fix)</w:t>
            </w:r>
          </w:p>
        </w:tc>
        <w:tc>
          <w:tcPr>
            <w:tcW w:type="dxa" w:w="1560"/>
            <w:tcBorders>
              <w:top w:val="single" w:color="CCCCCC" w:sz="1"/>
              <w:left w:val="single" w:color="CCCCCC" w:sz="1"/>
              <w:bottom w:val="single" w:color="CCCCCC" w:sz="1"/>
              <w:right w:val="single" w:color="CCCCCC" w:sz="1"/>
            </w:tcBorders>
            <w:shd w:fill="D7EDE6" w:val="clear"/>
            <w:tcMar>
              <w:top w:type="dxa" w:w="50"/>
              <w:left w:type="dxa" w:w="80"/>
              <w:bottom w:type="dxa" w:w="50"/>
              <w:right w:type="dxa" w:w="80"/>
            </w:tcMar>
          </w:tcPr>
          <w:p>
            <w:r>
              <w:rPr>
                <w:b/>
                <w:bCs/>
                <w:color w:val="2E7D6E"/>
                <w:sz w:val="15"/>
                <w:szCs w:val="15"/>
              </w:rPr>
              <w:t xml:space="preserve">PASS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grep across lib/</w:t>
            </w:r>
          </w:p>
        </w:tc>
      </w:tr>
      <w:tr>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Runtime: dart analyze + app run on device/web</w:t>
            </w:r>
          </w:p>
        </w:tc>
        <w:tc>
          <w:tcPr>
            <w:tcW w:type="dxa" w:w="1560"/>
            <w:tcBorders>
              <w:top w:val="single" w:color="CCCCCC" w:sz="1"/>
              <w:left w:val="single" w:color="CCCCCC" w:sz="1"/>
              <w:bottom w:val="single" w:color="CCCCCC" w:sz="1"/>
              <w:right w:val="single" w:color="CCCCCC" w:sz="1"/>
            </w:tcBorders>
            <w:shd w:fill="FFF1CC" w:val="clear"/>
            <w:tcMar>
              <w:top w:type="dxa" w:w="50"/>
              <w:left w:type="dxa" w:w="80"/>
              <w:bottom w:type="dxa" w:w="50"/>
              <w:right w:type="dxa" w:w="80"/>
            </w:tcMar>
          </w:tcPr>
          <w:p>
            <w:r>
              <w:rPr>
                <w:b/>
                <w:bCs/>
                <w:color w:val="C05640"/>
                <w:sz w:val="15"/>
                <w:szCs w:val="15"/>
              </w:rPr>
              <w:t xml:space="preserve">PENDING</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color w:val="0F1A15"/>
                <w:sz w:val="15"/>
                <w:szCs w:val="15"/>
              </w:rPr>
              <w:t xml:space="preserve">to be run on dev machine</w:t>
            </w:r>
          </w:p>
        </w:tc>
      </w:tr>
    </w:tbl>
    <w:p>
      <w:pPr>
        <w:spacing w:after="120" w:before="0"/>
      </w:pPr>
      <w:r>
        <w:t xml:space="preserve">Positive controls confirmed during the audit: full PAN/Aadhaar/bank are never stored (only masked; zero full values in live data), RLS is enabled on all tables, data resides in India, and sensitive surfaces (documents, coordinates, error logs) are protected.</w:t>
      </w:r>
    </w:p>
    <w:p>
      <w:pPr>
        <w:pStyle w:val="Heading1"/>
      </w:pPr>
      <w:r>
        <w:t xml:space="preserve">5. Open / deferred items</w:t>
      </w:r>
    </w:p>
    <w:p>
      <w:pPr>
        <w:pStyle w:val="ListParagraph"/>
        <w:numPr>
          <w:ilvl w:val="0"/>
          <w:numId w:val="2"/>
        </w:numPr>
        <w:spacing w:after="50"/>
      </w:pPr>
      <w:r>
        <w:t xml:space="preserve">F1 — Zoho contact-delete webhook could cascade-delete legally-retained records; deferred (5-year investment lock-in means no deletion in that window). Add a soft-delete guard before that window ends.</w:t>
      </w:r>
    </w:p>
    <w:p>
      <w:pPr>
        <w:pStyle w:val="ListParagraph"/>
        <w:numPr>
          <w:ilvl w:val="0"/>
          <w:numId w:val="2"/>
        </w:numPr>
        <w:spacing w:after="50"/>
      </w:pPr>
      <w:r>
        <w:t xml:space="preserve">F5 — Extend soft-delete/anonymisation to remaining personal tables; deferred with F1 for the same reason.</w:t>
      </w:r>
    </w:p>
    <w:p>
      <w:pPr>
        <w:pStyle w:val="ListParagraph"/>
        <w:numPr>
          <w:ilvl w:val="0"/>
          <w:numId w:val="2"/>
        </w:numPr>
        <w:spacing w:after="50"/>
      </w:pPr>
      <w:r>
        <w:t xml:space="preserve">F8 — Processor Data Processing Agreements (Supabase, Zoho, Resend, Sentry, Netlify) and lawyer sign-off of the notice/consent/retention — paperwork, outside code.</w:t>
      </w:r>
    </w:p>
    <w:p>
      <w:pPr>
        <w:pStyle w:val="ListParagraph"/>
        <w:numPr>
          <w:ilvl w:val="0"/>
          <w:numId w:val="2"/>
        </w:numPr>
        <w:spacing w:after="50"/>
      </w:pPr>
      <w:r>
        <w:t xml:space="preserve">Vendor migration — move Resend, Sentry and Netlify to India-based alternatives (Resend, which carries names/emails/OTPs, is the priority).</w:t>
      </w:r>
    </w:p>
    <w:p>
      <w:pPr>
        <w:pStyle w:val="ListParagraph"/>
        <w:numPr>
          <w:ilvl w:val="0"/>
          <w:numId w:val="2"/>
        </w:numPr>
        <w:spacing w:after="50"/>
      </w:pPr>
      <w:r>
        <w:t xml:space="preserve">Waived by the business: 18+ enforcement (population is 18+ HNI investors) and leaked-password protection (OTP/magic-link login).</w:t>
      </w:r>
    </w:p>
    <w:p>
      <w:pPr>
        <w:pStyle w:val="Heading1"/>
      </w:pPr>
      <w:r>
        <w:t xml:space="preserve">6. Outstanding actions for the team</w:t>
      </w:r>
    </w:p>
    <w:p>
      <w:pPr>
        <w:pStyle w:val="ListParagraph"/>
        <w:numPr>
          <w:ilvl w:val="0"/>
          <w:numId w:val="2"/>
        </w:numPr>
        <w:spacing w:after="50"/>
      </w:pPr>
      <w:r>
        <w:t xml:space="preserve">Run `dart analyze lib` and a device/web smoke test of the Privacy Center (export / nominee / erasure).</w:t>
      </w:r>
    </w:p>
    <w:p>
      <w:pPr>
        <w:pStyle w:val="ListParagraph"/>
        <w:numPr>
          <w:ilvl w:val="0"/>
          <w:numId w:val="2"/>
        </w:numPr>
        <w:spacing w:after="50"/>
      </w:pPr>
      <w:r>
        <w:t xml:space="preserve">Run `supabase db push` to record migrations 055-061 in repo history (all already applied to the live database).</w:t>
      </w:r>
    </w:p>
    <w:p>
      <w:pPr>
        <w:pStyle w:val="ListParagraph"/>
        <w:numPr>
          <w:ilvl w:val="0"/>
          <w:numId w:val="2"/>
        </w:numPr>
        <w:spacing w:after="50"/>
      </w:pPr>
      <w:r>
        <w:t xml:space="preserve">Execute processor DPAs and route the Privacy Notice, consent text and retention schedule through counsel.</w:t>
      </w:r>
    </w:p>
    <w:sectPr>
      <w:footerReference w:type="default" r:id="rId7"/>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ARL Growize — Engineering &amp; Compliance Change Record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3C5152"/>
      <w:sz w:val="26"/>
      <w:szCs w:val="26"/>
    </w:rPr>
  </w:style>
  <w:style w:type="paragraph" w:styleId="Heading2">
    <w:name w:val="Heading 2"/>
    <w:basedOn w:val="Normal"/>
    <w:next w:val="Normal"/>
    <w:qFormat/>
    <w:pPr>
      <w:spacing w:after="70" w:before="150"/>
      <w:outlineLvl w:val="1"/>
    </w:pPr>
    <w:rPr>
      <w:rFonts w:ascii="Arial" w:cs="Arial" w:eastAsia="Arial" w:hAnsi="Arial"/>
      <w:b/>
      <w:bCs/>
      <w:color w:val="2E7D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2026-06-09T06:46:53.808Z</dcterms:created>
  <dcterms:modified xsi:type="dcterms:W3CDTF">2026-06-09T06:46:53.808Z</dcterms:modified>
</cp:coreProperties>
</file>

<file path=docProps/custom.xml><?xml version="1.0" encoding="utf-8"?>
<Properties xmlns="http://schemas.openxmlformats.org/officeDocument/2006/custom-properties" xmlns:vt="http://schemas.openxmlformats.org/officeDocument/2006/docPropsVTypes"/>
</file>