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C5152"/>
          <w:sz w:val="36"/>
          <w:szCs w:val="36"/>
        </w:rPr>
        <w:t xml:space="preserve">ARL Growize Investor Portal</w:t>
      </w:r>
    </w:p>
    <w:p>
      <w:pPr>
        <w:spacing w:after="40"/>
      </w:pPr>
      <w:r>
        <w:rPr>
          <w:b/>
          <w:bCs/>
          <w:color w:val="0F1A15"/>
          <w:sz w:val="24"/>
          <w:szCs w:val="24"/>
        </w:rPr>
        <w:t xml:space="preserve">DPDP Act 2023 &amp; Rules 2025 — Gap Assessment &amp; Action Plan</w:t>
      </w:r>
    </w:p>
    <w:p>
      <w:pPr>
        <w:spacing w:after="160"/>
      </w:pPr>
      <w:r>
        <w:rPr>
          <w:i/>
          <w:iCs/>
          <w:color w:val="808080"/>
          <w:sz w:val="16"/>
          <w:szCs w:val="16"/>
        </w:rPr>
        <w:t xml:space="preserve">Prepared 2026-06-09  ·  DRAFT for legal review — not legal advice</w:t>
      </w:r>
    </w:p>
    <w:p>
      <w:pPr>
        <w:spacing w:after="120" w:before="0"/>
      </w:pPr>
      <w:r>
        <w:t xml:space="preserve">This document maps the obligations under India's Digital Personal Data Protection Act, 2023 and the DPDP Rules, 2025 against Growize's current app and Supabase backend, and sets out a prioritised plan to close the gaps. Because Growize processes financial and government-ID data (PAN, Aadhaar, bank, KYC), a data-protection lawyer should review and sign off this plan, the privacy notice, the consent text and the retention schedule before reliance.</w:t>
      </w:r>
    </w:p>
    <w:p>
      <w:pPr>
        <w:pStyle w:val="Heading1"/>
      </w:pPr>
      <w:r>
        <w:t xml:space="preserve">1. Regulatory status &amp;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DPDP Rules 2025 were notified on 13 November 2025, beginning a phased rollout.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(Nov 2025): Data Protection Board constitution &amp; procedures.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(~Nov 2026): consent-management rules (Rule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(~May 2027): notice, security safeguards, breach reporting, erasure, contact/grievance, children's data, rights workflows, cross-border transfers and Significant Data Fiduciary duties.</w:t>
      </w:r>
    </w:p>
    <w:p>
      <w:pPr>
        <w:spacing w:after="120" w:before="0"/>
      </w:pPr>
      <w:r>
        <w:rPr>
          <w:b/>
          <w:bCs/>
        </w:rPr>
        <w:t xml:space="preserve">Implication: the bulk of operational obligations must be met by ~May 2027, but notice, consent, grievance, processor contracts and security should be done now — Growize already holds sensitive data and is preparing to launch.</w:t>
      </w:r>
    </w:p>
    <w:p>
      <w:pPr>
        <w:pStyle w:val="Heading1"/>
      </w:pPr>
      <w:r>
        <w:t xml:space="preserve">2. Classification</w:t>
      </w:r>
    </w:p>
    <w:p>
      <w:pPr>
        <w:spacing w:after="120" w:before="0"/>
      </w:pPr>
      <w:r>
        <w:t xml:space="preserve">Growize acts as a Data Fiduciary (it determines purpose and means of processing). It is most likely NOT a Significant Data Fiduciary today (SDF is a government designation based on volume, sensitivity and risk), but its handling of Aadhaar and financial data means SDF designation is plausible over time — which would add DPO (India-resident), annual DPIA, audit and algorithmic-fairness duties. Monitor for designation.</w:t>
      </w:r>
    </w:p>
    <w:p>
      <w:pPr>
        <w:pStyle w:val="Heading1"/>
      </w:pPr>
      <w:r>
        <w:t xml:space="preserve">3. Gap assessment</w:t>
      </w:r>
    </w:p>
    <w:p>
      <w:pPr>
        <w:spacing w:after="120" w:before="0"/>
      </w:pPr>
      <w:r>
        <w:rPr>
          <w:i/>
          <w:iCs/>
          <w:color w:val="808080"/>
          <w:sz w:val="16"/>
          <w:szCs w:val="16"/>
        </w:rPr>
        <w:t xml:space="preserve">Priority key: P0 = do now / launch-critical, P1 = important, P2 = lower urgency. “Target” notes the enforcement phase or that the item is launch-critical regardless.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2950"/>
        <w:gridCol w:w="3650"/>
        <w:gridCol w:w="820"/>
        <w:gridCol w:w="1590"/>
      </w:tblGrid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DPDP Requirement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Current State (Growize)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 / Action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Pri.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515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Notice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Itemised notice at/before collection AND retroactive notice to pre-existing users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Consent timestamps captured (legal_consent); no evidence of a DPDP-itemised notice or any retroactive notice to invited users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Publish an itemised privacy notice; send a retroactive notice to every existing invited user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Consent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Free, specific, informed, unbundled; withdrawal as easy as giving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legal_consent records timestamps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Make consent granular + versioned (store notice version); add an easy withdraw-consent path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By Nov 2026 (Rule 4)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Access, correction, erasure, grievance, nomination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Profile/KYC/bank allow some correction only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Add access/export, erasure, withdraw-consent, nomination &amp; grievance flows (documented now, in-app later)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By May 2027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Grievance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Publish grievance contact; resolve within 30 days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 grievance contact published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Name a grievance officer; publish contact in-app + policy; enforce 30-day SLA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Retention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Purpose-specific retention; 48h pre-erasure notice; processing logs &gt;= 1 year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 documented schedule; KYC/financial retained de facto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Write a retention schedule with statutory carve-outs; implement 48h pre-erasure notice and &gt;=1y log retention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By May 2027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Breach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Notify the Board without delay + full report in 72h; notify users in plain language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Sentry + webhook_log + sync-stale-alert monitoring; no formal runbook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Create a breach-response runbook + notice templates; wire detection -&gt; escalation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Ready at launch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Processors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DPAs with all processors; disclose cross-border transfers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Supabase, Zoho, Netlify, Sentry, Resend in use; DPAs not confirmed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Execute DPAs with each; map &amp; disclose cross-border (Netlify/Sentry/Resend likely US)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Reasonable safeguards (Rule 6)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Strong base: RLS isolation, edge-function-only writes, private buckets + signed URLs, screenshot prevention, Sentry PII scrubbing, app lock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Formalise a written security policy; confirm encryption at rest/in transit; access logging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By May 2027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Aadhaar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UIDAI obligations beyond DPDP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Aadhaar number stored (investors/Zoho)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Confirm if full Aadhaar must be stored vs masked/last-4/VID; restrict access; obtain legal sign-off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Now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Children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18+ only, or verifiable parental consent + no tracking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KYC/DOB implies adults only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Document the 18+ age-gate; confirm minors cannot onboard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By May 2027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Minimisation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Collect only what the purpose needs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Zoho sync pulls multiple fields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Review synced/stored fields; trim what is unnecessary; keep RoPA current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P2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Governance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Records/RoPA; DPIA &amp; audit if designated SDF</w:t>
            </w:r>
          </w:p>
        </w:tc>
        <w:tc>
          <w:tcPr>
            <w:tcW w:type="dxa" w:w="2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RoPA drafted (this pack)</w:t>
            </w:r>
          </w:p>
        </w:tc>
        <w:tc>
          <w:tcPr>
            <w:tcW w:type="dxa" w:w="3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Maintain the RoPA; watch for SDF designation; if designated, appoint DPO + run DPIA/audit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05640"/>
                <w:sz w:val="16"/>
                <w:szCs w:val="16"/>
              </w:rPr>
              <w:t xml:space="preserve">P1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F1A15"/>
                <w:sz w:val="16"/>
                <w:szCs w:val="16"/>
              </w:rPr>
              <w:t xml:space="preserve">Ongoing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4. Prioritised roadmap</w:t>
      </w:r>
    </w:p>
    <w:p>
      <w:pPr>
        <w:pStyle w:val="Heading2"/>
      </w:pPr>
      <w:r>
        <w:t xml:space="preserve">Do now (launch-critical)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the itemised privacy notice + send the retroactive notice to all existing invited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consent capture (granular, versioned) and add a withdraw-consent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&amp; publish a Grievance Officer (in-app + policy) with a 30-day SLA.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DPAs with Supabase, Zoho, Netlify, Sentry and Resend; disclose cross-border transfers in the notice.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Aadhaar review: confirm necessity, mask/limit storage, restrict access (legal sign-off).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the breach-response runbook + templates ready before go-live.</w:t>
      </w:r>
    </w:p>
    <w:p>
      <w:pPr>
        <w:pStyle w:val="Heading2"/>
      </w:pPr>
      <w:r>
        <w:t xml:space="preserve">By ~Nov 2026 (consent)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Align consent architecture to Rule 4; optionally integrate a registered Consent Manager.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withdrawal, re-consent and consent records are demonstrable.</w:t>
      </w:r>
    </w:p>
    <w:p>
      <w:pPr>
        <w:pStyle w:val="Heading2"/>
      </w:pPr>
      <w:r>
        <w:t xml:space="preserve">By ~May 2027 (operational obligations)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in-app Data-Principal rights: access/export, correction, erasure, nomination, grievance.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retention schedule (statutory carve-outs, 48h pre-erasure notice, &gt;=1y logs).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Formalise the written security policy and access logging.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the 18+ age-gate and minor-exclusion.</w:t>
      </w:r>
    </w:p>
    <w:p>
      <w:pPr>
        <w:pStyle w:val="Heading2"/>
      </w:pPr>
      <w:r>
        <w:t xml:space="preserve">Ongoing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RoPA / data inventory current; review each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Re-assess SDF status; if designated, appoint DPO and run DPIA + annual audit.</w:t>
      </w:r>
    </w:p>
    <w:p>
      <w:pPr>
        <w:pStyle w:val="Heading1"/>
      </w:pPr>
      <w:r>
        <w:t xml:space="preserve">5. Growize-specific watch-outs</w:t>
      </w:r>
    </w:p>
    <w:p>
      <w:pPr>
        <w:pStyle w:val="Heading2"/>
      </w:pPr>
      <w:r>
        <w:t xml:space="preserve">Aadhaar &amp; PAN</w:t>
      </w:r>
    </w:p>
    <w:p>
      <w:pPr>
        <w:spacing w:after="120" w:before="0"/>
      </w:pPr>
      <w:r>
        <w:t xml:space="preserve">These are the highest-risk fields. Aadhaar carries UIDAI/Aadhaar-Act obligations beyond DPDP. Confirm whether the full Aadhaar number must be stored at all (vs masked / last-4 / VID), mask it in the UI, and lock read access down via RLS. Treat PAN similarly.</w:t>
      </w:r>
    </w:p>
    <w:p>
      <w:pPr>
        <w:pStyle w:val="Heading2"/>
      </w:pPr>
      <w:r>
        <w:t xml:space="preserve">Retention vs the right to erasure</w:t>
      </w:r>
    </w:p>
    <w:p>
      <w:pPr>
        <w:spacing w:after="120" w:before="0"/>
      </w:pPr>
      <w:r>
        <w:t xml:space="preserve">DPDP says erase once the purpose is served or consent is withdrawn — but PMLA/KYC, Companies &amp; LLP, Income-Tax and SEBI-type rules force retention of KYC and financial records (often ~5–8 years). Erasure logic must therefore EXCLUDE legally-mandated records; document this carve-out so an erasure request never deletes data you are legally required to keep.</w:t>
      </w:r>
    </w:p>
    <w:p>
      <w:pPr>
        <w:pStyle w:val="Heading2"/>
      </w:pPr>
      <w:r>
        <w:t xml:space="preserve">Cross-border processors</w:t>
      </w:r>
    </w:p>
    <w:p>
      <w:pPr>
        <w:spacing w:after="120" w:before="0"/>
      </w:pPr>
      <w:r>
        <w:t xml:space="preserve">Supabase (Mumbai) and Zoho (.in) keep data in India. Netlify, Sentry and Resend most likely process data in the US. DPDP permits transfers except to a (not-yet-published) restricted list, but the transfers must be disclosed in the notice and covered by processor contracts. Confirm each vendor's region and DPA.</w:t>
      </w:r>
    </w:p>
    <w:p>
      <w:pPr>
        <w:pStyle w:val="Heading2"/>
      </w:pPr>
      <w:r>
        <w:t xml:space="preserve">What already helps you</w:t>
      </w:r>
    </w:p>
    <w:p>
      <w:pPr>
        <w:spacing w:after="120" w:before="0"/>
      </w:pPr>
      <w:r>
        <w:t xml:space="preserve">Tiered RLS document access, edge-function-only writes, private storage with short-lived signed URLs, in-app document screenshot prevention, Sentry PII scrubbing (PAN/Aadhaar redaction), India data residency, and consent timestamps are all genuine DPDP-positive controls. The work is mostly notice, consent, rights, governance and paperwork — not a security rebuild.</w:t>
      </w:r>
    </w:p>
    <w:p>
      <w:pPr>
        <w:pStyle w:val="Heading1"/>
      </w:pPr>
      <w:r>
        <w:t xml:space="preserve">6. Sign-off</w:t>
      </w:r>
    </w:p>
    <w:p>
      <w:pPr>
        <w:spacing w:after="120" w:before="0"/>
      </w:pPr>
      <w:r>
        <w:t xml:space="preserve">Owner: ____________________     Reviewed by counsel: ____________________     Date: ____________</w:t>
      </w:r>
    </w:p>
    <w:p>
      <w:pPr>
        <w:spacing w:after="120" w:before="0"/>
      </w:pPr>
      <w:r>
        <w:rPr>
          <w:i/>
          <w:iCs/>
          <w:color w:val="808080"/>
          <w:sz w:val="16"/>
          <w:szCs w:val="16"/>
        </w:rPr>
        <w:t xml:space="preserve">Companion files: ARL_Growize_Data_Inventory_RoPA.xlsx (data map) and ARL_Growize_DPDP_Templates.docx (notice, consent, grievance, breach, rights and DPA templates).</w:t>
      </w:r>
    </w:p>
    <w:sectPr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ARL Growize — DPDP Gap Assessment &amp; Action Plan (DRAFT for legal review)   ·  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C515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D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2026-06-09T04:16:04.745Z</dcterms:created>
  <dcterms:modified xsi:type="dcterms:W3CDTF">2026-06-09T04:16:04.745Z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