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C5152"/>
          <w:sz w:val="34"/>
          <w:szCs w:val="34"/>
        </w:rPr>
        <w:t xml:space="preserve">ARL Growize Investor Portal</w:t>
      </w:r>
    </w:p>
    <w:p>
      <w:pPr>
        <w:spacing w:after="40"/>
      </w:pPr>
      <w:r>
        <w:rPr>
          <w:b/>
          <w:bCs/>
          <w:color w:val="0F1A15"/>
          <w:sz w:val="24"/>
          <w:szCs w:val="24"/>
        </w:rPr>
        <w:t xml:space="preserve">DPDP Compliance Audit — Findings &amp; Remediation</w:t>
      </w:r>
    </w:p>
    <w:p>
      <w:pPr>
        <w:spacing w:after="160"/>
      </w:pPr>
      <w:r>
        <w:rPr>
          <w:i/>
          <w:iCs/>
          <w:color w:val="808080"/>
          <w:sz w:val="16"/>
          <w:szCs w:val="16"/>
        </w:rPr>
        <w:t xml:space="preserve">Prepared 2026-06-09 · DRAFT for legal review — not legal advice</w:t>
      </w:r>
    </w:p>
    <w:p>
      <w:pPr>
        <w:pStyle w:val="Heading1"/>
      </w:pPr>
      <w:r>
        <w:t xml:space="preserve">1. Scope &amp; method</w:t>
      </w:r>
    </w:p>
    <w:p>
      <w:pPr>
        <w:spacing w:after="120" w:before="0"/>
      </w:pPr>
      <w:r>
        <w:t xml:space="preserve">This audit assessed the live Growize backend (Supabase project oynfhdqizebvgmaoiuax) and Flutter app against the Digital Personal Data Protection Act, 2023 and DPDP Rules, 2025. Method: direct inspection of the database schema, row-level-security policies, Supabase security advisors, foreign-key delete behaviour, scheduled jobs, edge-function data flows, and the app onboarding/consent/profile code. Findings are technical; legal sufficiency must be confirmed by counsel.</w:t>
      </w:r>
    </w:p>
    <w:p>
      <w:pPr>
        <w:pStyle w:val="Heading1"/>
      </w:pPr>
      <w:r>
        <w:t xml:space="preserve">2. Overall posture</w:t>
      </w:r>
    </w:p>
    <w:p>
      <w:pPr>
        <w:spacing w:after="120" w:before="0"/>
      </w:pPr>
      <w:r>
        <w:t xml:space="preserve">Data minimisation and access control are strong: full PAN/Aadhaar/bank are never stored (only masked values — confirmed zero full values in live data), all tables enforce RLS, data resides in India, and sensitive surfaces (documents, coordinates, error logs) are protected. The material exposure is in deletion/retention design, a set of over-exposed database functions, and (until this engagement) the absence of data-principal rights. Consent and the access/erasure/nomination rights were implemented during this engagement; the remaining open items are listed below.</w:t>
      </w:r>
    </w:p>
    <w:p>
      <w:pPr>
        <w:pStyle w:val="Heading1"/>
      </w:pPr>
      <w:r>
        <w:t xml:space="preserve">3. Findings</w:t>
      </w:r>
    </w:p>
    <w:p>
      <w:pPr>
        <w:spacing w:after="120" w:before="0"/>
      </w:pPr>
      <w:r>
        <w:rPr>
          <w:i/>
          <w:iCs/>
          <w:color w:val="808080"/>
          <w:sz w:val="16"/>
          <w:szCs w:val="16"/>
        </w:rPr>
        <w:t xml:space="preserve">Severity: P0 launch-critical · P1 important · P2 lower · Good = positive control. Status reflects work completed during this engagement.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50"/>
        <w:gridCol w:w="860"/>
        <w:gridCol w:w="3350"/>
        <w:gridCol w:w="1900"/>
        <w:gridCol w:w="3360"/>
        <w:gridCol w:w="14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Severity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DPDP relevance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Data structure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5640"/>
                <w:sz w:val="15"/>
                <w:szCs w:val="15"/>
              </w:rPr>
              <w:t xml:space="preserve">P0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Personal child tables (documents/KYC, payouts, investor_units, bank_change_requests, kyc_resubmissions, support_tickets, notifications) are ON DELETE CASCADE from investors. A hard delete (incl. Zoho Contact-delete) destroys KYC/financial records that must be retained by law.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Storage limitation vs. legal-retention conflict; right to erasure (s.12)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Never hard-delete investors with financial history (use deleted_at). Change cascade to RESTRICT or guard on financial/KYC tables. Define offboarding that anonymises non-mandatory data and retains statutory records.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C0564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F2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Security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5640"/>
                <w:sz w:val="15"/>
                <w:szCs w:val="15"/>
              </w:rPr>
              <w:t xml:space="preserve">P0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~12 SECURITY DEFINER functions (sync_investor_phone_to_auth, recompute_project_units, trg_*, notify_*) are EXECUTE-able by anon/authenticated via REST RPC.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Reasonable security safeguards (s.8(4))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REVOKE EXECUTE ... FROM anon, authenticated on these (they still fire as triggers); or move to a private schema.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C0564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F3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Rights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P1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No data access/export, erasure or nomination mechanism.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Access (s.11), correction/erasure (s.12), nomination (s.14)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Build Privacy Center: data export, nominee management, erasure request (retention-aware).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E7D6E"/>
                <w:sz w:val="15"/>
                <w:szCs w:val="15"/>
              </w:rPr>
              <w:t xml:space="preserve">Built this session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F4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Consent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P1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Single bundled Terms+Privacy checkbox; no version stored; no withdrawal.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Consent: free, specific, unbundled, withdrawable (s.6-7)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Granular required+optional ticks, version-stamped, append-only consent log, withdrawal toggle.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E7D6E"/>
                <w:sz w:val="15"/>
                <w:szCs w:val="15"/>
              </w:rPr>
              <w:t xml:space="preserve">Built earlier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F5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Data structure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P1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Soft-delete (deleted_at) exists only on investors + investor_units; 13 other personal tables cannot be selectively soft-deleted/anonymised.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Erasure / retention granularity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Add deleted_at or an anonymisation routine to personal tables involved in offboarding.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C0564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F6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Retention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P1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Only webhook_log has a purge job; login_events, notifications, consultation_requests, consents grow unbounded; no 48h pre-erasure notice.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Storage limitation; logs &gt;= 1y (Rule)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Define a purpose-bound retention schedule and automate purges (cron pattern already exists). Add 48h pre-erasure notice.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C0564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F7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Storage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P2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KYC document FILES in arl-documents contain full PAN/Aadhaar images even though DB columns are masked.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Security of sensitive data; minimisation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Keep bucket private + signed-URL + investor-tier RLS (in place); bound retention; log ops access.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E7D6E"/>
                <w:sz w:val="15"/>
                <w:szCs w:val="15"/>
              </w:rPr>
              <w:t xml:space="preserve">Mitigated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F8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Notice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P2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Privacy Policy says grievance 'within 7 working days' and lists only Supabase/Zoho; US processors (Resend/Sentry/Netlify) not disclosed.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Notice (s.5); grievance (s.13)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Reconcile to 30-day grievance window; disclose all cross-border processors; align version to consent log.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C0564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F9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Workflow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P2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DOB collected but not validated &gt;= 18 at onboarding, though Terms require it.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Children's data (s.9)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Add an 18+ check in onboarding; document minor exclusion.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C0564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F10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Config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P2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Supabase Auth leaked-password protection disabled.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Reasonable safeguards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Enable (low impact while OTP/magic-link is the primary method).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D9D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C0564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F11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Config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Info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sync_alerts has RLS enabled with no policy (deny-all to API).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Access control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Confirm it is service-role-only and holds no investor PII exposed to clients.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Info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G1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Data structure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6E"/>
                <w:sz w:val="15"/>
                <w:szCs w:val="15"/>
              </w:rPr>
              <w:t xml:space="preserve">Good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Full PAN/Aadhaar/bank are never stored — only *_masked columns; 0 full values found in live data.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Data minimisation (s.6)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Maintain; extend masking discipline to any new fields.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E7D6E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G2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Security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6E"/>
                <w:sz w:val="15"/>
                <w:szCs w:val="15"/>
              </w:rPr>
              <w:t xml:space="preserve">Good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RLS enabled on all public tables; tiered document RLS; projects_public hides coordinates; login_events stores no IP.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Security; minimisation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Maintain.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E7D6E"/>
                <w:sz w:val="15"/>
                <w:szCs w:val="15"/>
              </w:rPr>
              <w:t xml:space="preserve">Verified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F1A15"/>
                <w:sz w:val="15"/>
                <w:szCs w:val="15"/>
              </w:rPr>
              <w:t xml:space="preserve">G3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Hosting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D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6E"/>
                <w:sz w:val="15"/>
                <w:szCs w:val="15"/>
              </w:rPr>
              <w:t xml:space="preserve">Good</w:t>
            </w:r>
          </w:p>
        </w:tc>
        <w:tc>
          <w:tcPr>
            <w:tcW w:type="dxa" w:w="3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Primary data in India (Supabase Mumbai, Zoho .in). Sentry scrubs PAN/Aadhaar; private buckets + signed URLs; in-app screenshot prevention.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Data localisation sentiment; security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F1A15"/>
                <w:sz w:val="15"/>
                <w:szCs w:val="15"/>
              </w:rPr>
              <w:t xml:space="preserve">Maintain; cover remaining US processors with DPAs.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2E7D6E"/>
                <w:sz w:val="15"/>
                <w:szCs w:val="15"/>
              </w:rPr>
              <w:t xml:space="preserve">Verified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4. Remediation priority</w:t>
      </w:r>
    </w:p>
    <w:p>
      <w:pPr>
        <w:pStyle w:val="Heading2"/>
      </w:pPr>
      <w:r>
        <w:t xml:space="preserve">Do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F2 — Revoke EXECUTE on the SECURITY DEFINER functions from anon/authenticated (quick, high-value).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F1 — Stop hard-deleting investors; restrict cascade on financial/KYC tables; document offboarding with statutory carve-outs.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F8 — Reconcile the Privacy Notice (30-day grievance, disclose US processors) and sign processor DPAs.</w:t>
      </w:r>
    </w:p>
    <w:p>
      <w:pPr>
        <w:pStyle w:val="Heading2"/>
      </w:pPr>
      <w:r>
        <w:t xml:space="preserve">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F5/F6 — Extend soft-delete/anonymisation coverage and automate purpose-bound retention; add the 48h pre-erasure notice.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F9 — Enforce the 18+ age gate at onboarding.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F10 — Enable leaked-password protection.</w:t>
      </w:r>
    </w:p>
    <w:p>
      <w:pPr>
        <w:pStyle w:val="Heading2"/>
      </w:pPr>
      <w:r>
        <w:t xml:space="preserve">Completed this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F4 — Granular, versioned consent + append-only consent audit log + withdrawal toggle.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F3 — Privacy Center: data export (access), nominee management, and retention-aware erasure requests; backed by new nominees + erasure_requests tables with RLS.</w:t>
      </w:r>
    </w:p>
    <w:p>
      <w:pPr>
        <w:pStyle w:val="Heading1"/>
      </w:pPr>
      <w:r>
        <w:t xml:space="preserve">5. Note on legal retention vs erasure</w:t>
      </w:r>
    </w:p>
    <w:p>
      <w:pPr>
        <w:spacing w:after="120" w:before="0"/>
      </w:pPr>
      <w:r>
        <w:t xml:space="preserve">The central tension for Growize is that DPDP requires erasure on request/withdrawal, while PMLA, the Companies/LLP Act and Income-Tax rules require multi-year retention of KYC and financial records. The erasure flow built here is request-based precisely so that the ops/legal team can erase non-mandatory data while retaining statutory records — it must not be turned into an automatic hard-delete given the CASCADE design in F1.</w:t>
      </w:r>
    </w:p>
    <w:p>
      <w:pPr>
        <w:spacing w:after="120" w:before="0"/>
      </w:pPr>
      <w:r>
        <w:rPr>
          <w:i/>
          <w:iCs/>
          <w:color w:val="808080"/>
          <w:sz w:val="16"/>
          <w:szCs w:val="16"/>
        </w:rPr>
        <w:t xml:space="preserve">Companion documents: ARL_Growize_DPDP_Action_Plan.docx, ARL_Growize_Data_Inventory_RoPA.xlsx, ARL_Growize_DPDP_Templates.docx.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ARL Growize — DPDP Compliance Audit (DRAFT for counsel) ·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C515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D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2026-06-09T05:21:16.712Z</dcterms:created>
  <dcterms:modified xsi:type="dcterms:W3CDTF">2026-06-09T05:21:16.712Z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