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3C5152"/>
          <w:sz w:val="32"/>
          <w:szCs w:val="32"/>
        </w:rPr>
        <w:t xml:space="preserve">ARL Growize Investor Portal</w:t>
      </w:r>
    </w:p>
    <w:p>
      <w:pPr>
        <w:spacing w:after="40"/>
      </w:pPr>
      <w:r>
        <w:rPr>
          <w:b/>
          <w:bCs/>
          <w:color w:val="0F1A15"/>
          <w:sz w:val="22"/>
          <w:szCs w:val="22"/>
        </w:rPr>
        <w:t xml:space="preserve">DPDP Compliance Mapping — Implemented Controls</w:t>
      </w:r>
    </w:p>
    <w:p>
      <w:pPr>
        <w:spacing w:after="140"/>
      </w:pPr>
      <w:r>
        <w:rPr>
          <w:i/>
          <w:iCs/>
          <w:color w:val="808080"/>
          <w:sz w:val="16"/>
          <w:szCs w:val="16"/>
        </w:rPr>
        <w:t xml:space="preserve">Prepared 2026-06-09 · For legal reference — not legal advice. Section/Rule citations are indicative and should be confirmed by counsel.</w:t>
      </w:r>
    </w:p>
    <w:p>
      <w:pPr>
        <w:spacing w:after="120" w:before="0"/>
      </w:pPr>
      <w:r>
        <w:t xml:space="preserve">This document maps ONLY the data-protection controls that have been implemented on the Growize platform to the corresponding provisions of the Digital Personal Data Protection Act, 2023 and the DPDP Rules, 2025, with the compliance argument and the supporting evidence for each. It is intended as a reference if compliance is ever questioned. Items not yet completed (processor data-processing agreements, a formal breach-response runbook, automated erasure execution, and migration of the US-based processors to India) are out of scope here and are tracked separately.</w:t>
      </w:r>
    </w:p>
    <w:p>
      <w:pPr>
        <w:pStyle w:val="Heading1"/>
      </w:pPr>
      <w:r>
        <w:t xml:space="preserve">Provision-by-provision mapping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2450"/>
        <w:gridCol w:w="3050"/>
        <w:gridCol w:w="3500"/>
        <w:gridCol w:w="2460"/>
      </w:tblGrid>
      <w:tr>
        <w:tc>
          <w:tcPr>
            <w:tcW w:type="dxa" w:w="1500"/>
            <w:tcBorders>
              <w:top w:val="single" w:color="CCCCCC" w:sz="1"/>
              <w:left w:val="single" w:color="CCCCCC" w:sz="1"/>
              <w:bottom w:val="single" w:color="CCCCCC" w:sz="1"/>
              <w:right w:val="single" w:color="CCCCCC" w:sz="1"/>
            </w:tcBorders>
            <w:shd w:fill="3C5152" w:val="clear"/>
            <w:tcMar>
              <w:top w:type="dxa" w:w="60"/>
              <w:left w:type="dxa" w:w="90"/>
              <w:bottom w:type="dxa" w:w="60"/>
              <w:right w:type="dxa" w:w="90"/>
            </w:tcMar>
          </w:tcPr>
          <w:p>
            <w:r>
              <w:rPr>
                <w:b/>
                <w:bCs/>
                <w:color w:val="FFFFFF"/>
                <w:sz w:val="16"/>
                <w:szCs w:val="16"/>
              </w:rPr>
              <w:t xml:space="preserve">DPDP provision</w:t>
            </w:r>
          </w:p>
        </w:tc>
        <w:tc>
          <w:tcPr>
            <w:tcW w:type="dxa" w:w="2450"/>
            <w:tcBorders>
              <w:top w:val="single" w:color="CCCCCC" w:sz="1"/>
              <w:left w:val="single" w:color="CCCCCC" w:sz="1"/>
              <w:bottom w:val="single" w:color="CCCCCC" w:sz="1"/>
              <w:right w:val="single" w:color="CCCCCC" w:sz="1"/>
            </w:tcBorders>
            <w:shd w:fill="3C5152" w:val="clear"/>
            <w:tcMar>
              <w:top w:type="dxa" w:w="60"/>
              <w:left w:type="dxa" w:w="90"/>
              <w:bottom w:type="dxa" w:w="60"/>
              <w:right w:type="dxa" w:w="90"/>
            </w:tcMar>
          </w:tcPr>
          <w:p>
            <w:r>
              <w:rPr>
                <w:b/>
                <w:bCs/>
                <w:color w:val="FFFFFF"/>
                <w:sz w:val="16"/>
                <w:szCs w:val="16"/>
              </w:rPr>
              <w:t xml:space="preserve">Requirement</w:t>
            </w:r>
          </w:p>
        </w:tc>
        <w:tc>
          <w:tcPr>
            <w:tcW w:type="dxa" w:w="3050"/>
            <w:tcBorders>
              <w:top w:val="single" w:color="CCCCCC" w:sz="1"/>
              <w:left w:val="single" w:color="CCCCCC" w:sz="1"/>
              <w:bottom w:val="single" w:color="CCCCCC" w:sz="1"/>
              <w:right w:val="single" w:color="CCCCCC" w:sz="1"/>
            </w:tcBorders>
            <w:shd w:fill="3C5152" w:val="clear"/>
            <w:tcMar>
              <w:top w:type="dxa" w:w="60"/>
              <w:left w:type="dxa" w:w="90"/>
              <w:bottom w:type="dxa" w:w="60"/>
              <w:right w:type="dxa" w:w="90"/>
            </w:tcMar>
          </w:tcPr>
          <w:p>
            <w:r>
              <w:rPr>
                <w:b/>
                <w:bCs/>
                <w:color w:val="FFFFFF"/>
                <w:sz w:val="16"/>
                <w:szCs w:val="16"/>
              </w:rPr>
              <w:t xml:space="preserve">Implemented in Growize</w:t>
            </w:r>
          </w:p>
        </w:tc>
        <w:tc>
          <w:tcPr>
            <w:tcW w:type="dxa" w:w="3500"/>
            <w:tcBorders>
              <w:top w:val="single" w:color="CCCCCC" w:sz="1"/>
              <w:left w:val="single" w:color="CCCCCC" w:sz="1"/>
              <w:bottom w:val="single" w:color="CCCCCC" w:sz="1"/>
              <w:right w:val="single" w:color="CCCCCC" w:sz="1"/>
            </w:tcBorders>
            <w:shd w:fill="3C5152" w:val="clear"/>
            <w:tcMar>
              <w:top w:type="dxa" w:w="60"/>
              <w:left w:type="dxa" w:w="90"/>
              <w:bottom w:type="dxa" w:w="60"/>
              <w:right w:type="dxa" w:w="90"/>
            </w:tcMar>
          </w:tcPr>
          <w:p>
            <w:r>
              <w:rPr>
                <w:b/>
                <w:bCs/>
                <w:color w:val="FFFFFF"/>
                <w:sz w:val="16"/>
                <w:szCs w:val="16"/>
              </w:rPr>
              <w:t xml:space="preserve">Compliance argument</w:t>
            </w:r>
          </w:p>
        </w:tc>
        <w:tc>
          <w:tcPr>
            <w:tcW w:type="dxa" w:w="2460"/>
            <w:tcBorders>
              <w:top w:val="single" w:color="CCCCCC" w:sz="1"/>
              <w:left w:val="single" w:color="CCCCCC" w:sz="1"/>
              <w:bottom w:val="single" w:color="CCCCCC" w:sz="1"/>
              <w:right w:val="single" w:color="CCCCCC" w:sz="1"/>
            </w:tcBorders>
            <w:shd w:fill="3C5152" w:val="clear"/>
            <w:tcMar>
              <w:top w:type="dxa" w:w="60"/>
              <w:left w:type="dxa" w:w="90"/>
              <w:bottom w:type="dxa" w:w="60"/>
              <w:right w:type="dxa" w:w="90"/>
            </w:tcMar>
          </w:tcPr>
          <w:p>
            <w:r>
              <w:rPr>
                <w:b/>
                <w:bCs/>
                <w:color w:val="FFFFFF"/>
                <w:sz w:val="16"/>
                <w:szCs w:val="16"/>
              </w:rPr>
              <w:t xml:space="preserve">Evidence / artifact</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Lawful basis — s.4, s.7</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Personal data must be processed on a lawful ground: consent or a legitimate use; necessity for a contract is recognised.</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Optional processing (marketing) is taken on explicit consent; identity/KYC/financial processing rests on legal obligation (PMLA, Companies/LLP, IT) and the signed investor agreement, and is disclosed as a notice rather than consent-gated.</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Each purpose has an identified lawful ground; we never rely on consent for processing the law already mandates, and we do not bundle mandatory processing into an optional 'consent'.</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Onboarding notice text; consents table; physical signed agreement</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Notice — s.5; DPDP Rules 2025 (notice)</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An itemised notice of what data, the purposes, how to exercise rights and withdraw consent, and how to complain to the Board, given at/before collection.</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Privacy Notice v1.1 itemises data categories, purposes, the data-principal rights, the withdrawal route, the grievance contact, and cross-border processing. Shown/linked at onboarding and in-app.</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The notice is specific, standalone and available before consent is taken; version-stamped so changes are auditable.</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legal_content.dart (v1.1, 9 Jun 2026); onboarding links; Privacy Notice screen</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Consent — s.6</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Free, specific, informed, unconditional, unambiguous, by clear affirmative action; unbundled; withdrawable as easily as given.</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Onboarding presents a required Terms+Privacy tick separate from an optional marketing tick (clear affirmative action, unbundled). A one-tap withdrawal toggle sits on the Security screen.</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Consent is specific and unbundled; the optional purpose is genuinely optional; withdrawal is as easy as granting and stops the relevant processing.</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setup_screen.dart; security_screen.dart; migration 058</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Demonstrable consent — s.6; Rule 4</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The fiduciary must be able to prove valid consent and maintain consent records.</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Append-only consents audit log records user, purpose, granted/withdrawn, document version, source and timestamp; RLS-scoped.</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We can demonstrate who consented to what, under which notice version, and when — including the full withdrawal trail.</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public.consents table + RLS (verified)</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Security safeguards — s.8(4); Rule 6</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Reasonable technical and organisational safeguards to protect personal data and prevent breach.</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RLS on every table; edge-function-only writes; PAN/Aadhaar/bank stored masked (last-4 only); private storage with short-lived signed URLs; in-app screenshot prevention; Sentry PII scrubbing; removed anon/authenticated EXECUTE on 10 SECURITY DEFINER functions; data hosted in India.</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Layered, least-privilege controls with data minimisation reduce both the likelihood and blast radius of a breach.</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migration 060 (advisors clear); RLS coverage; 0 full IDs in live data</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Data minimisation — s.6, s.8</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Only data necessary for the stated purpose should be processed/retained.</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Only masked PAN/Aadhaar/bank tails are stored (full numbers never reach the server); login events store no IP address.</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We collect/retain the minimum needed; the most sensitive identifiers are never stored in full.</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investors schema (*_masked); login_events; live-data check = 0 full values</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Retention / storage limitation — s.8(7); Rule 8</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Erase personal data when the purpose is served or consent withdrawn, except where retention is required by law; specified retention periods.</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Weekly automated purge: login events 18 months, notifications 12 months, leads 24 months. KYC/financial and consent records are explicitly excluded (statutory retention / demonstrability).</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Personal data is kept only as long as needed; the 1-year processing-log floor is met; legally-mandated records are deliberately retained.</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migration 061 (purge fn + weekly cron, verified)</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Right to access — s.11</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On request, a summary of the personal data processed and the processing activities.</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Privacy Center 'Download my data' assembles and returns a copy of all personal data we hold across tables.</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A data principal can obtain a complete copy of their data on demand, in-app.</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privacy_screen.dart; privacy_repository.exportMyData</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Right to correction &amp; erasure — s.12; s.8(7)</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Right to correct/complete/update and to erase personal data no longer needed.</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Correction via Profile/KYC/Bank screens; a retention-aware erasure-request flow that erases non-mandatory data while retaining statutory records.</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An erasure mechanism exists and is honoured within the SLA; it correctly preserves records the law requires us to keep.</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erasure_requests table (mig 059); Privacy Center</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Right to nominate — s.14</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Right to nominate someone to exercise the data principal's rights on death/incapacity.</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Privacy Center nominee management (add/edit/remove name, relationship, contact).</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A data principal can record and manage a nominee at any time.</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nominees table (mig 059); privacy_screen.dart</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Grievance redressal — s.8(10), s.13</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A readily available grievance mechanism, resolved within the prescribed time.</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Named grievance contact published in the Privacy Notice and surfaced in the Privacy Center; resolution stated as within 30 days.</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A clear, published grievance channel with a stated DPDP-aligned timeline.</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legal_content.dart (grievance block, 30 days)</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Cross-border transfer — s.16</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Transfers permitted except to territories the Government restricts; transparency expected.</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Primary data resides in India (Supabase Mumbai, Zoho .in). The Privacy Notice discloses the US-based processors (Resend, Sentry, Netlify); migration to India-based alternatives is planned.</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Transfers involve no restricted territory and are disclosed; the most sensitive identifiers are masked/scrubbed before any transfer.</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Notice s.6; Sentry PII scrubbing</w:t>
            </w:r>
          </w:p>
        </w:tc>
      </w:tr>
      <w:tr>
        <w:tc>
          <w:tcPr>
            <w:tcW w:type="dxa" w:w="1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3C5152"/>
                <w:sz w:val="15"/>
                <w:szCs w:val="15"/>
              </w:rPr>
              <w:t xml:space="preserve">Children's data — s.9</w:t>
            </w:r>
          </w:p>
        </w:tc>
        <w:tc>
          <w:tcPr>
            <w:tcW w:type="dxa" w:w="24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No processing of a child's data without verifiable parental consent; no tracking of children.</w:t>
            </w:r>
          </w:p>
        </w:tc>
        <w:tc>
          <w:tcPr>
            <w:tcW w:type="dxa" w:w="305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Onboarding population is restricted to adult (18+) HNI investors per KYC and the Terms of Service.</w:t>
            </w:r>
          </w:p>
        </w:tc>
        <w:tc>
          <w:tcPr>
            <w:tcW w:type="dxa" w:w="350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0F1A15"/>
                <w:sz w:val="15"/>
                <w:szCs w:val="15"/>
              </w:rPr>
              <w:t xml:space="preserve">No minors are onboarded, so the children's-data obligations are not triggered (a DOB&gt;=18 hard check is recommended as belt-and-suspenders).</w:t>
            </w:r>
          </w:p>
        </w:tc>
        <w:tc>
          <w:tcPr>
            <w:tcW w:type="dxa" w:w="2460"/>
            <w:tcBorders>
              <w:top w:val="single" w:color="CCCCCC" w:sz="1"/>
              <w:left w:val="single" w:color="CCCCCC" w:sz="1"/>
              <w:bottom w:val="single" w:color="CCCCCC" w:sz="1"/>
              <w:right w:val="single" w:color="CCCCCC" w:sz="1"/>
            </w:tcBorders>
            <w:tcMar>
              <w:top w:type="dxa" w:w="60"/>
              <w:left w:type="dxa" w:w="90"/>
              <w:bottom w:type="dxa" w:w="60"/>
              <w:right w:type="dxa" w:w="90"/>
            </w:tcMar>
          </w:tcPr>
          <w:p>
            <w:r>
              <w:rPr>
                <w:b w:val="false"/>
                <w:bCs w:val="false"/>
                <w:color w:val="2E7D6E"/>
                <w:sz w:val="15"/>
                <w:szCs w:val="15"/>
              </w:rPr>
              <w:t xml:space="preserve">Terms of Service (eligibility); KYC</w:t>
            </w:r>
          </w:p>
        </w:tc>
      </w:tr>
    </w:tbl>
    <w:p>
      <w:pPr>
        <w:pStyle w:val="Heading1"/>
      </w:pPr>
      <w:r>
        <w:t xml:space="preserve">Supporting facts (verified on the live system)</w:t>
      </w:r>
    </w:p>
    <w:p>
      <w:pPr>
        <w:pStyle w:val="ListParagraph"/>
        <w:numPr>
          <w:ilvl w:val="0"/>
          <w:numId w:val="2"/>
        </w:numPr>
        <w:spacing w:after="50"/>
      </w:pPr>
      <w:r>
        <w:t xml:space="preserve">Full PAN, Aadhaar and bank account numbers are never stored — only masked last-4 values; a scan of live data found zero full values.</w:t>
      </w:r>
    </w:p>
    <w:p>
      <w:pPr>
        <w:pStyle w:val="ListParagraph"/>
        <w:numPr>
          <w:ilvl w:val="0"/>
          <w:numId w:val="2"/>
        </w:numPr>
        <w:spacing w:after="50"/>
      </w:pPr>
      <w:r>
        <w:t xml:space="preserve">Row-level security is enabled on all application tables; the consent, nominee and erasure tables enforce per-user access.</w:t>
      </w:r>
    </w:p>
    <w:p>
      <w:pPr>
        <w:pStyle w:val="ListParagraph"/>
        <w:numPr>
          <w:ilvl w:val="0"/>
          <w:numId w:val="2"/>
        </w:numPr>
        <w:spacing w:after="50"/>
      </w:pPr>
      <w:r>
        <w:t xml:space="preserve">The 10 over-exposed SECURITY DEFINER functions are no longer executable by anonymous or signed-in API callers; Supabase security advisors report the related warnings cleared.</w:t>
      </w:r>
    </w:p>
    <w:p>
      <w:pPr>
        <w:pStyle w:val="ListParagraph"/>
        <w:numPr>
          <w:ilvl w:val="0"/>
          <w:numId w:val="2"/>
        </w:numPr>
        <w:spacing w:after="50"/>
      </w:pPr>
      <w:r>
        <w:t xml:space="preserve">Retention purge and consent/rights tables and jobs are present and were exercised on the live database.</w:t>
      </w:r>
    </w:p>
    <w:p>
      <w:pPr>
        <w:spacing w:after="120" w:before="0"/>
      </w:pPr>
      <w:r>
        <w:rPr>
          <w:i/>
          <w:iCs/>
          <w:color w:val="808080"/>
          <w:sz w:val="16"/>
          <w:szCs w:val="16"/>
        </w:rPr>
        <w:t xml:space="preserve">Caveat: these are sound engineering controls mapped to the law in good faith. Legal sufficiency — particularly the notice wording, consent text, retention periods and the children's-data position — should be confirmed by a qualified Indian data-protection lawyer before being relied upon in any dispute.</w:t>
      </w:r>
    </w:p>
    <w:sectPr>
      <w:footerReference w:type="default" r:id="rId7"/>
      <w:pgSz w:w="15840" w:h="12240"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ARL Growize — DPDP Compliance Mapping (DRAFT for counsel)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3C515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2026-06-09T09:01:21.747Z</dcterms:created>
  <dcterms:modified xsi:type="dcterms:W3CDTF">2026-06-09T09:01:21.747Z</dcterms:modified>
</cp:coreProperties>
</file>

<file path=docProps/custom.xml><?xml version="1.0" encoding="utf-8"?>
<Properties xmlns="http://schemas.openxmlformats.org/officeDocument/2006/custom-properties" xmlns:vt="http://schemas.openxmlformats.org/officeDocument/2006/docPropsVTypes"/>
</file>