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C5152"/>
          <w:sz w:val="34"/>
          <w:szCs w:val="34"/>
        </w:rPr>
        <w:t xml:space="preserve">Growize Investor Portal</w:t>
      </w:r>
    </w:p>
    <w:p>
      <w:pPr>
        <w:spacing w:after="40"/>
      </w:pPr>
      <w:r>
        <w:rPr>
          <w:b/>
          <w:bCs/>
          <w:color w:val="0F1A15"/>
          <w:sz w:val="24"/>
          <w:szCs w:val="24"/>
        </w:rPr>
        <w:t xml:space="preserve">DPDP Compliance Pack — Status &amp; Document Drafts</w:t>
      </w:r>
    </w:p>
    <w:p>
      <w:pPr>
        <w:spacing w:after="30"/>
      </w:pPr>
      <w:r>
        <w:rPr>
          <w:color w:val="5b5b5b"/>
          <w:sz w:val="18"/>
          <w:szCs w:val="18"/>
        </w:rPr>
        <w:t xml:space="preserve">Agri Research Labs Private Limited  ·  Prepared 2026-06-09</w:t>
      </w:r>
    </w:p>
    <w:p>
      <w:pPr>
        <w:spacing w:after="120" w:before="0"/>
      </w:pPr>
      <w:r>
        <w:rPr>
          <w:i/>
          <w:iCs/>
          <w:color w:val="C05640"/>
          <w:sz w:val="18"/>
          <w:szCs w:val="18"/>
        </w:rPr>
        <w:t xml:space="preserve">DRAFT for legal review — not legal advice. Replace every [BRACKETED] placeholder and have a qualified Indian data-protection lawyer approve all drafts before publishing, sending, or relying on them. Section/Rule citations are indicative.</w:t>
      </w:r>
    </w:p>
    <w:p>
      <w:pPr>
        <w:spacing w:after="120" w:before="0"/>
      </w:pPr>
      <w:r>
        <w:t xml:space="preserve"/>
      </w:r>
    </w:p>
    <w:p>
      <w:pPr>
        <w:pStyle w:val="Heading2"/>
      </w:pPr>
      <w:r>
        <w:t xml:space="preserve">Contents</w:t>
      </w:r>
    </w:p>
    <w:p>
      <w:pPr>
        <w:spacing w:after="120" w:before="0"/>
      </w:pPr>
      <w:r>
        <w:rPr>
          <w:sz w:val="18"/>
          <w:szCs w:val="18"/>
        </w:rPr>
        <w:t xml:space="preserve">1. Compliance status — done vs remaining</w:t>
      </w:r>
    </w:p>
    <w:p>
      <w:pPr>
        <w:spacing w:after="120" w:before="0"/>
      </w:pPr>
      <w:r>
        <w:rPr>
          <w:sz w:val="18"/>
          <w:szCs w:val="18"/>
        </w:rPr>
        <w:t xml:space="preserve">2. Privacy Notice (draft)</w:t>
      </w:r>
    </w:p>
    <w:p>
      <w:pPr>
        <w:spacing w:after="120" w:before="0"/>
      </w:pPr>
      <w:r>
        <w:rPr>
          <w:sz w:val="18"/>
          <w:szCs w:val="18"/>
        </w:rPr>
        <w:t xml:space="preserve">3. Consent — onboarding text &amp; withdrawal (draft)</w:t>
      </w:r>
    </w:p>
    <w:p>
      <w:pPr>
        <w:spacing w:after="120" w:before="0"/>
      </w:pPr>
      <w:r>
        <w:rPr>
          <w:sz w:val="18"/>
          <w:szCs w:val="18"/>
        </w:rPr>
        <w:t xml:space="preserve">4. Grievance Officer — appointment &amp; published block (draft)</w:t>
      </w:r>
    </w:p>
    <w:p>
      <w:pPr>
        <w:spacing w:after="120" w:before="0"/>
      </w:pPr>
      <w:r>
        <w:rPr>
          <w:sz w:val="18"/>
          <w:szCs w:val="18"/>
        </w:rPr>
        <w:t xml:space="preserve">5. Retention Policy &amp; schedule (draft)</w:t>
      </w:r>
    </w:p>
    <w:p>
      <w:pPr>
        <w:spacing w:after="120" w:before="0"/>
      </w:pPr>
      <w:r>
        <w:rPr>
          <w:sz w:val="18"/>
          <w:szCs w:val="18"/>
        </w:rPr>
        <w:t xml:space="preserve">6. Personal-data breach response runbook (draft)</w:t>
      </w:r>
    </w:p>
    <w:p>
      <w:pPr>
        <w:spacing w:after="120" w:before="0"/>
      </w:pPr>
      <w:r>
        <w:rPr>
          <w:sz w:val="18"/>
          <w:szCs w:val="18"/>
        </w:rPr>
        <w:t xml:space="preserve">7. Breach notifications — Board &amp; data principals (draft)</w:t>
      </w:r>
    </w:p>
    <w:p>
      <w:pPr>
        <w:spacing w:after="120" w:before="0"/>
      </w:pPr>
      <w:r>
        <w:rPr>
          <w:sz w:val="18"/>
          <w:szCs w:val="18"/>
        </w:rPr>
        <w:t xml:space="preserve">8. Data-principal rights handling SOP (draft)</w:t>
      </w:r>
    </w:p>
    <w:p>
      <w:pPr>
        <w:spacing w:after="120" w:before="0"/>
      </w:pPr>
      <w:r>
        <w:rPr>
          <w:sz w:val="18"/>
          <w:szCs w:val="18"/>
        </w:rPr>
        <w:t xml:space="preserve">9. Processor DPA checklist (draft)</w:t>
      </w:r>
    </w:p>
    <w:p>
      <w:pPr>
        <w:spacing w:after="120" w:before="0"/>
      </w:pPr>
      <w:r>
        <w:rPr>
          <w:sz w:val="18"/>
          <w:szCs w:val="18"/>
        </w:rPr>
        <w:t xml:space="preserve">10. Cross-border transfer statement (draft)</w:t>
      </w:r>
    </w:p>
    <w:p>
      <w:pPr>
        <w:spacing w:after="120" w:before="0"/>
      </w:pPr>
      <w:r>
        <w:rPr>
          <w:sz w:val="18"/>
          <w:szCs w:val="18"/>
        </w:rPr>
        <w:t xml:space="preserve">11. Version control &amp; sign-off</w:t>
      </w:r>
    </w:p>
    <w:p>
      <w:pPr>
        <w:pStyle w:val="Heading1"/>
        <w:pageBreakBefore/>
      </w:pPr>
      <w:r>
        <w:t xml:space="preserve">1. Compliance status — done vs remaining</w:t>
      </w:r>
    </w:p>
    <w:p>
      <w:pPr>
        <w:pStyle w:val="Heading2"/>
      </w:pPr>
      <w:r>
        <w:t xml:space="preserve">1.1 Done (implemented and verified on the live system)</w:t>
      </w:r>
    </w:p>
    <w:p>
      <w:pPr>
        <w:pStyle w:val="ListParagraph"/>
        <w:numPr>
          <w:ilvl w:val="0"/>
          <w:numId w:val="2"/>
        </w:numPr>
        <w:spacing w:after="50"/>
      </w:pPr>
      <w:r>
        <w:t xml:space="preserve">Granular, unbundled, version-stamped consent at onboarding (required Terms+Privacy; separate optional marketing).</w:t>
      </w:r>
    </w:p>
    <w:p>
      <w:pPr>
        <w:pStyle w:val="ListParagraph"/>
        <w:numPr>
          <w:ilvl w:val="0"/>
          <w:numId w:val="2"/>
        </w:numPr>
        <w:spacing w:after="50"/>
      </w:pPr>
      <w:r>
        <w:t xml:space="preserve">Append-only consent audit log + one-tap withdrawal toggle (Profile -&gt; Security).</w:t>
      </w:r>
    </w:p>
    <w:p>
      <w:pPr>
        <w:pStyle w:val="ListParagraph"/>
        <w:numPr>
          <w:ilvl w:val="0"/>
          <w:numId w:val="2"/>
        </w:numPr>
        <w:spacing w:after="50"/>
      </w:pPr>
      <w:r>
        <w:t xml:space="preserve">Data-principal rights in-app: access/export, nominee management, erasure request (retention-aware).</w:t>
      </w:r>
    </w:p>
    <w:p>
      <w:pPr>
        <w:pStyle w:val="ListParagraph"/>
        <w:numPr>
          <w:ilvl w:val="0"/>
          <w:numId w:val="2"/>
        </w:numPr>
        <w:spacing w:after="50"/>
      </w:pPr>
      <w:r>
        <w:t xml:space="preserve">Data minimisation: only masked PAN/Aadhaar/bank tails stored (zero full values in live data); no IP in login events.</w:t>
      </w:r>
    </w:p>
    <w:p>
      <w:pPr>
        <w:pStyle w:val="ListParagraph"/>
        <w:numPr>
          <w:ilvl w:val="0"/>
          <w:numId w:val="2"/>
        </w:numPr>
        <w:spacing w:after="50"/>
      </w:pPr>
      <w:r>
        <w:t xml:space="preserve">Security: row-level security on all tables, edge-function-only writes, private storage with signed URLs, in-app screenshot prevention, Sentry PII scrubbing, over-exposed database functions locked down, data hosted in India.</w:t>
      </w:r>
    </w:p>
    <w:p>
      <w:pPr>
        <w:pStyle w:val="ListParagraph"/>
        <w:numPr>
          <w:ilvl w:val="0"/>
          <w:numId w:val="2"/>
        </w:numPr>
        <w:spacing w:after="50"/>
      </w:pPr>
      <w:r>
        <w:t xml:space="preserve">Retention automation: weekly purge (login events 18 months, notifications 12 months, leads 24 months) with carve-outs that never purge KYC/financial or consent records.</w:t>
      </w:r>
    </w:p>
    <w:p>
      <w:pPr>
        <w:pStyle w:val="ListParagraph"/>
        <w:numPr>
          <w:ilvl w:val="0"/>
          <w:numId w:val="2"/>
        </w:numPr>
        <w:spacing w:after="50"/>
      </w:pPr>
      <w:r>
        <w:t xml:space="preserve">Privacy Notice v1.1: itemised, 30-day grievance window, full processor + cross-border disclosure.</w:t>
      </w:r>
    </w:p>
    <w:p>
      <w:pPr>
        <w:pStyle w:val="ListParagraph"/>
        <w:numPr>
          <w:ilvl w:val="0"/>
          <w:numId w:val="2"/>
        </w:numPr>
        <w:spacing w:after="50"/>
      </w:pPr>
      <w:r>
        <w:t xml:space="preserve">Governance documents: gap assessment, data inventory/RoPA, audit report, compliance mapping, change record.</w:t>
      </w:r>
    </w:p>
    <w:p>
      <w:pPr>
        <w:pStyle w:val="Heading2"/>
      </w:pPr>
      <w:r>
        <w:t xml:space="preserve">1.2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1230"/>
        <w:gridCol w:w="1230"/>
      </w:tblGrid>
      <w:tr>
        <w:tc>
          <w:tcPr>
            <w:tcW w:type="dxa" w:w="3200"/>
            <w:tcBorders>
              <w:top w:val="single" w:color="CCCCCC" w:sz="1"/>
              <w:left w:val="single" w:color="CCCCCC" w:sz="1"/>
              <w:bottom w:val="single" w:color="CCCCCC" w:sz="1"/>
              <w:right w:val="single" w:color="CCCCCC" w:sz="1"/>
            </w:tcBorders>
            <w:shd w:fill="3C5152" w:val="clear"/>
            <w:tcMar>
              <w:top w:type="dxa" w:w="55"/>
              <w:left w:type="dxa" w:w="85"/>
              <w:bottom w:type="dxa" w:w="55"/>
              <w:right w:type="dxa" w:w="85"/>
            </w:tcMar>
          </w:tcPr>
          <w:p>
            <w:r>
              <w:rPr>
                <w:b/>
                <w:bCs/>
                <w:color w:val="FFFFFF"/>
                <w:sz w:val="16"/>
                <w:szCs w:val="16"/>
              </w:rPr>
              <w:t xml:space="preserve">Item</w:t>
            </w:r>
          </w:p>
        </w:tc>
        <w:tc>
          <w:tcPr>
            <w:tcW w:type="dxa" w:w="3700"/>
            <w:tcBorders>
              <w:top w:val="single" w:color="CCCCCC" w:sz="1"/>
              <w:left w:val="single" w:color="CCCCCC" w:sz="1"/>
              <w:bottom w:val="single" w:color="CCCCCC" w:sz="1"/>
              <w:right w:val="single" w:color="CCCCCC" w:sz="1"/>
            </w:tcBorders>
            <w:shd w:fill="3C5152" w:val="clear"/>
            <w:tcMar>
              <w:top w:type="dxa" w:w="55"/>
              <w:left w:type="dxa" w:w="85"/>
              <w:bottom w:type="dxa" w:w="55"/>
              <w:right w:type="dxa" w:w="85"/>
            </w:tcMar>
          </w:tcPr>
          <w:p>
            <w:r>
              <w:rPr>
                <w:b/>
                <w:bCs/>
                <w:color w:val="FFFFFF"/>
                <w:sz w:val="16"/>
                <w:szCs w:val="16"/>
              </w:rPr>
              <w:t xml:space="preserve">What is needed</w:t>
            </w:r>
          </w:p>
        </w:tc>
        <w:tc>
          <w:tcPr>
            <w:tcW w:type="dxa" w:w="1230"/>
            <w:tcBorders>
              <w:top w:val="single" w:color="CCCCCC" w:sz="1"/>
              <w:left w:val="single" w:color="CCCCCC" w:sz="1"/>
              <w:bottom w:val="single" w:color="CCCCCC" w:sz="1"/>
              <w:right w:val="single" w:color="CCCCCC" w:sz="1"/>
            </w:tcBorders>
            <w:shd w:fill="3C5152" w:val="clear"/>
            <w:tcMar>
              <w:top w:type="dxa" w:w="55"/>
              <w:left w:type="dxa" w:w="85"/>
              <w:bottom w:type="dxa" w:w="55"/>
              <w:right w:type="dxa" w:w="85"/>
            </w:tcMar>
          </w:tcPr>
          <w:p>
            <w:r>
              <w:rPr>
                <w:b/>
                <w:bCs/>
                <w:color w:val="FFFFFF"/>
                <w:sz w:val="16"/>
                <w:szCs w:val="16"/>
              </w:rPr>
              <w:t xml:space="preserve">Owner</w:t>
            </w:r>
          </w:p>
        </w:tc>
        <w:tc>
          <w:tcPr>
            <w:tcW w:type="dxa" w:w="1230"/>
            <w:tcBorders>
              <w:top w:val="single" w:color="CCCCCC" w:sz="1"/>
              <w:left w:val="single" w:color="CCCCCC" w:sz="1"/>
              <w:bottom w:val="single" w:color="CCCCCC" w:sz="1"/>
              <w:right w:val="single" w:color="CCCCCC" w:sz="1"/>
            </w:tcBorders>
            <w:shd w:fill="3C5152" w:val="clear"/>
            <w:tcMar>
              <w:top w:type="dxa" w:w="55"/>
              <w:left w:type="dxa" w:w="85"/>
              <w:bottom w:type="dxa" w:w="55"/>
              <w:right w:type="dxa" w:w="85"/>
            </w:tcMar>
          </w:tcPr>
          <w:p>
            <w:r>
              <w:rPr>
                <w:b/>
                <w:bCs/>
                <w:color w:val="FFFFFF"/>
                <w:sz w:val="16"/>
                <w:szCs w:val="16"/>
              </w:rPr>
              <w:t xml:space="preserve">Type</w:t>
            </w:r>
          </w:p>
        </w:tc>
      </w:tr>
      <w:tr>
        <w:tc>
          <w:tcPr>
            <w:tcW w:type="dxa" w:w="32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Named Grievance Officer</w:t>
            </w:r>
          </w:p>
        </w:tc>
        <w:tc>
          <w:tcPr>
            <w:tcW w:type="dxa" w:w="37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Appoint a person; publish name, designation, email, phone, address; run a 30-day SLA log</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You / Ops</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Org</w:t>
            </w:r>
          </w:p>
        </w:tc>
      </w:tr>
      <w:tr>
        <w:tc>
          <w:tcPr>
            <w:tcW w:type="dxa" w:w="32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Processor DPAs</w:t>
            </w:r>
          </w:p>
        </w:tc>
        <w:tc>
          <w:tcPr>
            <w:tcW w:type="dxa" w:w="37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Signed agreements with Supabase, Zoho, Resend, Sentry, Netlify</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Legal / Vendor</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Legal</w:t>
            </w:r>
          </w:p>
        </w:tc>
      </w:tr>
      <w:tr>
        <w:tc>
          <w:tcPr>
            <w:tcW w:type="dxa" w:w="32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Breach-response runbook</w:t>
            </w:r>
          </w:p>
        </w:tc>
        <w:tc>
          <w:tcPr>
            <w:tcW w:type="dxa" w:w="37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Assign owner; operationalise detect -&gt; Board (72h) -&gt; notify users</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Ops / Security</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Ops</w:t>
            </w:r>
          </w:p>
        </w:tc>
      </w:tr>
      <w:tr>
        <w:tc>
          <w:tcPr>
            <w:tcW w:type="dxa" w:w="32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Counsel sign-off</w:t>
            </w:r>
          </w:p>
        </w:tc>
        <w:tc>
          <w:tcPr>
            <w:tcW w:type="dxa" w:w="37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Lawyer approval of notice, terms, consent text, retention periods</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Legal</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Legal</w:t>
            </w:r>
          </w:p>
        </w:tc>
      </w:tr>
      <w:tr>
        <w:tc>
          <w:tcPr>
            <w:tcW w:type="dxa" w:w="32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Retention Policy (written)</w:t>
            </w:r>
          </w:p>
        </w:tc>
        <w:tc>
          <w:tcPr>
            <w:tcW w:type="dxa" w:w="37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Adopt the schedule in section 5 formally</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Legal / Ops</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Legal</w:t>
            </w:r>
          </w:p>
        </w:tc>
      </w:tr>
      <w:tr>
        <w:tc>
          <w:tcPr>
            <w:tcW w:type="dxa" w:w="32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App-store data-safety</w:t>
            </w:r>
          </w:p>
        </w:tc>
        <w:tc>
          <w:tcPr>
            <w:tcW w:type="dxa" w:w="37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Play Store Data Safety form + iOS privacy labels matching actual collection</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Eng / Ops</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Ops</w:t>
            </w:r>
          </w:p>
        </w:tc>
      </w:tr>
      <w:tr>
        <w:tc>
          <w:tcPr>
            <w:tcW w:type="dxa" w:w="32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b/>
                <w:bCs/>
                <w:color w:val="C05640"/>
                <w:sz w:val="15"/>
                <w:szCs w:val="15"/>
              </w:rPr>
              <w:t xml:space="preserve">Financial / securities regulatory clearance</w:t>
            </w:r>
          </w:p>
        </w:tc>
        <w:tc>
          <w:tcPr>
            <w:tcW w:type="dxa" w:w="37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C05640"/>
                <w:sz w:val="15"/>
                <w:szCs w:val="15"/>
              </w:rPr>
              <w:t xml:space="preserve">SEBI / collective-investment / PMLA / LLP &amp; advertising norms — specialist counsel (potentially gating; not assessed here)</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Legal</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Legal</w:t>
            </w:r>
          </w:p>
        </w:tc>
      </w:tr>
      <w:tr>
        <w:tc>
          <w:tcPr>
            <w:tcW w:type="dxa" w:w="32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Soft-delete + erasure automation (F5/F1)</w:t>
            </w:r>
          </w:p>
        </w:tc>
        <w:tc>
          <w:tcPr>
            <w:tcW w:type="dxa" w:w="37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Extend soft-delete; guard Zoho contact-delete cascade; automate retention-aware erasure</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Eng</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Eng (deferred)</w:t>
            </w:r>
          </w:p>
        </w:tc>
      </w:tr>
      <w:tr>
        <w:tc>
          <w:tcPr>
            <w:tcW w:type="dxa" w:w="32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US -&gt; India vendor migration</w:t>
            </w:r>
          </w:p>
        </w:tc>
        <w:tc>
          <w:tcPr>
            <w:tcW w:type="dxa" w:w="37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Move Resend (priority), Sentry, Netlify to India-based alternatives</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Eng</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Eng</w:t>
            </w:r>
          </w:p>
        </w:tc>
      </w:tr>
      <w:tr>
        <w:tc>
          <w:tcPr>
            <w:tcW w:type="dxa" w:w="32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Waived by business</w:t>
            </w:r>
          </w:p>
        </w:tc>
        <w:tc>
          <w:tcPr>
            <w:tcW w:type="dxa" w:w="37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18+ hard gate (population is 18+ HNI) and leaked-password protection (OTP login)</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w:t>
            </w:r>
          </w:p>
        </w:tc>
        <w:tc>
          <w:tcPr>
            <w:tcW w:type="dxa" w:w="123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Waived</w:t>
            </w:r>
          </w:p>
        </w:tc>
      </w:tr>
    </w:tbl>
    <w:p>
      <w:pPr>
        <w:spacing w:after="120" w:before="0"/>
      </w:pPr>
      <w:r>
        <w:rPr>
          <w:i/>
          <w:iCs/>
          <w:color w:val="808080"/>
          <w:sz w:val="16"/>
          <w:szCs w:val="16"/>
        </w:rPr>
        <w:t xml:space="preserve">Note: the data-protection build is in good shape; the gating items are organisational/legal (grievance officer, DPAs, breach process, counsel sign-off) and the separate financial-regulatory track.</w:t>
      </w:r>
    </w:p>
    <w:p>
      <w:pPr>
        <w:pStyle w:val="Heading1"/>
        <w:pageBreakBefore/>
      </w:pPr>
      <w:r>
        <w:t xml:space="preserve">2. Privacy Notice (draft)</w:t>
      </w:r>
    </w:p>
    <w:p>
      <w:pPr>
        <w:spacing w:after="130" w:before="20"/>
      </w:pPr>
      <w:r>
        <w:rPr>
          <w:i/>
          <w:iCs/>
          <w:color w:val="2E7D6E"/>
          <w:sz w:val="17"/>
          <w:szCs w:val="17"/>
        </w:rPr>
        <w:t xml:space="preserve">Satisfies — DPDP Act s.5 (notice of collection) and the DPDP Rules 2025 notice requirements; also surfaces the rights (s.11-14), grievance contact (s.13) and cross-border disclosure (s.16).</w:t>
      </w:r>
    </w:p>
    <w:p>
      <w:pPr>
        <w:spacing w:after="120" w:before="0"/>
      </w:pPr>
      <w:r>
        <w:rPr>
          <w:i/>
          <w:iCs/>
          <w:color w:val="808080"/>
          <w:sz w:val="16"/>
          <w:szCs w:val="16"/>
        </w:rPr>
        <w:t xml:space="preserve">Version 1.1 · Effective 9 June 2026. Host at [privacy URL]; link at onboarding and in-app.</w:t>
      </w:r>
    </w:p>
    <w:p>
      <w:pPr>
        <w:spacing w:after="120" w:before="0"/>
      </w:pPr>
      <w:r>
        <w:t xml:space="preserve">Agri Research Labs Private Limited (“we”, “Growize”) is the Data Fiduciary for your personal data under the Digital Personal Data Protection Act, 2023.</w:t>
      </w:r>
    </w:p>
    <w:p>
      <w:pPr>
        <w:pStyle w:val="Heading3"/>
      </w:pPr>
      <w:r>
        <w:t xml:space="preserve">a) Data we collect</w:t>
      </w:r>
    </w:p>
    <w:p>
      <w:pPr>
        <w:pStyle w:val="ListParagraph"/>
        <w:numPr>
          <w:ilvl w:val="0"/>
          <w:numId w:val="2"/>
        </w:numPr>
        <w:spacing w:after="50"/>
      </w:pPr>
      <w:r>
        <w:t xml:space="preserve">Identity &amp; contact: name, email, phone, date of birth.</w:t>
      </w:r>
    </w:p>
    <w:p>
      <w:pPr>
        <w:pStyle w:val="ListParagraph"/>
        <w:numPr>
          <w:ilvl w:val="0"/>
          <w:numId w:val="2"/>
        </w:numPr>
        <w:spacing w:after="50"/>
      </w:pPr>
      <w:r>
        <w:t xml:space="preserve">KYC &amp; government IDs: PAN and Aadhaar (we store only the masked last 4 digits; full numbers never reach our servers), address, KYC documents.</w:t>
      </w:r>
    </w:p>
    <w:p>
      <w:pPr>
        <w:pStyle w:val="ListParagraph"/>
        <w:numPr>
          <w:ilvl w:val="0"/>
          <w:numId w:val="2"/>
        </w:numPr>
        <w:spacing w:after="50"/>
      </w:pPr>
      <w:r>
        <w:t xml:space="preserve">Financial: bank details (masked account), investment units, payouts.</w:t>
      </w:r>
    </w:p>
    <w:p>
      <w:pPr>
        <w:pStyle w:val="ListParagraph"/>
        <w:numPr>
          <w:ilvl w:val="0"/>
          <w:numId w:val="2"/>
        </w:numPr>
        <w:spacing w:after="50"/>
      </w:pPr>
      <w:r>
        <w:t xml:space="preserve">Account &amp; security: login credentials, session and login/device logs (no IP stored).</w:t>
      </w:r>
    </w:p>
    <w:p>
      <w:pPr>
        <w:pStyle w:val="ListParagraph"/>
        <w:numPr>
          <w:ilvl w:val="0"/>
          <w:numId w:val="2"/>
        </w:numPr>
        <w:spacing w:after="50"/>
      </w:pPr>
      <w:r>
        <w:t xml:space="preserve">Support &amp; communications: tickets, consultation requests, notifications.</w:t>
      </w:r>
    </w:p>
    <w:p>
      <w:pPr>
        <w:pStyle w:val="Heading3"/>
      </w:pPr>
      <w:r>
        <w:t xml:space="preserve">b) Purposes</w:t>
      </w:r>
    </w:p>
    <w:p>
      <w:pPr>
        <w:pStyle w:val="ListParagraph"/>
        <w:numPr>
          <w:ilvl w:val="0"/>
          <w:numId w:val="2"/>
        </w:numPr>
        <w:spacing w:after="50"/>
      </w:pPr>
      <w:r>
        <w:t xml:space="preserve">Operate your investor account and show your portfolio.</w:t>
      </w:r>
    </w:p>
    <w:p>
      <w:pPr>
        <w:pStyle w:val="ListParagraph"/>
        <w:numPr>
          <w:ilvl w:val="0"/>
          <w:numId w:val="2"/>
        </w:numPr>
        <w:spacing w:after="50"/>
      </w:pPr>
      <w:r>
        <w:t xml:space="preserve">Meet KYC/AML and other legal obligations (PMLA, Companies/LLP, Income-Tax).</w:t>
      </w:r>
    </w:p>
    <w:p>
      <w:pPr>
        <w:pStyle w:val="ListParagraph"/>
        <w:numPr>
          <w:ilvl w:val="0"/>
          <w:numId w:val="2"/>
        </w:numPr>
        <w:spacing w:after="50"/>
      </w:pPr>
      <w:r>
        <w:t xml:space="preserve">Process and disburse payouts; provide support; secure the service.</w:t>
      </w:r>
    </w:p>
    <w:p>
      <w:pPr>
        <w:pStyle w:val="ListParagraph"/>
        <w:numPr>
          <w:ilvl w:val="0"/>
          <w:numId w:val="2"/>
        </w:numPr>
        <w:spacing w:after="50"/>
      </w:pPr>
      <w:r>
        <w:t xml:space="preserve">Send service notifications; send optional product updates where you consent.</w:t>
      </w:r>
    </w:p>
    <w:p>
      <w:pPr>
        <w:pStyle w:val="Heading3"/>
      </w:pPr>
      <w:r>
        <w:t xml:space="preserve">c) Legal basis</w:t>
      </w:r>
    </w:p>
    <w:p>
      <w:pPr>
        <w:spacing w:after="120" w:before="0"/>
      </w:pPr>
      <w:r>
        <w:t xml:space="preserve">We rely on your consent (for optional purposes such as marketing), the necessity to perform our contract with you, and legal obligations (for KYC and financial-record keeping).</w:t>
      </w:r>
    </w:p>
    <w:p>
      <w:pPr>
        <w:pStyle w:val="Heading3"/>
      </w:pPr>
      <w:r>
        <w:t xml:space="preserve">d) Storage, processors &amp; cross-border</w:t>
      </w:r>
    </w:p>
    <w:p>
      <w:pPr>
        <w:pStyle w:val="ListParagraph"/>
        <w:numPr>
          <w:ilvl w:val="0"/>
          <w:numId w:val="2"/>
        </w:numPr>
        <w:spacing w:after="50"/>
      </w:pPr>
      <w:r>
        <w:t xml:space="preserve">Database, storage and authentication: Supabase — India (Mumbai).</w:t>
      </w:r>
    </w:p>
    <w:p>
      <w:pPr>
        <w:pStyle w:val="ListParagraph"/>
        <w:numPr>
          <w:ilvl w:val="0"/>
          <w:numId w:val="2"/>
        </w:numPr>
        <w:spacing w:after="50"/>
      </w:pPr>
      <w:r>
        <w:t xml:space="preserve">CRM / operations: Zoho — India.</w:t>
      </w:r>
    </w:p>
    <w:p>
      <w:pPr>
        <w:pStyle w:val="ListParagraph"/>
        <w:numPr>
          <w:ilvl w:val="0"/>
          <w:numId w:val="2"/>
        </w:numPr>
        <w:spacing w:after="50"/>
      </w:pPr>
      <w:r>
        <w:t xml:space="preserve">Transactional email &amp; one-time passcodes: Resend — United States.</w:t>
      </w:r>
    </w:p>
    <w:p>
      <w:pPr>
        <w:pStyle w:val="ListParagraph"/>
        <w:numPr>
          <w:ilvl w:val="0"/>
          <w:numId w:val="2"/>
        </w:numPr>
        <w:spacing w:after="50"/>
      </w:pPr>
      <w:r>
        <w:t xml:space="preserve">Crash/error diagnostics (PAN/Aadhaar scrubbed before sending): Sentry — United States.</w:t>
      </w:r>
    </w:p>
    <w:p>
      <w:pPr>
        <w:pStyle w:val="ListParagraph"/>
        <w:numPr>
          <w:ilvl w:val="0"/>
          <w:numId w:val="2"/>
        </w:numPr>
        <w:spacing w:after="50"/>
      </w:pPr>
      <w:r>
        <w:t xml:space="preserve">Web hosting: Netlify — United States.</w:t>
      </w:r>
    </w:p>
    <w:p>
      <w:pPr>
        <w:spacing w:after="120" w:before="0"/>
      </w:pPr>
      <w:r>
        <w:t xml:space="preserve">Some providers process limited data outside India, which the Act permits except to territories the Government may restrict. We are migrating the US-based services to India-based alternatives.</w:t>
      </w:r>
    </w:p>
    <w:p>
      <w:pPr>
        <w:pStyle w:val="Heading3"/>
      </w:pPr>
      <w:r>
        <w:t xml:space="preserve">e) Your rights</w:t>
      </w:r>
    </w:p>
    <w:p>
      <w:pPr>
        <w:pStyle w:val="ListParagraph"/>
        <w:numPr>
          <w:ilvl w:val="0"/>
          <w:numId w:val="2"/>
        </w:numPr>
        <w:spacing w:after="50"/>
      </w:pPr>
      <w:r>
        <w:t xml:space="preserve">Access a copy of, and information about, the data we process about you.</w:t>
      </w:r>
    </w:p>
    <w:p>
      <w:pPr>
        <w:pStyle w:val="ListParagraph"/>
        <w:numPr>
          <w:ilvl w:val="0"/>
          <w:numId w:val="2"/>
        </w:numPr>
        <w:spacing w:after="50"/>
      </w:pPr>
      <w:r>
        <w:t xml:space="preserve">Correct or update inaccurate data; request erasure (subject to records we must keep by law).</w:t>
      </w:r>
    </w:p>
    <w:p>
      <w:pPr>
        <w:pStyle w:val="ListParagraph"/>
        <w:numPr>
          <w:ilvl w:val="0"/>
          <w:numId w:val="2"/>
        </w:numPr>
        <w:spacing w:after="50"/>
      </w:pPr>
      <w:r>
        <w:t xml:space="preserve">Withdraw any consent at any time, as easily as it was given.</w:t>
      </w:r>
    </w:p>
    <w:p>
      <w:pPr>
        <w:pStyle w:val="ListParagraph"/>
        <w:numPr>
          <w:ilvl w:val="0"/>
          <w:numId w:val="2"/>
        </w:numPr>
        <w:spacing w:after="50"/>
      </w:pPr>
      <w:r>
        <w:t xml:space="preserve">Nominate someone to exercise your rights on death/incapacity.</w:t>
      </w:r>
    </w:p>
    <w:p>
      <w:pPr>
        <w:pStyle w:val="ListParagraph"/>
        <w:numPr>
          <w:ilvl w:val="0"/>
          <w:numId w:val="2"/>
        </w:numPr>
        <w:spacing w:after="50"/>
      </w:pPr>
      <w:r>
        <w:t xml:space="preserve">Raise a grievance with us, and complain to the Data Protection Board of India.</w:t>
      </w:r>
    </w:p>
    <w:p>
      <w:pPr>
        <w:pStyle w:val="Heading3"/>
      </w:pPr>
      <w:r>
        <w:t xml:space="preserve">f) Retention</w:t>
      </w:r>
    </w:p>
    <w:p>
      <w:pPr>
        <w:spacing w:after="120" w:before="0"/>
      </w:pPr>
      <w:r>
        <w:t xml:space="preserve">We keep data only as long as needed for the purpose, except where law requires longer (KYC/financial records). See the Retention Policy (section 5).</w:t>
      </w:r>
    </w:p>
    <w:p>
      <w:pPr>
        <w:pStyle w:val="Heading3"/>
      </w:pPr>
      <w:r>
        <w:t xml:space="preserve">g) Grievance Officer</w:t>
      </w:r>
    </w:p>
    <w:p>
      <w:pPr>
        <w:spacing w:after="120" w:before="0"/>
      </w:pPr>
      <w:r>
        <w:t xml:space="preserve">[Name], [Designation] — tech@agresearchlabs.com, [phone]. Agri Research Labs Private Limited, [address], Bengaluru, Karnataka, India. We resolve grievances within 30 days.</w:t>
      </w:r>
    </w:p>
    <w:p>
      <w:pPr>
        <w:pStyle w:val="Heading1"/>
        <w:pageBreakBefore/>
      </w:pPr>
      <w:r>
        <w:t xml:space="preserve">3. Consent — onboarding text &amp; withdrawal (draft)</w:t>
      </w:r>
    </w:p>
    <w:p>
      <w:pPr>
        <w:spacing w:after="130" w:before="20"/>
      </w:pPr>
      <w:r>
        <w:rPr>
          <w:i/>
          <w:iCs/>
          <w:color w:val="2E7D6E"/>
          <w:sz w:val="17"/>
          <w:szCs w:val="17"/>
        </w:rPr>
        <w:t xml:space="preserve">Satisfies — DPDP Act s.6 — consent that is free, specific, informed, unconditional and unambiguous, by clear affirmative action and as easy to withdraw as to give; plus the duty to maintain demonstrable consent records (s.6; DPDP Rules consent provisions).</w:t>
      </w:r>
    </w:p>
    <w:p>
      <w:pPr>
        <w:pStyle w:val="Heading2"/>
      </w:pPr>
      <w:r>
        <w:t xml:space="preserve">Onboarding (present as separate ticks — never one combined box)</w:t>
      </w:r>
    </w:p>
    <w:p>
      <w:pPr>
        <w:pStyle w:val="ListParagraph"/>
        <w:numPr>
          <w:ilvl w:val="0"/>
          <w:numId w:val="2"/>
        </w:numPr>
        <w:spacing w:after="50"/>
      </w:pPr>
      <w:r>
        <w:t xml:space="preserve">[Required] I have read and agree to the Terms of Service and Privacy Notice.</w:t>
      </w:r>
    </w:p>
    <w:p>
      <w:pPr>
        <w:pStyle w:val="ListParagraph"/>
        <w:numPr>
          <w:ilvl w:val="0"/>
          <w:numId w:val="2"/>
        </w:numPr>
        <w:spacing w:after="50"/>
      </w:pPr>
      <w:r>
        <w:t xml:space="preserve">[Optional] I would like to receive product updates and offers.</w:t>
      </w:r>
    </w:p>
    <w:p>
      <w:pPr>
        <w:spacing w:after="120" w:before="0"/>
      </w:pPr>
      <w:r>
        <w:t xml:space="preserve">Notice shown above the ticks: “We process your identity, KYC and financial details to operate your account and meet legal/KYC obligations. See the Privacy Notice for details and your rights.”</w:t>
      </w:r>
    </w:p>
    <w:p>
      <w:pPr>
        <w:spacing w:after="120" w:before="0"/>
      </w:pPr>
      <w:r>
        <w:rPr>
          <w:b/>
          <w:bCs/>
        </w:rPr>
        <w:t xml:space="preserve">Recorded per consent: user id, purpose, granted/withdrawn, document version, source, timestamp (implemented in the consents log).</w:t>
      </w:r>
    </w:p>
    <w:p>
      <w:pPr>
        <w:pStyle w:val="Heading2"/>
      </w:pPr>
      <w:r>
        <w:t xml:space="preserve">Withdrawal</w:t>
      </w:r>
    </w:p>
    <w:p>
      <w:pPr>
        <w:spacing w:after="120" w:before="0"/>
      </w:pPr>
      <w:r>
        <w:t xml:space="preserve">Profile -&gt; Security -&gt; Privacy &amp; Consent lets the user toggle the optional consent off at any time; each change appends a new consent-log row. Required acceptance cannot be un-ticked (the user would close the account instead, via an erasure request).</w:t>
      </w:r>
    </w:p>
    <w:p>
      <w:pPr>
        <w:pStyle w:val="Heading1"/>
        <w:pageBreakBefore/>
      </w:pPr>
      <w:r>
        <w:t xml:space="preserve">4. Grievance Officer — appointment &amp; published block (draft)</w:t>
      </w:r>
    </w:p>
    <w:p>
      <w:pPr>
        <w:spacing w:after="130" w:before="20"/>
      </w:pPr>
      <w:r>
        <w:rPr>
          <w:i/>
          <w:iCs/>
          <w:color w:val="2E7D6E"/>
          <w:sz w:val="17"/>
          <w:szCs w:val="17"/>
        </w:rPr>
        <w:t xml:space="preserve">Satisfies — DPDP Act s.8(9) (publish the contact details of a person able to answer questions about processing) and s.8(10) / s.13 (readily-available grievance redressal within the prescribed time).</w:t>
      </w:r>
    </w:p>
    <w:p>
      <w:pPr>
        <w:pStyle w:val="Heading2"/>
      </w:pPr>
      <w:r>
        <w:t xml:space="preserve">Internal appointment note</w:t>
      </w:r>
    </w:p>
    <w:p>
      <w:pPr>
        <w:spacing w:after="120" w:before="0"/>
      </w:pPr>
      <w:r>
        <w:t xml:space="preserve">Agri Research Labs Private Limited appoints [Full name], [Designation], as the Grievance Officer responsible for handling data-principal grievances under the DPDP Act, effective [date]. The Officer maintains a log of grievances (received, acknowledged, actioned, closed) and ensures resolution within 30 days.</w:t>
      </w:r>
    </w:p>
    <w:p>
      <w:pPr>
        <w:pStyle w:val="Heading2"/>
      </w:pPr>
      <w:r>
        <w:t xml:space="preserve">Published block (app, Privacy Notice, website)</w:t>
      </w:r>
    </w:p>
    <w:p>
      <w:pPr>
        <w:spacing w:after="120" w:before="0"/>
      </w:pPr>
      <w:r>
        <w:rPr>
          <w:b/>
          <w:bCs/>
        </w:rPr>
        <w:t xml:space="preserve">Grievance Officer</w:t>
      </w:r>
    </w:p>
    <w:p>
      <w:pPr>
        <w:pStyle w:val="ListParagraph"/>
        <w:numPr>
          <w:ilvl w:val="0"/>
          <w:numId w:val="2"/>
        </w:numPr>
        <w:spacing w:after="50"/>
      </w:pPr>
      <w:r>
        <w:t xml:space="preserve">Name: [Full name]</w:t>
      </w:r>
    </w:p>
    <w:p>
      <w:pPr>
        <w:pStyle w:val="ListParagraph"/>
        <w:numPr>
          <w:ilvl w:val="0"/>
          <w:numId w:val="2"/>
        </w:numPr>
        <w:spacing w:after="50"/>
      </w:pPr>
      <w:r>
        <w:t xml:space="preserve">Designation: [Designation]</w:t>
      </w:r>
    </w:p>
    <w:p>
      <w:pPr>
        <w:pStyle w:val="ListParagraph"/>
        <w:numPr>
          <w:ilvl w:val="0"/>
          <w:numId w:val="2"/>
        </w:numPr>
        <w:spacing w:after="50"/>
      </w:pPr>
      <w:r>
        <w:t xml:space="preserve">Email: tech@agresearchlabs.com</w:t>
      </w:r>
    </w:p>
    <w:p>
      <w:pPr>
        <w:pStyle w:val="ListParagraph"/>
        <w:numPr>
          <w:ilvl w:val="0"/>
          <w:numId w:val="2"/>
        </w:numPr>
        <w:spacing w:after="50"/>
      </w:pPr>
      <w:r>
        <w:t xml:space="preserve">Phone: [+91 ...]</w:t>
      </w:r>
    </w:p>
    <w:p>
      <w:pPr>
        <w:pStyle w:val="ListParagraph"/>
        <w:numPr>
          <w:ilvl w:val="0"/>
          <w:numId w:val="2"/>
        </w:numPr>
        <w:spacing w:after="50"/>
      </w:pPr>
      <w:r>
        <w:t xml:space="preserve">Address: Agri Research Labs Private Limited, [address], Bengaluru, Karnataka, India</w:t>
      </w:r>
    </w:p>
    <w:p>
      <w:pPr>
        <w:spacing w:after="120" w:before="0"/>
      </w:pPr>
      <w:r>
        <w:t xml:space="preserve">We acknowledge grievances promptly and resolve them within 30 days. If unsatisfied, you may complain to the Data Protection Board of India.</w:t>
      </w:r>
    </w:p>
    <w:p>
      <w:pPr>
        <w:pStyle w:val="Heading1"/>
        <w:pageBreakBefore/>
      </w:pPr>
      <w:r>
        <w:t xml:space="preserve">5. Retention Policy &amp; schedule (draft)</w:t>
      </w:r>
    </w:p>
    <w:p>
      <w:pPr>
        <w:spacing w:after="130" w:before="20"/>
      </w:pPr>
      <w:r>
        <w:rPr>
          <w:i/>
          <w:iCs/>
          <w:color w:val="2E7D6E"/>
          <w:sz w:val="17"/>
          <w:szCs w:val="17"/>
        </w:rPr>
        <w:t xml:space="preserve">Satisfies — DPDP Act s.8(7) (stop retaining / erase personal data once the purpose is served or consent withdrawn, subject to legal retention) and the DPDP Rules 2025 retention requirements, including the 1-year processing-log floor.</w:t>
      </w:r>
    </w:p>
    <w:p>
      <w:pPr>
        <w:spacing w:after="120" w:before="0"/>
      </w:pPr>
      <w:r>
        <w:t xml:space="preserve">Personal data is retained only as long as necessary for the purpose, or as required by law. Statutory records are retained for the mandated period even if consent is withdrawn; an erasure request never deletes legally-required records. Where data is erased on request, the user is notified at least 48 hours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CCCCCC" w:sz="1"/>
              <w:left w:val="single" w:color="CCCCCC" w:sz="1"/>
              <w:bottom w:val="single" w:color="CCCCCC" w:sz="1"/>
              <w:right w:val="single" w:color="CCCCCC" w:sz="1"/>
            </w:tcBorders>
            <w:shd w:fill="3C5152" w:val="clear"/>
            <w:tcMar>
              <w:top w:type="dxa" w:w="55"/>
              <w:left w:type="dxa" w:w="85"/>
              <w:bottom w:type="dxa" w:w="55"/>
              <w:right w:type="dxa" w:w="85"/>
            </w:tcMar>
          </w:tcPr>
          <w:p>
            <w:r>
              <w:rPr>
                <w:b/>
                <w:bCs/>
                <w:color w:val="FFFFFF"/>
                <w:sz w:val="16"/>
                <w:szCs w:val="16"/>
              </w:rPr>
              <w:t xml:space="preserve">Data</w:t>
            </w:r>
          </w:p>
        </w:tc>
        <w:tc>
          <w:tcPr>
            <w:tcW w:type="dxa" w:w="2600"/>
            <w:tcBorders>
              <w:top w:val="single" w:color="CCCCCC" w:sz="1"/>
              <w:left w:val="single" w:color="CCCCCC" w:sz="1"/>
              <w:bottom w:val="single" w:color="CCCCCC" w:sz="1"/>
              <w:right w:val="single" w:color="CCCCCC" w:sz="1"/>
            </w:tcBorders>
            <w:shd w:fill="3C5152" w:val="clear"/>
            <w:tcMar>
              <w:top w:type="dxa" w:w="55"/>
              <w:left w:type="dxa" w:w="85"/>
              <w:bottom w:type="dxa" w:w="55"/>
              <w:right w:type="dxa" w:w="85"/>
            </w:tcMar>
          </w:tcPr>
          <w:p>
            <w:r>
              <w:rPr>
                <w:b/>
                <w:bCs/>
                <w:color w:val="FFFFFF"/>
                <w:sz w:val="16"/>
                <w:szCs w:val="16"/>
              </w:rPr>
              <w:t xml:space="preserve">Retention</w:t>
            </w:r>
          </w:p>
        </w:tc>
        <w:tc>
          <w:tcPr>
            <w:tcW w:type="dxa" w:w="3760"/>
            <w:tcBorders>
              <w:top w:val="single" w:color="CCCCCC" w:sz="1"/>
              <w:left w:val="single" w:color="CCCCCC" w:sz="1"/>
              <w:bottom w:val="single" w:color="CCCCCC" w:sz="1"/>
              <w:right w:val="single" w:color="CCCCCC" w:sz="1"/>
            </w:tcBorders>
            <w:shd w:fill="3C5152" w:val="clear"/>
            <w:tcMar>
              <w:top w:type="dxa" w:w="55"/>
              <w:left w:type="dxa" w:w="85"/>
              <w:bottom w:type="dxa" w:w="55"/>
              <w:right w:type="dxa" w:w="85"/>
            </w:tcMar>
          </w:tcPr>
          <w:p>
            <w:r>
              <w:rPr>
                <w:b/>
                <w:bCs/>
                <w:color w:val="FFFFFF"/>
                <w:sz w:val="16"/>
                <w:szCs w:val="16"/>
              </w:rPr>
              <w:t xml:space="preserve">Basis / mechanism</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Identity, contact, address</w:t>
            </w:r>
          </w:p>
        </w:tc>
        <w:tc>
          <w:tcPr>
            <w:tcW w:type="dxa" w:w="26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Relationship + statutory</w:t>
            </w:r>
          </w:p>
        </w:tc>
        <w:tc>
          <w:tcPr>
            <w:tcW w:type="dxa" w:w="37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Contract + PMLA/Companies</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KYC documents, PAN/Aadhaar (masked), bank</w:t>
            </w:r>
          </w:p>
        </w:tc>
        <w:tc>
          <w:tcPr>
            <w:tcW w:type="dxa" w:w="26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~5 years post-exit (KYC) / ~8 years (financial)</w:t>
            </w:r>
          </w:p>
        </w:tc>
        <w:tc>
          <w:tcPr>
            <w:tcW w:type="dxa" w:w="37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PMLA, Companies/LLP, IT Act — not auto-purged</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Investment units, payouts</w:t>
            </w:r>
          </w:p>
        </w:tc>
        <w:tc>
          <w:tcPr>
            <w:tcW w:type="dxa" w:w="26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Relationship + ~8 years</w:t>
            </w:r>
          </w:p>
        </w:tc>
        <w:tc>
          <w:tcPr>
            <w:tcW w:type="dxa" w:w="37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Companies/IT — not auto-purged</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Consent records</w:t>
            </w:r>
          </w:p>
        </w:tc>
        <w:tc>
          <w:tcPr>
            <w:tcW w:type="dxa" w:w="26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Relationship + proof window</w:t>
            </w:r>
          </w:p>
        </w:tc>
        <w:tc>
          <w:tcPr>
            <w:tcW w:type="dxa" w:w="37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DPDP demonstrability — not purged</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Login / security events</w:t>
            </w:r>
          </w:p>
        </w:tc>
        <w:tc>
          <w:tcPr>
            <w:tcW w:type="dxa" w:w="26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18 months</w:t>
            </w:r>
          </w:p>
        </w:tc>
        <w:tc>
          <w:tcPr>
            <w:tcW w:type="dxa" w:w="37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Auto-purge (above 1y log floor)</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Notifications</w:t>
            </w:r>
          </w:p>
        </w:tc>
        <w:tc>
          <w:tcPr>
            <w:tcW w:type="dxa" w:w="26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12 months</w:t>
            </w:r>
          </w:p>
        </w:tc>
        <w:tc>
          <w:tcPr>
            <w:tcW w:type="dxa" w:w="37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Auto-purge (transient)</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Consultation requests / leads</w:t>
            </w:r>
          </w:p>
        </w:tc>
        <w:tc>
          <w:tcPr>
            <w:tcW w:type="dxa" w:w="26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24 months</w:t>
            </w:r>
          </w:p>
        </w:tc>
        <w:tc>
          <w:tcPr>
            <w:tcW w:type="dxa" w:w="37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Auto-purge (old/unconverted)</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Operational webhook logs</w:t>
            </w:r>
          </w:p>
        </w:tc>
        <w:tc>
          <w:tcPr>
            <w:tcW w:type="dxa" w:w="26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Per existing job</w:t>
            </w:r>
          </w:p>
        </w:tc>
        <w:tc>
          <w:tcPr>
            <w:tcW w:type="dxa" w:w="37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Auto-purge</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Error diagnostics (Sentry)</w:t>
            </w:r>
          </w:p>
        </w:tc>
        <w:tc>
          <w:tcPr>
            <w:tcW w:type="dxa" w:w="26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Vendor window</w:t>
            </w:r>
          </w:p>
        </w:tc>
        <w:tc>
          <w:tcPr>
            <w:tcW w:type="dxa" w:w="37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Minimised + PII-scrubbed</w:t>
            </w:r>
          </w:p>
        </w:tc>
      </w:tr>
    </w:tbl>
    <w:p>
      <w:pPr>
        <w:spacing w:after="120" w:before="0"/>
      </w:pPr>
      <w:r>
        <w:rPr>
          <w:i/>
          <w:iCs/>
          <w:color w:val="808080"/>
          <w:sz w:val="16"/>
          <w:szCs w:val="16"/>
        </w:rPr>
        <w:t xml:space="preserve">Enforced by the weekly purge_expired_personal_data() job; KYC/financial and consent records are explicitly excluded.</w:t>
      </w:r>
    </w:p>
    <w:p>
      <w:pPr>
        <w:pStyle w:val="Heading1"/>
        <w:pageBreakBefore/>
      </w:pPr>
      <w:r>
        <w:t xml:space="preserve">6. Personal-data breach response runbook (draft)</w:t>
      </w:r>
    </w:p>
    <w:p>
      <w:pPr>
        <w:spacing w:after="130" w:before="20"/>
      </w:pPr>
      <w:r>
        <w:rPr>
          <w:i/>
          <w:iCs/>
          <w:color w:val="2E7D6E"/>
          <w:sz w:val="17"/>
          <w:szCs w:val="17"/>
        </w:rPr>
        <w:t xml:space="preserve">Satisfies — DPDP Act s.8(6) (duty to give intimation of a personal-data breach) and the DPDP Rules 2025 breach-reporting timeline (intimate the Board, with a detailed report within 72 hours).</w:t>
      </w:r>
    </w:p>
    <w:p>
      <w:pPr>
        <w:spacing w:after="120" w:before="0"/>
      </w:pPr>
      <w:r>
        <w:t xml:space="preserve">Owner: [Grievance Officer / Security lead]. Trigger: any suspected unauthorised access, disclosure, loss or alteration of personal data.</w:t>
      </w:r>
    </w:p>
    <w:p>
      <w:pPr>
        <w:pStyle w:val="ListParagraph"/>
        <w:numPr>
          <w:ilvl w:val="0"/>
          <w:numId w:val="3"/>
        </w:numPr>
        <w:spacing w:after="50"/>
      </w:pPr>
      <w:r>
        <w:t xml:space="preserve">Detect &amp; contain — confirm the incident (Sentry alerts, webhook_log/sync-stale-alert, vendor notice); isolate affected systems; preserve logs.</w:t>
      </w:r>
    </w:p>
    <w:p>
      <w:pPr>
        <w:pStyle w:val="ListParagraph"/>
        <w:numPr>
          <w:ilvl w:val="0"/>
          <w:numId w:val="3"/>
        </w:numPr>
        <w:spacing w:after="50"/>
      </w:pPr>
      <w:r>
        <w:t xml:space="preserve">Assess — what data, how many data principals, likely consequences.</w:t>
      </w:r>
    </w:p>
    <w:p>
      <w:pPr>
        <w:pStyle w:val="ListParagraph"/>
        <w:numPr>
          <w:ilvl w:val="0"/>
          <w:numId w:val="3"/>
        </w:numPr>
        <w:spacing w:after="50"/>
      </w:pPr>
      <w:r>
        <w:t xml:space="preserve">Notify the Data Protection Board without delay, with a full report within 72 hours (see section 7a).</w:t>
      </w:r>
    </w:p>
    <w:p>
      <w:pPr>
        <w:pStyle w:val="ListParagraph"/>
        <w:numPr>
          <w:ilvl w:val="0"/>
          <w:numId w:val="3"/>
        </w:numPr>
        <w:spacing w:after="50"/>
      </w:pPr>
      <w:r>
        <w:t xml:space="preserve">Notify affected data principals in plain language (see section 7b).</w:t>
      </w:r>
    </w:p>
    <w:p>
      <w:pPr>
        <w:pStyle w:val="ListParagraph"/>
        <w:numPr>
          <w:ilvl w:val="0"/>
          <w:numId w:val="3"/>
        </w:numPr>
        <w:spacing w:after="50"/>
      </w:pPr>
      <w:r>
        <w:t xml:space="preserve">Remediate — fix root cause; rotate secrets/keys if implicated.</w:t>
      </w:r>
    </w:p>
    <w:p>
      <w:pPr>
        <w:pStyle w:val="ListParagraph"/>
        <w:numPr>
          <w:ilvl w:val="0"/>
          <w:numId w:val="3"/>
        </w:numPr>
        <w:spacing w:after="50"/>
      </w:pPr>
      <w:r>
        <w:t xml:space="preserve">Record — log the incident, decisions, timings and notifications; retain for audit.</w:t>
      </w:r>
    </w:p>
    <w:p>
      <w:pPr>
        <w:pStyle w:val="Heading1"/>
        <w:pageBreakBefore/>
      </w:pPr>
      <w:r>
        <w:t xml:space="preserve">7. Breach notifications (draft)</w:t>
      </w:r>
    </w:p>
    <w:p>
      <w:pPr>
        <w:spacing w:after="130" w:before="20"/>
      </w:pPr>
      <w:r>
        <w:rPr>
          <w:i/>
          <w:iCs/>
          <w:color w:val="2E7D6E"/>
          <w:sz w:val="17"/>
          <w:szCs w:val="17"/>
        </w:rPr>
        <w:t xml:space="preserve">Satisfies — DPDP Act s.8(6) and the DPDP Rules 2025 — intimation of the breach to both the Data Protection Board of India and each affected data principal.</w:t>
      </w:r>
    </w:p>
    <w:p>
      <w:pPr>
        <w:pStyle w:val="Heading2"/>
      </w:pPr>
      <w:r>
        <w:t xml:space="preserve">7a) To the Data Protection Board (initial, without delay)</w:t>
      </w:r>
    </w:p>
    <w:p>
      <w:pPr>
        <w:pStyle w:val="ListParagraph"/>
        <w:numPr>
          <w:ilvl w:val="0"/>
          <w:numId w:val="2"/>
        </w:numPr>
        <w:spacing w:after="50"/>
      </w:pPr>
      <w:r>
        <w:t xml:space="preserve">Nature and description of the breach; date/time discovered.</w:t>
      </w:r>
    </w:p>
    <w:p>
      <w:pPr>
        <w:pStyle w:val="ListParagraph"/>
        <w:numPr>
          <w:ilvl w:val="0"/>
          <w:numId w:val="2"/>
        </w:numPr>
        <w:spacing w:after="50"/>
      </w:pPr>
      <w:r>
        <w:t xml:space="preserve">Categories and approximate number of data principals affected.</w:t>
      </w:r>
    </w:p>
    <w:p>
      <w:pPr>
        <w:pStyle w:val="ListParagraph"/>
        <w:numPr>
          <w:ilvl w:val="0"/>
          <w:numId w:val="2"/>
        </w:numPr>
        <w:spacing w:after="50"/>
      </w:pPr>
      <w:r>
        <w:t xml:space="preserve">Likely consequences.</w:t>
      </w:r>
    </w:p>
    <w:p>
      <w:pPr>
        <w:pStyle w:val="ListParagraph"/>
        <w:numPr>
          <w:ilvl w:val="0"/>
          <w:numId w:val="2"/>
        </w:numPr>
        <w:spacing w:after="50"/>
      </w:pPr>
      <w:r>
        <w:t xml:space="preserve">Measures taken / proposed to contain and remediate.</w:t>
      </w:r>
    </w:p>
    <w:p>
      <w:pPr>
        <w:pStyle w:val="ListParagraph"/>
        <w:numPr>
          <w:ilvl w:val="0"/>
          <w:numId w:val="2"/>
        </w:numPr>
        <w:spacing w:after="50"/>
      </w:pPr>
      <w:r>
        <w:t xml:space="preserve">Contact point for follow-up. (Full report within 72 hours.)</w:t>
      </w:r>
    </w:p>
    <w:p>
      <w:pPr>
        <w:pStyle w:val="Heading2"/>
      </w:pPr>
      <w:r>
        <w:t xml:space="preserve">7b) To affected data principals (plain language)</w:t>
      </w:r>
    </w:p>
    <w:p>
      <w:pPr>
        <w:spacing w:after="120" w:before="0"/>
      </w:pPr>
      <w:r>
        <w:rPr>
          <w:b/>
          <w:bCs/>
        </w:rPr>
        <w:t xml:space="preserve">Subject: Notice about a security incident affecting your data</w:t>
      </w:r>
    </w:p>
    <w:p>
      <w:pPr>
        <w:spacing w:after="120" w:before="0"/>
      </w:pPr>
      <w:r>
        <w:t xml:space="preserve">Dear [First name], we are writing to tell you about a security incident that may have affected your personal data ([describe]). What happened: [plain summary]. What we have done: [containment/remediation]. What you can do: [steps]. For help, contact our Grievance Officer at tech@agresearchlabs.com. We have notified the Data Protection Board as required.</w:t>
      </w:r>
    </w:p>
    <w:p>
      <w:pPr>
        <w:pStyle w:val="Heading1"/>
        <w:pageBreakBefore/>
      </w:pPr>
      <w:r>
        <w:t xml:space="preserve">8. Data-principal rights handling SOP (draft)</w:t>
      </w:r>
    </w:p>
    <w:p>
      <w:pPr>
        <w:spacing w:after="130" w:before="20"/>
      </w:pPr>
      <w:r>
        <w:rPr>
          <w:i/>
          <w:iCs/>
          <w:color w:val="2E7D6E"/>
          <w:sz w:val="17"/>
          <w:szCs w:val="17"/>
        </w:rPr>
        <w:t xml:space="preserve">Satisfies — DPDP Act s.11 (right to access information), s.12 (right to correction &amp; erasure), s.6 (right to withdraw consent), s.14 (right to nominate) and s.13 (right of grievance redressal).</w:t>
      </w:r>
    </w:p>
    <w:p>
      <w:pPr>
        <w:pStyle w:val="ListParagraph"/>
        <w:numPr>
          <w:ilvl w:val="0"/>
          <w:numId w:val="3"/>
        </w:numPr>
        <w:spacing w:after="50"/>
      </w:pPr>
      <w:r>
        <w:t xml:space="preserve">Intake — request via Privacy Center or grievance email; identify the right (access, correction, erasure, withdraw consent, nomination).</w:t>
      </w:r>
    </w:p>
    <w:p>
      <w:pPr>
        <w:pStyle w:val="ListParagraph"/>
        <w:numPr>
          <w:ilvl w:val="0"/>
          <w:numId w:val="3"/>
        </w:numPr>
        <w:spacing w:after="50"/>
      </w:pPr>
      <w:r>
        <w:t xml:space="preserve">Verify identity against the authenticated account; collect no extra data.</w:t>
      </w:r>
    </w:p>
    <w:p>
      <w:pPr>
        <w:pStyle w:val="ListParagraph"/>
        <w:numPr>
          <w:ilvl w:val="0"/>
          <w:numId w:val="3"/>
        </w:numPr>
        <w:spacing w:after="50"/>
      </w:pPr>
      <w:r>
        <w:t xml:space="preserve">Log the request (type, timestamp); retain the log at least 1 year.</w:t>
      </w:r>
    </w:p>
    <w:p>
      <w:pPr>
        <w:pStyle w:val="ListParagraph"/>
        <w:numPr>
          <w:ilvl w:val="0"/>
          <w:numId w:val="3"/>
        </w:numPr>
        <w:spacing w:after="50"/>
      </w:pPr>
      <w:r>
        <w:t xml:space="preserve">Action — access: provide export/summary; correction: update source + Zoho; erasure: delete non-mandatory data, retain statutory records, give 48h notice; withdraw: stop that processing; nomination: record nominee + scope.</w:t>
      </w:r>
    </w:p>
    <w:p>
      <w:pPr>
        <w:pStyle w:val="ListParagraph"/>
        <w:numPr>
          <w:ilvl w:val="0"/>
          <w:numId w:val="3"/>
        </w:numPr>
        <w:spacing w:after="50"/>
      </w:pPr>
      <w:r>
        <w:t xml:space="preserve">Respond within the SLA (target 30 days or less) and confirm the outcome.</w:t>
      </w:r>
    </w:p>
    <w:p>
      <w:pPr>
        <w:pStyle w:val="Heading1"/>
        <w:pageBreakBefore/>
      </w:pPr>
      <w:r>
        <w:t xml:space="preserve">9. Processor DPA checklist (draft)</w:t>
      </w:r>
    </w:p>
    <w:p>
      <w:pPr>
        <w:spacing w:after="130" w:before="20"/>
      </w:pPr>
      <w:r>
        <w:rPr>
          <w:i/>
          <w:iCs/>
          <w:color w:val="2E7D6E"/>
          <w:sz w:val="17"/>
          <w:szCs w:val="17"/>
        </w:rPr>
        <w:t xml:space="preserve">Satisfies — DPDP Act s.8(2) (a Data Fiduciary may engage a Data Processor only under a valid contract and remains responsible for its compliance) and s.8(4) (security safeguards extend to processors).</w:t>
      </w:r>
    </w:p>
    <w:p>
      <w:pPr>
        <w:spacing w:after="120" w:before="0"/>
      </w:pPr>
      <w:r>
        <w:t xml:space="preserve">Obtain a Data Processing Agreement (or equivalent terms) from each processor, covering: processing only on our instructions; security safeguards; breach notice to us; assistance with rights requests; deletion/return on termination; sub-processor controls; and the processing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3C5152" w:val="clear"/>
            <w:tcMar>
              <w:top w:type="dxa" w:w="55"/>
              <w:left w:type="dxa" w:w="85"/>
              <w:bottom w:type="dxa" w:w="55"/>
              <w:right w:type="dxa" w:w="85"/>
            </w:tcMar>
          </w:tcPr>
          <w:p>
            <w:r>
              <w:rPr>
                <w:b/>
                <w:bCs/>
                <w:color w:val="FFFFFF"/>
                <w:sz w:val="16"/>
                <w:szCs w:val="16"/>
              </w:rPr>
              <w:t xml:space="preserve">Processor</w:t>
            </w:r>
          </w:p>
        </w:tc>
        <w:tc>
          <w:tcPr>
            <w:tcW w:type="dxa" w:w="2000"/>
            <w:tcBorders>
              <w:top w:val="single" w:color="CCCCCC" w:sz="1"/>
              <w:left w:val="single" w:color="CCCCCC" w:sz="1"/>
              <w:bottom w:val="single" w:color="CCCCCC" w:sz="1"/>
              <w:right w:val="single" w:color="CCCCCC" w:sz="1"/>
            </w:tcBorders>
            <w:shd w:fill="3C5152" w:val="clear"/>
            <w:tcMar>
              <w:top w:type="dxa" w:w="55"/>
              <w:left w:type="dxa" w:w="85"/>
              <w:bottom w:type="dxa" w:w="55"/>
              <w:right w:type="dxa" w:w="85"/>
            </w:tcMar>
          </w:tcPr>
          <w:p>
            <w:r>
              <w:rPr>
                <w:b/>
                <w:bCs/>
                <w:color w:val="FFFFFF"/>
                <w:sz w:val="16"/>
                <w:szCs w:val="16"/>
              </w:rPr>
              <w:t xml:space="preserve">Region</w:t>
            </w:r>
          </w:p>
        </w:tc>
        <w:tc>
          <w:tcPr>
            <w:tcW w:type="dxa" w:w="4360"/>
            <w:tcBorders>
              <w:top w:val="single" w:color="CCCCCC" w:sz="1"/>
              <w:left w:val="single" w:color="CCCCCC" w:sz="1"/>
              <w:bottom w:val="single" w:color="CCCCCC" w:sz="1"/>
              <w:right w:val="single" w:color="CCCCCC" w:sz="1"/>
            </w:tcBorders>
            <w:shd w:fill="3C5152" w:val="clear"/>
            <w:tcMar>
              <w:top w:type="dxa" w:w="55"/>
              <w:left w:type="dxa" w:w="85"/>
              <w:bottom w:type="dxa" w:w="55"/>
              <w:right w:type="dxa" w:w="85"/>
            </w:tcMar>
          </w:tcPr>
          <w:p>
            <w:r>
              <w:rPr>
                <w:b/>
                <w:bCs/>
                <w:color w:val="FFFFFF"/>
                <w:sz w:val="16"/>
                <w:szCs w:val="16"/>
              </w:rPr>
              <w:t xml:space="preserve">DPA status / link</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Supabase (DB, storage, auth)</w:t>
            </w:r>
          </w:p>
        </w:tc>
        <w:tc>
          <w:tcPr>
            <w:tcW w:type="dxa" w:w="2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India (Mumbai)</w:t>
            </w:r>
          </w:p>
        </w:tc>
        <w:tc>
          <w:tcPr>
            <w:tcW w:type="dxa" w:w="43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[link / date]</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Zoho CRM (operations)</w:t>
            </w:r>
          </w:p>
        </w:tc>
        <w:tc>
          <w:tcPr>
            <w:tcW w:type="dxa" w:w="2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India</w:t>
            </w:r>
          </w:p>
        </w:tc>
        <w:tc>
          <w:tcPr>
            <w:tcW w:type="dxa" w:w="43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[link / date]</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Resend (email / OTP)</w:t>
            </w:r>
          </w:p>
        </w:tc>
        <w:tc>
          <w:tcPr>
            <w:tcW w:type="dxa" w:w="2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United States</w:t>
            </w:r>
          </w:p>
        </w:tc>
        <w:tc>
          <w:tcPr>
            <w:tcW w:type="dxa" w:w="43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[link / date] — migrate to India alt.</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Sentry (diagnostics)</w:t>
            </w:r>
          </w:p>
        </w:tc>
        <w:tc>
          <w:tcPr>
            <w:tcW w:type="dxa" w:w="2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United States</w:t>
            </w:r>
          </w:p>
        </w:tc>
        <w:tc>
          <w:tcPr>
            <w:tcW w:type="dxa" w:w="43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[link / date] — PII scrubbed</w:t>
            </w:r>
          </w:p>
        </w:tc>
      </w:tr>
      <w:tr>
        <w:tc>
          <w:tcPr>
            <w:tcW w:type="dxa" w:w="3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Netlify (hosting)</w:t>
            </w:r>
          </w:p>
        </w:tc>
        <w:tc>
          <w:tcPr>
            <w:tcW w:type="dxa" w:w="200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United States</w:t>
            </w:r>
          </w:p>
        </w:tc>
        <w:tc>
          <w:tcPr>
            <w:tcW w:type="dxa" w:w="4360"/>
            <w:tcBorders>
              <w:top w:val="single" w:color="CCCCCC" w:sz="1"/>
              <w:left w:val="single" w:color="CCCCCC" w:sz="1"/>
              <w:bottom w:val="single" w:color="CCCCCC" w:sz="1"/>
              <w:right w:val="single" w:color="CCCCCC" w:sz="1"/>
            </w:tcBorders>
            <w:tcMar>
              <w:top w:type="dxa" w:w="55"/>
              <w:left w:type="dxa" w:w="85"/>
              <w:bottom w:type="dxa" w:w="55"/>
              <w:right w:type="dxa" w:w="85"/>
            </w:tcMar>
          </w:tcPr>
          <w:p>
            <w:r>
              <w:rPr>
                <w:color w:val="0F1A15"/>
                <w:sz w:val="15"/>
                <w:szCs w:val="15"/>
              </w:rPr>
              <w:t xml:space="preserve">[link / date] — migrate to India alt.</w:t>
            </w:r>
          </w:p>
        </w:tc>
      </w:tr>
    </w:tbl>
    <w:p>
      <w:pPr>
        <w:pStyle w:val="Heading1"/>
        <w:pageBreakBefore/>
      </w:pPr>
      <w:r>
        <w:t xml:space="preserve">10. Cross-border transfer statement (draft)</w:t>
      </w:r>
    </w:p>
    <w:p>
      <w:pPr>
        <w:spacing w:after="130" w:before="20"/>
      </w:pPr>
      <w:r>
        <w:rPr>
          <w:i/>
          <w:iCs/>
          <w:color w:val="2E7D6E"/>
          <w:sz w:val="17"/>
          <w:szCs w:val="17"/>
        </w:rPr>
        <w:t xml:space="preserve">Satisfies — DPDP Act s.16 (transfer of personal data outside India is permitted except to territories the Central Government restricts).</w:t>
      </w:r>
    </w:p>
    <w:p>
      <w:pPr>
        <w:spacing w:after="120" w:before="0"/>
      </w:pPr>
      <w:r>
        <w:t xml:space="preserve">Growize stores primary personal data in India. Certain service providers (Resend, Sentry, Netlify) process limited personal data in the United States. Such transfers are permitted under the DPDP Act except to territories the Central Government may restrict; none of our providers are in a restricted territory. The most sensitive identifiers are masked or scrubbed before any transfer. We are migrating these services to India-based alternatives and will update this statement accordingly.</w:t>
      </w:r>
    </w:p>
    <w:p>
      <w:pPr>
        <w:pStyle w:val="Heading1"/>
        <w:pageBreakBefore/>
      </w:pPr>
      <w:r>
        <w:t xml:space="preserve">11. Version control &amp; sign-off</w:t>
      </w:r>
    </w:p>
    <w:p>
      <w:pPr>
        <w:spacing w:after="130" w:before="20"/>
      </w:pPr>
      <w:r>
        <w:rPr>
          <w:i/>
          <w:iCs/>
          <w:color w:val="2E7D6E"/>
          <w:sz w:val="17"/>
          <w:szCs w:val="17"/>
        </w:rPr>
        <w:t xml:space="preserve">Satisfies — Supports DPDP Act s.8 general accountability and record-keeping obligations.</w:t>
      </w:r>
    </w:p>
    <w:p>
      <w:pPr>
        <w:spacing w:after="120" w:before="0"/>
      </w:pPr>
      <w:r>
        <w:t xml:space="preserve">Privacy Notice / consent document version: 1.1 (effective 9 June 2026). Bump the version when wording materially changes; the consent log records the version each user accepted, enabling re-consent prompts.</w:t>
      </w:r>
    </w:p>
    <w:p>
      <w:pPr>
        <w:spacing w:after="120" w:before="0"/>
      </w:pPr>
      <w:r>
        <w:t xml:space="preserve">Reviewed by counsel: ____________________    Date: __________    Grievance Officer appointed: ____________________</w:t>
      </w:r>
    </w:p>
    <w:sectPr>
      <w:footerReference w:type="default" r:id="rId7"/>
      <w:pgSz w:w="12240" w:h="15840" w:orient="portrait"/>
      <w:pgMar w:top="13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Growize - DPDP Compliance Pack (DRAFT for counsel) -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color w:val="3C5152"/>
      <w:sz w:val="26"/>
      <w:szCs w:val="26"/>
    </w:rPr>
  </w:style>
  <w:style w:type="paragraph" w:styleId="Heading2">
    <w:name w:val="Heading 2"/>
    <w:basedOn w:val="Normal"/>
    <w:next w:val="Normal"/>
    <w:qFormat/>
    <w:pPr>
      <w:spacing w:after="70" w:before="150"/>
      <w:outlineLvl w:val="1"/>
    </w:pPr>
    <w:rPr>
      <w:rFonts w:ascii="Arial" w:cs="Arial" w:eastAsia="Arial" w:hAnsi="Arial"/>
      <w:b/>
      <w:bCs/>
      <w:color w:val="2E7D6E"/>
      <w:sz w:val="21"/>
      <w:szCs w:val="21"/>
    </w:rPr>
  </w:style>
  <w:style w:type="paragraph" w:styleId="Heading3">
    <w:name w:val="Heading 3"/>
    <w:basedOn w:val="Normal"/>
    <w:next w:val="Normal"/>
    <w:qFormat/>
    <w:pPr>
      <w:spacing w:after="50" w:before="100"/>
      <w:outlineLvl w:val="2"/>
    </w:pPr>
    <w:rPr>
      <w:rFonts w:ascii="Arial" w:cs="Arial" w:eastAsia="Arial" w:hAnsi="Arial"/>
      <w:b/>
      <w:bCs/>
      <w:color w:val="0F1A1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2026-06-09T15:01:31.851Z</dcterms:created>
  <dcterms:modified xsi:type="dcterms:W3CDTF">2026-06-09T15:01:31.851Z</dcterms:modified>
</cp:coreProperties>
</file>

<file path=docProps/custom.xml><?xml version="1.0" encoding="utf-8"?>
<Properties xmlns="http://schemas.openxmlformats.org/officeDocument/2006/custom-properties" xmlns:vt="http://schemas.openxmlformats.org/officeDocument/2006/docPropsVTypes"/>
</file>