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C5152"/>
          <w:sz w:val="34"/>
          <w:szCs w:val="34"/>
        </w:rPr>
        <w:t xml:space="preserve">ARL Growize Investor Portal</w:t>
      </w:r>
    </w:p>
    <w:p>
      <w:pPr>
        <w:spacing w:after="40"/>
      </w:pPr>
      <w:r>
        <w:rPr>
          <w:b/>
          <w:bCs/>
          <w:color w:val="0F1A15"/>
          <w:sz w:val="24"/>
          <w:szCs w:val="24"/>
        </w:rPr>
        <w:t xml:space="preserve">DPDP Templates Pack</w:t>
      </w:r>
    </w:p>
    <w:p>
      <w:pPr>
        <w:spacing w:after="160"/>
      </w:pPr>
      <w:r>
        <w:rPr>
          <w:i/>
          <w:iCs/>
          <w:color w:val="C05640"/>
          <w:sz w:val="18"/>
          <w:szCs w:val="18"/>
        </w:rPr>
        <w:t xml:space="preserve">DRAFT templates for legal review — not legal advice. Replace every [BRACKETED] placeholder. Have counsel approve before publishing or sending.</w:t>
      </w:r>
    </w:p>
    <w:p>
      <w:pPr>
        <w:spacing w:after="120" w:before="0"/>
      </w:pPr>
      <w:r>
        <w:rPr>
          <w:color w:val="808080"/>
          <w:sz w:val="18"/>
          <w:szCs w:val="18"/>
        </w:rPr>
        <w:t xml:space="preserve">Contents: 1) Privacy Notice  2) Retroactive notice to existing users  3) Consent text &amp; withdrawal  4) Grievance Officer block  5) Data-Principal rights process  6) Breach notifications  7) Processor/DPA checklist.</w:t>
      </w:r>
    </w:p>
    <w:p>
      <w:pPr>
        <w:pStyle w:val="Heading1"/>
        <w:pageBreakBefore/>
      </w:pPr>
      <w:r>
        <w:t xml:space="preserve">1. Privacy Notice (itemised)</w:t>
      </w:r>
    </w:p>
    <w:p>
      <w:pPr>
        <w:spacing w:after="120" w:before="0"/>
      </w:pPr>
      <w:r>
        <w:rPr>
          <w:i/>
          <w:iCs/>
          <w:color w:val="808080"/>
          <w:sz w:val="18"/>
          <w:szCs w:val="18"/>
        </w:rPr>
        <w:t xml:space="preserve">Use at/before sign-up and host at [privacy policy URL]. Must be standalone and specific — not bundled into a single ‘I agree’.</w:t>
      </w:r>
    </w:p>
    <w:p>
      <w:pPr>
        <w:spacing w:after="120" w:before="0"/>
      </w:pPr>
      <w:r>
        <w:t xml:space="preserve">[Company legal name] (“we”, “Growize”) is the Data Fiduciary for your personal data under the Digital Personal Data Protection Act, 2023.</w:t>
      </w:r>
    </w:p>
    <w:p>
      <w:pPr>
        <w:pStyle w:val="Heading2"/>
      </w:pPr>
      <w:r>
        <w:t xml:space="preserve">a) What we collect</w:t>
      </w:r>
    </w:p>
    <w:p>
      <w:pPr>
        <w:pStyle w:val="ListParagraph"/>
        <w:numPr>
          <w:ilvl w:val="0"/>
          <w:numId w:val="2"/>
        </w:numPr>
        <w:spacing w:after="60"/>
      </w:pPr>
      <w:r>
        <w:t xml:space="preserve">Identity &amp; contact: name, email, phone, date of birth.</w:t>
      </w:r>
    </w:p>
    <w:p>
      <w:pPr>
        <w:pStyle w:val="ListParagraph"/>
        <w:numPr>
          <w:ilvl w:val="0"/>
          <w:numId w:val="2"/>
        </w:numPr>
        <w:spacing w:after="60"/>
      </w:pPr>
      <w:r>
        <w:t xml:space="preserve">KYC &amp; government IDs: PAN, Aadhaar (or KYC reference), address, KYC documents.</w:t>
      </w:r>
    </w:p>
    <w:p>
      <w:pPr>
        <w:pStyle w:val="ListParagraph"/>
        <w:numPr>
          <w:ilvl w:val="0"/>
          <w:numId w:val="2"/>
        </w:numPr>
        <w:spacing w:after="60"/>
      </w:pPr>
      <w:r>
        <w:t xml:space="preserve">Financial: bank account details, investment units/allocations, payouts.</w:t>
      </w:r>
    </w:p>
    <w:p>
      <w:pPr>
        <w:pStyle w:val="ListParagraph"/>
        <w:numPr>
          <w:ilvl w:val="0"/>
          <w:numId w:val="2"/>
        </w:numPr>
        <w:spacing w:after="60"/>
      </w:pPr>
      <w:r>
        <w:t xml:space="preserve">Account &amp; security: login credentials, session and login/device logs.</w:t>
      </w:r>
    </w:p>
    <w:p>
      <w:pPr>
        <w:pStyle w:val="ListParagraph"/>
        <w:numPr>
          <w:ilvl w:val="0"/>
          <w:numId w:val="2"/>
        </w:numPr>
        <w:spacing w:after="60"/>
      </w:pPr>
      <w:r>
        <w:t xml:space="preserve">Support &amp; communications: tickets, consultation requests, notifications.</w:t>
      </w:r>
    </w:p>
    <w:p>
      <w:pPr>
        <w:pStyle w:val="Heading2"/>
      </w:pPr>
      <w:r>
        <w:t xml:space="preserve">b) Why we process it (purposes)</w:t>
      </w:r>
    </w:p>
    <w:p>
      <w:pPr>
        <w:pStyle w:val="ListParagraph"/>
        <w:numPr>
          <w:ilvl w:val="0"/>
          <w:numId w:val="2"/>
        </w:numPr>
        <w:spacing w:after="60"/>
      </w:pPr>
      <w:r>
        <w:t xml:space="preserve">To create and operate your investor account and show your portfolio.</w:t>
      </w:r>
    </w:p>
    <w:p>
      <w:pPr>
        <w:pStyle w:val="ListParagraph"/>
        <w:numPr>
          <w:ilvl w:val="0"/>
          <w:numId w:val="2"/>
        </w:numPr>
        <w:spacing w:after="60"/>
      </w:pPr>
      <w:r>
        <w:t xml:space="preserve">To meet KYC/AML and other legal obligations (PMLA, Companies/LLP, Income-Tax).</w:t>
      </w:r>
    </w:p>
    <w:p>
      <w:pPr>
        <w:pStyle w:val="ListParagraph"/>
        <w:numPr>
          <w:ilvl w:val="0"/>
          <w:numId w:val="2"/>
        </w:numPr>
        <w:spacing w:after="60"/>
      </w:pPr>
      <w:r>
        <w:t xml:space="preserve">To process and disburse payouts.</w:t>
      </w:r>
    </w:p>
    <w:p>
      <w:pPr>
        <w:pStyle w:val="ListParagraph"/>
        <w:numPr>
          <w:ilvl w:val="0"/>
          <w:numId w:val="2"/>
        </w:numPr>
        <w:spacing w:after="60"/>
      </w:pPr>
      <w:r>
        <w:t xml:space="preserve">To provide support and required communications, and to secure the service.</w:t>
      </w:r>
    </w:p>
    <w:p>
      <w:pPr>
        <w:pStyle w:val="Heading2"/>
      </w:pPr>
      <w:r>
        <w:t xml:space="preserve">c) Legal basis</w:t>
      </w:r>
    </w:p>
    <w:p>
      <w:pPr>
        <w:spacing w:after="120" w:before="0"/>
      </w:pPr>
      <w:r>
        <w:t xml:space="preserve">We rely on your consent and/or the necessity to perform our contract with you, and on legal obligations for KYC and financial-record keeping.</w:t>
      </w:r>
    </w:p>
    <w:p>
      <w:pPr>
        <w:pStyle w:val="Heading2"/>
      </w:pPr>
      <w:r>
        <w:t xml:space="preserve">d) Sharing &amp; processors</w:t>
      </w:r>
    </w:p>
    <w:p>
      <w:pPr>
        <w:spacing w:after="120" w:before="0"/>
      </w:pPr>
      <w:r>
        <w:t xml:space="preserve">We use service providers who process data on our behalf under contract: cloud database &amp; storage (hosted in India), CRM, application hosting, error monitoring and email delivery. Some providers may process data outside India ([list countries]); we disclose this and contract for protection.</w:t>
      </w:r>
    </w:p>
    <w:p>
      <w:pPr>
        <w:pStyle w:val="Heading2"/>
      </w:pPr>
      <w:r>
        <w:t xml:space="preserve">e) Your rights</w:t>
      </w:r>
    </w:p>
    <w:p>
      <w:pPr>
        <w:pStyle w:val="ListParagraph"/>
        <w:numPr>
          <w:ilvl w:val="0"/>
          <w:numId w:val="2"/>
        </w:numPr>
        <w:spacing w:after="60"/>
      </w:pPr>
      <w:r>
        <w:t xml:space="preserve">Access information about the personal data we process about you.</w:t>
      </w:r>
    </w:p>
    <w:p>
      <w:pPr>
        <w:pStyle w:val="ListParagraph"/>
        <w:numPr>
          <w:ilvl w:val="0"/>
          <w:numId w:val="2"/>
        </w:numPr>
        <w:spacing w:after="60"/>
      </w:pPr>
      <w:r>
        <w:t xml:space="preserve">Correct or update inaccurate or incomplete data.</w:t>
      </w:r>
    </w:p>
    <w:p>
      <w:pPr>
        <w:pStyle w:val="ListParagraph"/>
        <w:numPr>
          <w:ilvl w:val="0"/>
          <w:numId w:val="2"/>
        </w:numPr>
        <w:spacing w:after="60"/>
      </w:pPr>
      <w:r>
        <w:t xml:space="preserve">Request erasure (subject to records we must keep by law).</w:t>
      </w:r>
    </w:p>
    <w:p>
      <w:pPr>
        <w:pStyle w:val="ListParagraph"/>
        <w:numPr>
          <w:ilvl w:val="0"/>
          <w:numId w:val="2"/>
        </w:numPr>
        <w:spacing w:after="60"/>
      </w:pPr>
      <w:r>
        <w:t xml:space="preserve">Withdraw consent at any time — as easily as you gave it.</w:t>
      </w:r>
    </w:p>
    <w:p>
      <w:pPr>
        <w:pStyle w:val="ListParagraph"/>
        <w:numPr>
          <w:ilvl w:val="0"/>
          <w:numId w:val="2"/>
        </w:numPr>
        <w:spacing w:after="60"/>
      </w:pPr>
      <w:r>
        <w:t xml:space="preserve">Nominate another individual to exercise your rights if you die or become incapacitated.</w:t>
      </w:r>
    </w:p>
    <w:p>
      <w:pPr>
        <w:pStyle w:val="ListParagraph"/>
        <w:numPr>
          <w:ilvl w:val="0"/>
          <w:numId w:val="2"/>
        </w:numPr>
        <w:spacing w:after="60"/>
      </w:pPr>
      <w:r>
        <w:t xml:space="preserve">Raise a grievance with us (see Grievance Officer below) and complain to the Data Protection Board of India.</w:t>
      </w:r>
    </w:p>
    <w:p>
      <w:pPr>
        <w:pStyle w:val="Heading2"/>
      </w:pPr>
      <w:r>
        <w:t xml:space="preserve">f) Retention</w:t>
      </w:r>
    </w:p>
    <w:p>
      <w:pPr>
        <w:spacing w:after="120" w:before="0"/>
      </w:pPr>
      <w:r>
        <w:t xml:space="preserve">We keep personal data only as long as needed for the purpose, except where law requires longer retention (e.g., KYC/financial records). See our Retention Schedule.</w:t>
      </w:r>
    </w:p>
    <w:p>
      <w:pPr>
        <w:pStyle w:val="Heading2"/>
      </w:pPr>
      <w:r>
        <w:t xml:space="preserve">g) Contact</w:t>
      </w:r>
    </w:p>
    <w:p>
      <w:pPr>
        <w:spacing w:after="120" w:before="0"/>
      </w:pPr>
      <w:r>
        <w:t xml:space="preserve">Grievance Officer: [name], [email], [phone]. Address: [work address].</w:t>
      </w:r>
    </w:p>
    <w:p>
      <w:pPr>
        <w:pStyle w:val="Heading1"/>
        <w:pageBreakBefore/>
      </w:pPr>
      <w:r>
        <w:t xml:space="preserve">2. Retroactive notice to existing invited users</w:t>
      </w:r>
    </w:p>
    <w:p>
      <w:pPr>
        <w:spacing w:after="120" w:before="0"/>
      </w:pPr>
      <w:r>
        <w:rPr>
          <w:i/>
          <w:iCs/>
          <w:color w:val="808080"/>
          <w:sz w:val="18"/>
          <w:szCs w:val="18"/>
        </w:rPr>
        <w:t xml:space="preserve">Send by email/in-app to everyone whose data you already hold (invite-basis users). Subject + body below.</w:t>
      </w:r>
    </w:p>
    <w:p>
      <w:pPr>
        <w:spacing w:after="120" w:before="0"/>
      </w:pPr>
      <w:r>
        <w:rPr>
          <w:b/>
          <w:bCs/>
        </w:rPr>
        <w:t xml:space="preserve">Subject: Important update on how Growize handles your personal data</w:t>
      </w:r>
    </w:p>
    <w:p>
      <w:pPr>
        <w:spacing w:after="120" w:before="0"/>
      </w:pPr>
      <w:r>
        <w:t xml:space="preserve">Dear [First name],</w:t>
      </w:r>
    </w:p>
    <w:p>
      <w:pPr>
        <w:spacing w:after="120" w:before="0"/>
      </w:pPr>
      <w:r>
        <w:t xml:space="preserve">As an invited investor on Growize, you have shared personal and KYC information with us. In line with India’s Digital Personal Data Protection Act, 2023, we are writing to tell you clearly how we use that information.</w:t>
      </w:r>
    </w:p>
    <w:p>
      <w:pPr>
        <w:spacing w:after="120" w:before="0"/>
      </w:pPr>
      <w:r>
        <w:t xml:space="preserve">We process your identity, KYC (including PAN/Aadhaar), financial and account data to operate your investor account, meet legal/KYC obligations and process payouts. Some service providers we rely on may process limited data outside India; we contract for its protection. Our full privacy notice is at [URL].</w:t>
      </w:r>
    </w:p>
    <w:p>
      <w:pPr>
        <w:spacing w:after="120" w:before="0"/>
      </w:pPr>
      <w:r>
        <w:t xml:space="preserve">You can access, correct, or request erasure of your data (subject to records we must keep by law), withdraw consent, or nominate someone to act for you. To exercise any right or raise a concern, contact our Grievance Officer at [email]. You may also complain to the Data Protection Board of India.</w:t>
      </w:r>
    </w:p>
    <w:p>
      <w:pPr>
        <w:spacing w:after="120" w:before="0"/>
      </w:pPr>
      <w:r>
        <w:t xml:space="preserve">If you continue using Growize, you can manage your choices anytime from Profile → Privacy. Thank you for your trust.</w:t>
      </w:r>
    </w:p>
    <w:p>
      <w:pPr>
        <w:spacing w:after="120" w:before="0"/>
      </w:pPr>
      <w:r>
        <w:t xml:space="preserve">— Team Growize, [Company legal name]</w:t>
      </w:r>
    </w:p>
    <w:p>
      <w:pPr>
        <w:pStyle w:val="Heading1"/>
        <w:pageBreakBefore/>
      </w:pPr>
      <w:r>
        <w:t xml:space="preserve">3. Consent text &amp; withdrawal</w:t>
      </w:r>
    </w:p>
    <w:p>
      <w:pPr>
        <w:pStyle w:val="Heading2"/>
      </w:pPr>
      <w:r>
        <w:t xml:space="preserve">Sign-up consent (unbundled)</w:t>
      </w:r>
    </w:p>
    <w:p>
      <w:pPr>
        <w:spacing w:after="120" w:before="0"/>
      </w:pPr>
      <w:r>
        <w:rPr>
          <w:i/>
          <w:iCs/>
          <w:color w:val="808080"/>
          <w:sz w:val="18"/>
          <w:szCs w:val="18"/>
        </w:rPr>
        <w:t xml:space="preserve">Present as separate, clear affirmative checkboxes — never one combined box:</w:t>
      </w:r>
    </w:p>
    <w:p>
      <w:pPr>
        <w:pStyle w:val="ListParagraph"/>
        <w:numPr>
          <w:ilvl w:val="0"/>
          <w:numId w:val="2"/>
        </w:numPr>
        <w:spacing w:after="60"/>
      </w:pPr>
      <w:r>
        <w:t xml:space="preserve">[ ] I have read the Privacy Notice and consent to Growize processing my identity, KYC and financial data to operate my account and meet legal obligations. (required)</w:t>
      </w:r>
    </w:p>
    <w:p>
      <w:pPr>
        <w:pStyle w:val="ListParagraph"/>
        <w:numPr>
          <w:ilvl w:val="0"/>
          <w:numId w:val="2"/>
        </w:numPr>
        <w:spacing w:after="60"/>
      </w:pPr>
      <w:r>
        <w:t xml:space="preserve">[ ] I consent to receiving service notifications about my investments. (required for the service)</w:t>
      </w:r>
    </w:p>
    <w:p>
      <w:pPr>
        <w:pStyle w:val="ListParagraph"/>
        <w:numPr>
          <w:ilvl w:val="0"/>
          <w:numId w:val="2"/>
        </w:numPr>
        <w:spacing w:after="60"/>
      </w:pPr>
      <w:r>
        <w:t xml:space="preserve">[ ] I consent to occasional product updates and offers. (optional)</w:t>
      </w:r>
    </w:p>
    <w:p>
      <w:pPr>
        <w:spacing w:after="120" w:before="0"/>
      </w:pPr>
      <w:r>
        <w:rPr>
          <w:b/>
          <w:bCs/>
        </w:rPr>
        <w:t xml:space="preserve">Record per consent: user id, purpose, notice version, timestamp, and the consent text shown.</w:t>
      </w:r>
    </w:p>
    <w:p>
      <w:pPr>
        <w:pStyle w:val="Heading2"/>
      </w:pPr>
      <w:r>
        <w:t xml:space="preserve">Withdrawal</w:t>
      </w:r>
    </w:p>
    <w:p>
      <w:pPr>
        <w:spacing w:after="120" w:before="0"/>
      </w:pPr>
      <w:r>
        <w:t xml:space="preserve">Provide a Profile → Privacy control that lets a user withdraw any consent in one or two taps. On withdrawal: stop the affected processing, confirm to the user, and erase data tied to that purpose — except records retained under legal obligation. Withdrawal must be as easy as granting consent.</w:t>
      </w:r>
    </w:p>
    <w:p>
      <w:pPr>
        <w:pStyle w:val="Heading1"/>
        <w:pageBreakBefore/>
      </w:pPr>
      <w:r>
        <w:t xml:space="preserve">4. Grievance Officer block (publish in-app + policy)</w:t>
      </w:r>
    </w:p>
    <w:p>
      <w:pPr>
        <w:spacing w:after="120" w:before="0"/>
      </w:pPr>
      <w:r>
        <w:rPr>
          <w:b/>
          <w:bCs/>
        </w:rPr>
        <w:t xml:space="preserve">Grievance Officer</w:t>
      </w:r>
    </w:p>
    <w:p>
      <w:pPr>
        <w:pStyle w:val="ListParagraph"/>
        <w:numPr>
          <w:ilvl w:val="0"/>
          <w:numId w:val="2"/>
        </w:numPr>
        <w:spacing w:after="60"/>
      </w:pPr>
      <w:r>
        <w:t xml:space="preserve">Name: [full name]</w:t>
      </w:r>
    </w:p>
    <w:p>
      <w:pPr>
        <w:pStyle w:val="ListParagraph"/>
        <w:numPr>
          <w:ilvl w:val="0"/>
          <w:numId w:val="2"/>
        </w:numPr>
        <w:spacing w:after="60"/>
      </w:pPr>
      <w:r>
        <w:t xml:space="preserve">Email: [grievance@domain]</w:t>
      </w:r>
    </w:p>
    <w:p>
      <w:pPr>
        <w:pStyle w:val="ListParagraph"/>
        <w:numPr>
          <w:ilvl w:val="0"/>
          <w:numId w:val="2"/>
        </w:numPr>
        <w:spacing w:after="60"/>
      </w:pPr>
      <w:r>
        <w:t xml:space="preserve">Phone: [number]</w:t>
      </w:r>
    </w:p>
    <w:p>
      <w:pPr>
        <w:pStyle w:val="ListParagraph"/>
        <w:numPr>
          <w:ilvl w:val="0"/>
          <w:numId w:val="2"/>
        </w:numPr>
        <w:spacing w:after="60"/>
      </w:pPr>
      <w:r>
        <w:t xml:space="preserve">Address: [work address]</w:t>
      </w:r>
    </w:p>
    <w:p>
      <w:pPr>
        <w:spacing w:after="120" w:before="0"/>
      </w:pPr>
      <w:r>
        <w:t xml:space="preserve">We acknowledge complaints promptly and resolve them within 30 days. If you are not satisfied, you may complain to the Data Protection Board of India.</w:t>
      </w:r>
    </w:p>
    <w:p>
      <w:pPr>
        <w:pStyle w:val="Heading1"/>
        <w:pageBreakBefore/>
      </w:pPr>
      <w:r>
        <w:t xml:space="preserve">5. Data-Principal rights request — handling process</w:t>
      </w:r>
    </w:p>
    <w:p>
      <w:pPr>
        <w:pStyle w:val="ListParagraph"/>
        <w:numPr>
          <w:ilvl w:val="0"/>
          <w:numId w:val="3"/>
        </w:numPr>
        <w:spacing w:after="60"/>
      </w:pPr>
      <w:r>
        <w:t xml:space="preserve">Intake: user submits a request (Profile → Privacy, or grievance email) choosing the right: access, correction, erasure, withdraw consent, or nomination.</w:t>
      </w:r>
    </w:p>
    <w:p>
      <w:pPr>
        <w:pStyle w:val="ListParagraph"/>
        <w:numPr>
          <w:ilvl w:val="0"/>
          <w:numId w:val="3"/>
        </w:numPr>
        <w:spacing w:after="60"/>
      </w:pPr>
      <w:r>
        <w:t xml:space="preserve">Verify identity (match to the authenticated account; avoid collecting extra data).</w:t>
      </w:r>
    </w:p>
    <w:p>
      <w:pPr>
        <w:pStyle w:val="ListParagraph"/>
        <w:numPr>
          <w:ilvl w:val="0"/>
          <w:numId w:val="3"/>
        </w:numPr>
        <w:spacing w:after="60"/>
      </w:pPr>
      <w:r>
        <w:t xml:space="preserve">Log the request with timestamp and type (retain the log &gt;= 1 year).</w:t>
      </w:r>
    </w:p>
    <w:p>
      <w:pPr>
        <w:pStyle w:val="ListParagraph"/>
        <w:numPr>
          <w:ilvl w:val="0"/>
          <w:numId w:val="3"/>
        </w:numPr>
        <w:spacing w:after="60"/>
      </w:pPr>
      <w:r>
        <w:t xml:space="preserve">Action: access → provide a summary/export of data &amp; processing; correction → update source + Zoho; erasure → delete except legally-retained records and give 48 hours’ notice before erasing; withdraw consent → stop processing for that purpose.</w:t>
      </w:r>
    </w:p>
    <w:p>
      <w:pPr>
        <w:pStyle w:val="ListParagraph"/>
        <w:numPr>
          <w:ilvl w:val="0"/>
          <w:numId w:val="3"/>
        </w:numPr>
        <w:spacing w:after="60"/>
      </w:pPr>
      <w:r>
        <w:t xml:space="preserve">Respond within the policy SLA (target &lt;= 30 days) and confirm the outcome.</w:t>
      </w:r>
    </w:p>
    <w:p>
      <w:pPr>
        <w:pStyle w:val="ListParagraph"/>
        <w:numPr>
          <w:ilvl w:val="0"/>
          <w:numId w:val="3"/>
        </w:numPr>
        <w:spacing w:after="60"/>
      </w:pPr>
      <w:r>
        <w:t xml:space="preserve">For nomination, record the nominee and the scope they may exercise.</w:t>
      </w:r>
    </w:p>
    <w:p>
      <w:pPr>
        <w:pStyle w:val="Heading1"/>
        <w:pageBreakBefore/>
      </w:pPr>
      <w:r>
        <w:t xml:space="preserve">6. Breach notifications</w:t>
      </w:r>
    </w:p>
    <w:p>
      <w:pPr>
        <w:pStyle w:val="Heading2"/>
      </w:pPr>
      <w:r>
        <w:t xml:space="preserve">6a) To the Data Protection Board (initial, without delay)</w:t>
      </w:r>
    </w:p>
    <w:p>
      <w:pPr>
        <w:pStyle w:val="ListParagraph"/>
        <w:numPr>
          <w:ilvl w:val="0"/>
          <w:numId w:val="2"/>
        </w:numPr>
        <w:spacing w:after="60"/>
      </w:pPr>
      <w:r>
        <w:t xml:space="preserve">Nature &amp; description of the breach; date/time discovered.</w:t>
      </w:r>
    </w:p>
    <w:p>
      <w:pPr>
        <w:pStyle w:val="ListParagraph"/>
        <w:numPr>
          <w:ilvl w:val="0"/>
          <w:numId w:val="2"/>
        </w:numPr>
        <w:spacing w:after="60"/>
      </w:pPr>
      <w:r>
        <w:t xml:space="preserve">Categories and approximate number of Data Principals affected.</w:t>
      </w:r>
    </w:p>
    <w:p>
      <w:pPr>
        <w:pStyle w:val="ListParagraph"/>
        <w:numPr>
          <w:ilvl w:val="0"/>
          <w:numId w:val="2"/>
        </w:numPr>
        <w:spacing w:after="60"/>
      </w:pPr>
      <w:r>
        <w:t xml:space="preserve">Likely consequences.</w:t>
      </w:r>
    </w:p>
    <w:p>
      <w:pPr>
        <w:pStyle w:val="ListParagraph"/>
        <w:numPr>
          <w:ilvl w:val="0"/>
          <w:numId w:val="2"/>
        </w:numPr>
        <w:spacing w:after="60"/>
      </w:pPr>
      <w:r>
        <w:t xml:space="preserve">Measures taken / proposed to contain and remediate.</w:t>
      </w:r>
    </w:p>
    <w:p>
      <w:pPr>
        <w:pStyle w:val="ListParagraph"/>
        <w:numPr>
          <w:ilvl w:val="0"/>
          <w:numId w:val="2"/>
        </w:numPr>
        <w:spacing w:after="60"/>
      </w:pPr>
      <w:r>
        <w:t xml:space="preserve">Contact point for follow-up. (Provide the full report within 72 hours.)</w:t>
      </w:r>
    </w:p>
    <w:p>
      <w:pPr>
        <w:pStyle w:val="Heading2"/>
      </w:pPr>
      <w:r>
        <w:t xml:space="preserve">6b) To affected users (plain language)</w:t>
      </w:r>
    </w:p>
    <w:p>
      <w:pPr>
        <w:spacing w:after="120" w:before="0"/>
      </w:pPr>
      <w:r>
        <w:rPr>
          <w:b/>
          <w:bCs/>
        </w:rPr>
        <w:t xml:space="preserve">Subject: Notice about a security incident affecting your data</w:t>
      </w:r>
    </w:p>
    <w:p>
      <w:pPr>
        <w:spacing w:after="120" w:before="0"/>
      </w:pPr>
      <w:r>
        <w:t xml:space="preserve">Dear [First name], we are writing to tell you about a security incident that may have affected your personal data ([describe data]). Here is what happened: [plain summary]. What we have done: [containment/remediation]. What you can do: [steps — e.g., reset password, watch for phishing]. For help, contact [Grievance Officer email/phone]. We are notifying the Data Protection Board as required. We are sorry and are taking this seriously.</w:t>
      </w:r>
    </w:p>
    <w:p>
      <w:pPr>
        <w:pStyle w:val="Heading1"/>
        <w:pageBreakBefore/>
      </w:pPr>
      <w:r>
        <w:t xml:space="preserve">7. Processor / DPA checklist</w:t>
      </w:r>
    </w:p>
    <w:p>
      <w:pPr>
        <w:spacing w:after="120" w:before="0"/>
      </w:pPr>
      <w:r>
        <w:t xml:space="preserve">Confirm a Data Processing Agreement (or equivalent contractual terms) with each provider, covering: processing only on our instructions, security safeguards, breach notification to us, assistance with rights requests, deletion/return on termination, sub-processor controls, and the processing location/region.</w:t>
      </w:r>
    </w:p>
    <w:p>
      <w:pPr>
        <w:pStyle w:val="ListParagraph"/>
        <w:numPr>
          <w:ilvl w:val="0"/>
          <w:numId w:val="2"/>
        </w:numPr>
        <w:spacing w:after="60"/>
      </w:pPr>
      <w:r>
        <w:t xml:space="preserve">Supabase — database, auth, storage. Region: India (Mumbai). DPA: [link/date].</w:t>
      </w:r>
    </w:p>
    <w:p>
      <w:pPr>
        <w:pStyle w:val="ListParagraph"/>
        <w:numPr>
          <w:ilvl w:val="0"/>
          <w:numId w:val="2"/>
        </w:numPr>
        <w:spacing w:after="60"/>
      </w:pPr>
      <w:r>
        <w:t xml:space="preserve">Zoho CRM — investor/LLP records. Region: India (.in). DPA: [link/date].</w:t>
      </w:r>
    </w:p>
    <w:p>
      <w:pPr>
        <w:pStyle w:val="ListParagraph"/>
        <w:numPr>
          <w:ilvl w:val="0"/>
          <w:numId w:val="2"/>
        </w:numPr>
        <w:spacing w:after="60"/>
      </w:pPr>
      <w:r>
        <w:t xml:space="preserve">Netlify — web hosting. Region: [confirm — likely US]. DPA: [link/date].</w:t>
      </w:r>
    </w:p>
    <w:p>
      <w:pPr>
        <w:pStyle w:val="ListParagraph"/>
        <w:numPr>
          <w:ilvl w:val="0"/>
          <w:numId w:val="2"/>
        </w:numPr>
        <w:spacing w:after="60"/>
      </w:pPr>
      <w:r>
        <w:t xml:space="preserve">Sentry — error monitoring (PII scrubbed). Region: [confirm — likely US]. DPA: [link/date].</w:t>
      </w:r>
    </w:p>
    <w:p>
      <w:pPr>
        <w:pStyle w:val="ListParagraph"/>
        <w:numPr>
          <w:ilvl w:val="0"/>
          <w:numId w:val="2"/>
        </w:numPr>
        <w:spacing w:after="60"/>
      </w:pPr>
      <w:r>
        <w:t xml:space="preserve">Resend — transactional email/OTP. Region: [confirm — likely US]. DPA: [link/date].</w:t>
      </w:r>
    </w:p>
    <w:p>
      <w:pPr>
        <w:pStyle w:val="ListParagraph"/>
        <w:numPr>
          <w:ilvl w:val="0"/>
          <w:numId w:val="2"/>
        </w:numPr>
        <w:spacing w:after="60"/>
      </w:pPr>
      <w:r>
        <w:t xml:space="preserve">[Any Slack/notification or analytics vendor] — Region: [confirm]. DPA: [link/date].</w:t>
      </w:r>
    </w:p>
    <w:p>
      <w:pPr>
        <w:spacing w:after="120" w:before="0"/>
      </w:pPr>
      <w:r>
        <w:rPr>
          <w:i/>
          <w:iCs/>
          <w:color w:val="808080"/>
          <w:sz w:val="18"/>
          <w:szCs w:val="18"/>
        </w:rPr>
        <w:t xml:space="preserve">Disclose every cross-border processor in the privacy notice. Re-check this list whenever a new vendor or feature is added.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ARL Growize — DPDP Templates (DRAFT for legal review)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3C5152"/>
      <w:sz w:val="26"/>
      <w:szCs w:val="26"/>
    </w:rPr>
  </w:style>
  <w:style w:type="paragraph" w:styleId="Heading2">
    <w:name w:val="Heading 2"/>
    <w:basedOn w:val="Normal"/>
    <w:next w:val="Normal"/>
    <w:qFormat/>
    <w:pPr>
      <w:spacing w:after="70" w:before="140"/>
      <w:outlineLvl w:val="1"/>
    </w:pPr>
    <w:rPr>
      <w:rFonts w:ascii="Arial" w:cs="Arial" w:eastAsia="Arial" w:hAnsi="Arial"/>
      <w:b/>
      <w:bCs/>
      <w:color w:val="2E7D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2026-06-09T04:16:05.331Z</dcterms:created>
  <dcterms:modified xsi:type="dcterms:W3CDTF">2026-06-09T04:16:05.332Z</dcterms:modified>
</cp:coreProperties>
</file>

<file path=docProps/custom.xml><?xml version="1.0" encoding="utf-8"?>
<Properties xmlns="http://schemas.openxmlformats.org/officeDocument/2006/custom-properties" xmlns:vt="http://schemas.openxmlformats.org/officeDocument/2006/docPropsVTypes"/>
</file>