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F3864"/>
          <w:sz w:val="40"/>
          <w:szCs w:val="40"/>
        </w:rPr>
        <w:t xml:space="preserve">Dataset &amp; Model Collection Guide</w:t>
      </w:r>
    </w:p>
    <w:p>
      <w:pPr>
        <w:spacing w:after="260"/>
      </w:pPr>
      <w:r>
        <w:rPr>
          <w:i/>
          <w:iCs/>
          <w:color w:val="555555"/>
        </w:rPr>
        <w:t xml:space="preserve">Digital Twin — Engine Health Monitoring System  |  Dataset sourcing &amp; sorting reference for the 4 trained ML models</w:t>
      </w:r>
    </w:p>
    <w:p>
      <w:pPr>
        <w:pBdr>
          <w:bottom w:val="single" w:color="AAAAAA" w:sz="6" w:space="4"/>
        </w:pBdr>
        <w:spacing w:after="20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20"/>
      </w:pPr>
      <w:r>
        <w:t xml:space="preserve">This document is the working reference for dataset collection, verification, and sorting across the project. It answers two questions for every component of the architecture: (a) does this component need a labeled training dataset at all, and (b) if yes, which dataset covers it, where it comes from, and what's still missing.</w:t>
      </w:r>
    </w:p>
    <w:p>
      <w:pPr>
        <w:pBdr>
          <w:left w:val="single" w:color="2E5C8A" w:sz="18" w:space="8"/>
        </w:pBdr>
        <w:spacing w:after="200"/>
        <w:ind w:left="215"/>
      </w:pPr>
      <w:r>
        <w:rPr>
          <w:i/>
          <w:iCs/>
          <w:color w:val="444444"/>
        </w:rPr>
        <w:t xml:space="preserve">Use this as the single source of truth when adding new datasets — append rows rather than restarting the table, so provenance stays traceable for judges.</w:t>
      </w:r>
    </w:p>
    <w:p>
      <w:pPr>
        <w:pStyle w:val="Heading1"/>
        <w:spacing w:after="150" w:before="300"/>
      </w:pPr>
      <w:r>
        <w:t xml:space="preserve">2. Architecture coverage at a glance</w:t>
      </w:r>
    </w:p>
    <w:p>
      <w:pPr>
        <w:spacing w:after="120"/>
      </w:pPr>
      <w:r>
        <w:t xml:space="preserve">The system has 7 labeled components across its diagrams, but only 4 of them are trained ML models in the sense of requiring a labeled dataset. The table below maps all 7 so the scope of the dataset sheet is explicit and defensible.</w:t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400"/>
        <w:gridCol w:w="54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Trained ML model?</w:t>
            </w:r>
          </w:p>
        </w:tc>
        <w:tc>
          <w:tcPr>
            <w:tcW w:type="dxa" w:w="54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status / what it needs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Digital twin core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No — live synchronized state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N/A for training. Uses real-time sensor stream + mission history (same inputs as row 1 of the dataset table).</w:t>
            </w:r>
          </w:p>
        </w:tc>
      </w:tr>
      <w:tr>
        <w:tc>
          <w:tcPr>
            <w:tcW w:type="dxa" w:w="5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Physics model</w:t>
            </w:r>
          </w:p>
        </w:tc>
        <w:tc>
          <w:tcPr>
            <w:tcW w:type="dxa" w:w="24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3B2E"/>
                <w:sz w:val="19"/>
                <w:szCs w:val="19"/>
              </w:rPr>
              <w:t xml:space="preserve">No — thermodynamic / performance equations</w:t>
            </w:r>
          </w:p>
        </w:tc>
        <w:tc>
          <w:tcPr>
            <w:tcW w:type="dxa" w:w="548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GAP: needs engine performance maps, thermodynamic constants, manufacturer spec sheets for a piston engine (or a public proxy). Reference/config data, not a labeled ML dataset.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Fault model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Yes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Covered — ALFA (UAV telemetry).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RUL model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Yes</w:t>
            </w:r>
          </w:p>
        </w:tc>
        <w:tc>
          <w:tcPr>
            <w:tcW w:type="dxa" w:w="5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Covered — NASA turbofan (C-MAPSS).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Bearing model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Yes</w:t>
            </w:r>
          </w:p>
        </w:tc>
        <w:tc>
          <w:tcPr>
            <w:tcW w:type="dxa" w:w="5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Covered — CWRU bearing data.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Aux model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Yes</w:t>
            </w:r>
          </w:p>
        </w:tc>
        <w:tc>
          <w:tcPr>
            <w:tcW w:type="dxa" w:w="54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Covered — AI4I 2020 (milling) + engine failure dataset (source still unconfirmed — see gap above).</w:t>
            </w:r>
          </w:p>
        </w:tc>
      </w:tr>
      <w:tr>
        <w:tc>
          <w:tcPr>
            <w:tcW w:type="dxa" w:w="5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Simulation engine</w:t>
            </w:r>
          </w:p>
        </w:tc>
        <w:tc>
          <w:tcPr>
            <w:tcW w:type="dxa" w:w="24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B23B2E"/>
                <w:sz w:val="19"/>
                <w:szCs w:val="19"/>
              </w:rPr>
              <w:t xml:space="preserve">Not really — scenario replay / what-if tool</w:t>
            </w:r>
          </w:p>
        </w:tc>
        <w:tc>
          <w:tcPr>
            <w:tcW w:type="dxa" w:w="548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GAP: needs mission / environmental profile data (altitude, temperature, throttle transients). Largely overlaps with the 'Mission &amp; history' input already planned for the twin core — confirm it has enough scenario diversity (hot weather, high altitude, rapid throttle) since DRDO explicitly asked for this.</w:t>
            </w:r>
          </w:p>
        </w:tc>
      </w:tr>
    </w:tbl>
    <w:p>
      <w:pPr>
        <w:spacing w:before="200"/>
      </w:pPr>
    </w:p>
    <w:p>
      <w:pPr>
        <w:pBdr>
          <w:left w:val="single" w:color="2E5C8A" w:sz="18" w:space="8"/>
        </w:pBdr>
        <w:spacing w:after="200"/>
        <w:ind w:left="215"/>
      </w:pPr>
      <w:r>
        <w:rPr>
          <w:i/>
          <w:iCs/>
          <w:color w:val="444444"/>
        </w:rPr>
        <w:t xml:space="preserve">Two open gaps remain outside the ML layer: the Physics model needs reference/spec data (not a training dataset), and the Simulation engine needs mission/environmental profile diversity. Neither blocks the 4 ML models below, but both should be tracked to their own owners.</w:t>
      </w:r>
    </w:p>
    <w:p>
      <w:pPr>
        <w:pStyle w:val="Heading1"/>
        <w:spacing w:after="150" w:before="300"/>
      </w:pPr>
      <w:r>
        <w:t xml:space="preserve">3. Dataset sheet — the 4 trained ML models</w:t>
      </w:r>
    </w:p>
    <w:p>
      <w:pPr>
        <w:spacing w:after="120"/>
      </w:pPr>
      <w:r>
        <w:t xml:space="preserve">Full sourcing detail for every dataset feeding a trained model, sorted by which model it feeds.</w:t>
      </w:r>
    </w:p>
    <w:tbl>
      <w:tblPr>
        <w:tblW w:type="dxa" w:w="107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300"/>
        <w:gridCol w:w="3400"/>
        <w:gridCol w:w="178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(with link)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attributes / variables</w:t>
            </w:r>
          </w:p>
        </w:tc>
        <w:tc>
          <w:tcPr>
            <w:tcW w:type="dxa" w:w="17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Feeds model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UAV flight telemetry &amp; sensor fault logs (ALFA)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CMU AirLab — theairlab.org/alfa-dataset
DOI 10.1184/R1/12707963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ROS bag / CSV time-series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Flight state (attitude, GPS, IMU), actuator commands, fault injection timestamp, fault type label (engine failure + 7 control-surface fault types)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Fault model (7-class classifier)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NASA turbofan engine degradation (C-MAPSS)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NASA Prognostics Center of Excellence — data.phmsociety.org/nasa
(Kaggle mirror: behrad3d/nasa-cmaps)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CSV, multivariate time series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26 columns: unit ID, cycle number, 3 operational settings, 21 sensor measurements (temps, pressures, fan/core speeds)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RUL model (LSTM / XGBoost regression)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Bearing fault diagnosis (CWRU)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 Western Reserve University Bearing Data Center —
engineering.case.edu/bearingdatacenter/download-data-file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.mat vibration signal files (12 / 48 kHz)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Accelerometer vibration signal, fault location (inner race / outer race / rolling element), fault diameter (7-40 mils), motor load, RPM</w:t>
            </w:r>
          </w:p>
        </w:tc>
        <w:tc>
          <w:tcPr>
            <w:tcW w:type="dxa" w:w="1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Bearing / vibration model (FFT feature extraction + classifier)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Milling machine predictive maintenance (AI4I 2020)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Kaggle mirror — kaggle.com/datasets/shivamb/machine-predictive-maintenance-classification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CSV, tabular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Air / process temperature, rotational speed, torque, tool wear (min), machine failure label (5 modes: TWF, HDF, PWF, OSF, RNF) + no-failure</w:t>
            </w:r>
          </w:p>
        </w:tc>
        <w:tc>
          <w:tcPr>
            <w:tcW w:type="dxa" w:w="1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Aux / transfer model (cross-domain pretraining)</w:t>
            </w:r>
          </w:p>
        </w:tc>
      </w:tr>
      <w:tr>
        <w:tc>
          <w:tcPr>
            <w:tcW w:type="dxa" w:w="17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Engine failure dataset</w:t>
            </w:r>
          </w:p>
        </w:tc>
        <w:tc>
          <w:tcPr>
            <w:tcW w:type="dxa" w:w="26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CONFIRMED — likely a generic Kaggle engine-health dataset. Re-verify and paste the exact link before submission.</w:t>
            </w:r>
          </w:p>
        </w:tc>
        <w:tc>
          <w:tcPr>
            <w:tcW w:type="dxa" w:w="13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Unconfirmed</w:t>
            </w:r>
          </w:p>
        </w:tc>
        <w:tc>
          <w:tcPr>
            <w:tcW w:type="dxa" w:w="340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Unconfirmed</w:t>
            </w:r>
          </w:p>
        </w:tc>
        <w:tc>
          <w:tcPr>
            <w:tcW w:type="dxa" w:w="1780"/>
            <w:shd w:fill="FCE8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Aux / transfer model (combines with milling data)</w:t>
            </w:r>
          </w:p>
        </w:tc>
      </w:tr>
    </w:tbl>
    <w:p>
      <w:pPr>
        <w:pStyle w:val="Heading1"/>
        <w:spacing w:after="150" w:before="300"/>
      </w:pPr>
      <w:r>
        <w:t xml:space="preserve">4. Open items before submission</w:t>
      </w:r>
    </w:p>
    <w:p>
      <w:pPr>
        <w:pStyle w:val="Heading2"/>
        <w:spacing w:after="120" w:before="240"/>
      </w:pPr>
      <w:r>
        <w:t xml:space="preserve">4.1 Unconfirmed source (Aux model)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Row 5, "Engine failure dataset", has no captured link — track down the exact Kaggle/UCI page and paste the URL into the table above before this goes into the submission doc.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Judges may ask for dataset provenance directly during evaluation; "we don't remember where we got it" is a preventable gap.</w:t>
      </w:r>
    </w:p>
    <w:p>
      <w:pPr>
        <w:pStyle w:val="Heading2"/>
        <w:spacing w:after="120" w:before="240"/>
      </w:pPr>
      <w:r>
        <w:t xml:space="preserve">4.2 Domain gap &amp; mitigation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 of the 5 datasets are piston-engine-specific: turbofan ≠ piston, UAV telemetry ≠ engine internals, milling ≠ aero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one-line mitigation note directly in the submission sheet, e.g.: "Engine-agnostic architecture, validated on proxy datasets, designed for drop-in replacement with real piston / CAN-bus data at deployment."</w:t>
      </w:r>
    </w:p>
    <w:p>
      <w:pPr>
        <w:pStyle w:val="Heading2"/>
        <w:spacing w:after="120" w:before="240"/>
      </w:pPr>
      <w:r>
        <w:t xml:space="preserve">4.3 Licensing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5 datasets are public / research-use with no restrictive licensing that would block a hackathon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Double-check CWRU's terms specifically — it requires direct registration/download from their portal rather than an open mirror, unlike the others.</w:t>
      </w:r>
    </w:p>
    <w:p>
      <w:pPr>
        <w:pStyle w:val="Heading2"/>
        <w:spacing w:after="120" w:before="240"/>
      </w:pPr>
      <w:r>
        <w:t xml:space="preserve">4.4 Non-ML gaps to close separately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Physics model: source engine performance maps, thermodynamic constants, or manufacturer spec sheets for a piston engine (or a public aero-engine thermodynamic reference as a proxy). File this as reference/config data, not inside the ML training table.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Simulation engine: confirm the planned "Mission &amp; history" data collection covers enough scenario diversity — hot weather, high altitude, rapid throttle transients — since DRDO explicitly asked for these conditions.</w:t>
      </w:r>
    </w:p>
    <w:p>
      <w:pPr>
        <w:pStyle w:val="Heading1"/>
        <w:spacing w:after="150" w:before="300"/>
      </w:pPr>
      <w:r>
        <w:t xml:space="preserve">5. Sorting checklist per model</w:t>
      </w:r>
    </w:p>
    <w:p>
      <w:pPr>
        <w:pStyle w:val="Heading2"/>
        <w:spacing w:after="120" w:before="240"/>
      </w:pPr>
      <w:r>
        <w:t xml:space="preserve">Fault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Dataset: ALFA (UAV flight telemetry &amp; fault logs)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Status: sourced and linked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Next: confirm ROS bag → CSV conversion pipeline for the 7-class fault labels</w:t>
      </w:r>
    </w:p>
    <w:p>
      <w:pPr>
        <w:pStyle w:val="Heading2"/>
        <w:spacing w:after="120" w:before="240"/>
      </w:pPr>
      <w:r>
        <w:t xml:space="preserve">RUL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Dataset: NASA C-MAPSS turbofan degradation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Status: sourced and linked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Next: decide LSTM vs. XGBoost baseline and set aside a held-out test split</w:t>
      </w:r>
    </w:p>
    <w:p>
      <w:pPr>
        <w:pStyle w:val="Heading2"/>
        <w:spacing w:after="120" w:before="240"/>
      </w:pPr>
      <w:r>
        <w:t xml:space="preserve">Bearing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Dataset: CWRU bearing vibration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Status: sourced and linked, but requires portal registration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Next: complete CWRU registration early — it's the one dataset not available via an open mirror</w:t>
      </w:r>
    </w:p>
    <w:p>
      <w:pPr>
        <w:pStyle w:val="Heading2"/>
        <w:spacing w:after="120" w:before="240"/>
      </w:pPr>
      <w:r>
        <w:t xml:space="preserve">Aux / transfer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Datasets: AI4I 2020 (milling) confirmed; engine failure dataset unconfirmed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Status: partially sourced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Next: re-verify and link the second dataset before finalizing this row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2026-09-22T07:11:48.946Z</dcterms:created>
  <dcterms:modified xsi:type="dcterms:W3CDTF">2026-09-22T07:11:48.956Z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