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Model 3 — Bearing / Vibration Health</w:t>
        <w:br/>
        <w:t>FastAPI Backend Integration Guide</w:t>
      </w:r>
    </w:p>
    <w:p>
      <w:pPr>
        <w:jc w:val="center"/>
      </w:pPr>
      <w:r>
        <w:rPr>
          <w:i/>
          <w:sz w:val="22"/>
        </w:rPr>
        <w:t>AeroTwin — AI-Enabled Real-Time Digital Twin for Aero-Piston Engines</w:t>
      </w:r>
    </w:p>
    <w:p>
      <w:r>
        <w:t>Purpose: This document is a backend handoff guide for integrating Model 3 into the AeroTwin backend using FastAPI. It describes the trained model's input shape, classes, preprocessing requirement, inference flow, API contract, deployment structure, and testing procedure.</w:t>
      </w:r>
    </w:p>
    <w:p>
      <w:pPr>
        <w:pStyle w:val="Heading1"/>
      </w:pPr>
      <w:r>
        <w:t>1. Model 3 Overview</w:t>
      </w:r>
    </w:p>
    <w:p>
      <w:r>
        <w:t>Model 3 is the bearing/vibration health classification model. It is a CNN-based multiclass classifier trained to recognize 10 bearing-condition classes from 32×32 vibration representations.</w:t>
      </w:r>
    </w:p>
    <w:p>
      <w:pPr>
        <w:spacing w:before="80" w:after="120"/>
      </w:pPr>
      <w:r>
        <w:rPr>
          <w:rFonts w:ascii="Consolas" w:hAnsi="Consolas"/>
          <w:sz w:val="18"/>
        </w:rPr>
        <w:t>Vibration / bearing input</w:t>
        <w:br/>
        <w:t xml:space="preserve">        ↓</w:t>
        <w:br/>
        <w:t>32 × 32 representation</w:t>
        <w:br/>
        <w:t xml:space="preserve">        ↓</w:t>
        <w:br/>
        <w:t>Add channel dimension</w:t>
        <w:br/>
        <w:t xml:space="preserve">        ↓</w:t>
        <w:br/>
        <w:t>(1, 32, 32, 1)</w:t>
        <w:br/>
        <w:t xml:space="preserve">        ↓</w:t>
        <w:br/>
        <w:t>CNN Model 3</w:t>
        <w:br/>
        <w:t xml:space="preserve">        ↓</w:t>
        <w:br/>
        <w:t>10-class Softmax</w:t>
        <w:br/>
        <w:t xml:space="preserve">        ↓</w:t>
        <w:br/>
        <w:t>Predicted class + confidence</w:t>
        <w:br/>
      </w:r>
    </w:p>
    <w:p>
      <w:pPr>
        <w:pStyle w:val="Heading1"/>
      </w:pPr>
      <w:r>
        <w:t>2. Model 3 Training / Data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t>Item</w:t>
            </w:r>
          </w:p>
        </w:tc>
        <w:tc>
          <w:tcPr>
            <w:tcW w:type="dxa" w:w="3408"/>
            <w:shd w:fill="D9EAF7"/>
          </w:tcPr>
          <w:p>
            <w:r>
              <w:t>Value</w:t>
            </w:r>
          </w:p>
        </w:tc>
        <w:tc>
          <w:tcPr>
            <w:tcW w:type="dxa" w:w="3408"/>
            <w:shd w:fill="D9EAF7"/>
          </w:tcPr>
          <w:p>
            <w:r>
              <w:t>Backend meaning</w:t>
            </w:r>
          </w:p>
        </w:tc>
      </w:tr>
      <w:tr>
        <w:tc>
          <w:tcPr>
            <w:tcW w:type="dxa" w:w="3408"/>
          </w:tcPr>
          <w:p>
            <w:r>
              <w:t>Dataset input shape</w:t>
            </w:r>
          </w:p>
        </w:tc>
        <w:tc>
          <w:tcPr>
            <w:tcW w:type="dxa" w:w="3408"/>
          </w:tcPr>
          <w:p>
            <w:r>
              <w:t>(4600, 32, 32)</w:t>
            </w:r>
          </w:p>
        </w:tc>
        <w:tc>
          <w:tcPr>
            <w:tcW w:type="dxa" w:w="3408"/>
          </w:tcPr>
          <w:p>
            <w:r>
              <w:t>4600 samples, each represented as 32×32</w:t>
            </w:r>
          </w:p>
        </w:tc>
      </w:tr>
      <w:tr>
        <w:tc>
          <w:tcPr>
            <w:tcW w:type="dxa" w:w="3408"/>
          </w:tcPr>
          <w:p>
            <w:r>
              <w:t>Label shape</w:t>
            </w:r>
          </w:p>
        </w:tc>
        <w:tc>
          <w:tcPr>
            <w:tcW w:type="dxa" w:w="3408"/>
          </w:tcPr>
          <w:p>
            <w:r>
              <w:t>(4600,)</w:t>
            </w:r>
          </w:p>
        </w:tc>
        <w:tc>
          <w:tcPr>
            <w:tcW w:type="dxa" w:w="3408"/>
          </w:tcPr>
          <w:p>
            <w:r>
              <w:t>One class label per sample</w:t>
            </w:r>
          </w:p>
        </w:tc>
      </w:tr>
      <w:tr>
        <w:tc>
          <w:tcPr>
            <w:tcW w:type="dxa" w:w="3408"/>
          </w:tcPr>
          <w:p>
            <w:r>
              <w:t>Model input shape</w:t>
            </w:r>
          </w:p>
        </w:tc>
        <w:tc>
          <w:tcPr>
            <w:tcW w:type="dxa" w:w="3408"/>
          </w:tcPr>
          <w:p>
            <w:r>
              <w:t>(None, 32, 32, 1)</w:t>
            </w:r>
          </w:p>
        </w:tc>
        <w:tc>
          <w:tcPr>
            <w:tcW w:type="dxa" w:w="3408"/>
          </w:tcPr>
          <w:p>
            <w:r>
              <w:t>One grayscale/single-channel sample at inference</w:t>
            </w:r>
          </w:p>
        </w:tc>
      </w:tr>
      <w:tr>
        <w:tc>
          <w:tcPr>
            <w:tcW w:type="dxa" w:w="3408"/>
          </w:tcPr>
          <w:p>
            <w:r>
              <w:t>Output</w:t>
            </w:r>
          </w:p>
        </w:tc>
        <w:tc>
          <w:tcPr>
            <w:tcW w:type="dxa" w:w="3408"/>
          </w:tcPr>
          <w:p>
            <w:r>
              <w:t>10-class softmax</w:t>
            </w:r>
          </w:p>
        </w:tc>
        <w:tc>
          <w:tcPr>
            <w:tcW w:type="dxa" w:w="3408"/>
          </w:tcPr>
          <w:p>
            <w:r>
              <w:t>Probability for each bearing class</w:t>
            </w:r>
          </w:p>
        </w:tc>
      </w:tr>
      <w:tr>
        <w:tc>
          <w:tcPr>
            <w:tcW w:type="dxa" w:w="3408"/>
          </w:tcPr>
          <w:p>
            <w:r>
              <w:t>Inference batch</w:t>
            </w:r>
          </w:p>
        </w:tc>
        <w:tc>
          <w:tcPr>
            <w:tcW w:type="dxa" w:w="3408"/>
          </w:tcPr>
          <w:p>
            <w:r>
              <w:t>(1, 32, 32, 1)</w:t>
            </w:r>
          </w:p>
        </w:tc>
        <w:tc>
          <w:tcPr>
            <w:tcW w:type="dxa" w:w="3408"/>
          </w:tcPr>
          <w:p>
            <w:r>
              <w:t>Single-sample inference example</w:t>
            </w:r>
          </w:p>
        </w:tc>
      </w:tr>
    </w:tbl>
    <w:p>
      <w:pPr>
        <w:pStyle w:val="Heading1"/>
      </w:pPr>
      <w:r>
        <w:t>3. Model Classes</w:t>
      </w:r>
    </w:p>
    <w:p>
      <w:r>
        <w:t>The backend must preserve the exact class names and the exact index-to-class mapping used when the model was trained. Do not alphabetically reorder the labels unless that is confirmed to be the training mapping.</w:t>
      </w:r>
    </w:p>
    <w:p>
      <w:r>
        <w:t>0. Ball_007</w:t>
      </w:r>
    </w:p>
    <w:p>
      <w:r>
        <w:t>1. Ball_014</w:t>
      </w:r>
    </w:p>
    <w:p>
      <w:r>
        <w:t>2. Ball_021</w:t>
      </w:r>
    </w:p>
    <w:p>
      <w:r>
        <w:t>3. IR_007</w:t>
      </w:r>
    </w:p>
    <w:p>
      <w:r>
        <w:t>4. IR_014</w:t>
      </w:r>
    </w:p>
    <w:p>
      <w:r>
        <w:t>5. IR_021</w:t>
      </w:r>
    </w:p>
    <w:p>
      <w:r>
        <w:t>6. Normal</w:t>
      </w:r>
    </w:p>
    <w:p>
      <w:r>
        <w:t>7. OR_007</w:t>
      </w:r>
    </w:p>
    <w:p>
      <w:r>
        <w:t>8. OR_014</w:t>
      </w:r>
    </w:p>
    <w:p>
      <w:r>
        <w:t>9. OR_021</w:t>
      </w:r>
    </w:p>
    <w:p>
      <w:pPr>
        <w:pStyle w:val="Heading1"/>
      </w:pPr>
      <w:r>
        <w:t>4. What Model 3 Returns</w:t>
      </w:r>
    </w:p>
    <w:p>
      <w:r>
        <w:t>The CNN produces a 10-element softmax probability vector. The backend should derive:</w:t>
      </w:r>
    </w:p>
    <w:p>
      <w:pPr>
        <w:pStyle w:val="ListBullet"/>
      </w:pPr>
      <w:r>
        <w:t>predicted_class_index — index of the maximum probability</w:t>
      </w:r>
    </w:p>
    <w:p>
      <w:pPr>
        <w:pStyle w:val="ListBullet"/>
      </w:pPr>
      <w:r>
        <w:t>predicted_class — human-readable class name</w:t>
      </w:r>
    </w:p>
    <w:p>
      <w:pPr>
        <w:pStyle w:val="ListBullet"/>
      </w:pPr>
      <w:r>
        <w:t>confidence — maximum softmax probability</w:t>
      </w:r>
    </w:p>
    <w:p>
      <w:pPr>
        <w:pStyle w:val="ListBullet"/>
      </w:pPr>
      <w:r>
        <w:t>probabilities — optional full 10-class probability vector</w:t>
      </w:r>
    </w:p>
    <w:p>
      <w:pPr>
        <w:pStyle w:val="Heading1"/>
      </w:pPr>
      <w:r>
        <w:t>5. Important Input Requirement</w:t>
      </w:r>
    </w:p>
    <w:p>
      <w:r>
        <w:t>Model 3 does not accept arbitrary raw telemetry fields such as RPM, temperature, torque, or power as its direct model input. The trained model expects a 32×32 single-channel representation. The backend must reproduce the same preprocessing/representation used during training.</w:t>
      </w:r>
    </w:p>
    <w:p>
      <w:r>
        <w:t>If the original training notebook/code used a particular conversion from vibration data to a 32×32 matrix, that preprocessing step must be copied into the backend. The model should not receive an arbitrary resized image or arbitrary 32×32 matrix unless it is the same representation used during training.</w:t>
      </w:r>
    </w:p>
    <w:p>
      <w:pPr>
        <w:pStyle w:val="Heading1"/>
      </w:pPr>
      <w:r>
        <w:t>6. Recommended Backend Architecture</w:t>
      </w:r>
    </w:p>
    <w:p>
      <w:pPr>
        <w:spacing w:before="80" w:after="120"/>
      </w:pPr>
      <w:r>
        <w:rPr>
          <w:rFonts w:ascii="Consolas" w:hAnsi="Consolas"/>
          <w:sz w:val="18"/>
        </w:rPr>
        <w:t>AeroTwin telemetry / vibration pipeline</w:t>
        <w:br/>
        <w:t xml:space="preserve">              ↓</w:t>
        <w:br/>
        <w:t xml:space="preserve">      Vibration preprocessing</w:t>
        <w:br/>
        <w:t xml:space="preserve">              ↓</w:t>
        <w:br/>
        <w:t xml:space="preserve">       32 × 32 representation</w:t>
        <w:br/>
        <w:t xml:space="preserve">              ↓</w:t>
        <w:br/>
        <w:t xml:space="preserve">        Model 3 adapter</w:t>
        <w:br/>
        <w:t xml:space="preserve">              ↓</w:t>
        <w:br/>
        <w:t xml:space="preserve">      (1, 32, 32, 1) NumPy array</w:t>
        <w:br/>
        <w:t xml:space="preserve">              ↓</w:t>
        <w:br/>
        <w:t xml:space="preserve">          CNN inference</w:t>
        <w:br/>
        <w:t xml:space="preserve">              ↓</w:t>
        <w:br/>
        <w:t xml:space="preserve">   class + confidence + probabilities</w:t>
        <w:br/>
        <w:t xml:space="preserve">              ↓</w:t>
        <w:br/>
        <w:t xml:space="preserve">       Health Fusion / Dashboard</w:t>
        <w:br/>
      </w:r>
    </w:p>
    <w:p>
      <w:pPr>
        <w:pStyle w:val="Heading1"/>
      </w:pPr>
      <w:r>
        <w:t>7. Model Files Required</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File / Artifact</w:t>
            </w:r>
          </w:p>
        </w:tc>
        <w:tc>
          <w:tcPr>
            <w:tcW w:type="dxa" w:w="3408"/>
            <w:shd w:fill="D9EAF7"/>
          </w:tcPr>
          <w:p>
            <w:r>
              <w:t>Required</w:t>
            </w:r>
          </w:p>
        </w:tc>
        <w:tc>
          <w:tcPr>
            <w:tcW w:type="dxa" w:w="3408"/>
            <w:shd w:fill="D9EAF7"/>
          </w:tcPr>
          <w:p>
            <w:r>
              <w:t>Purpose</w:t>
            </w:r>
          </w:p>
        </w:tc>
      </w:tr>
      <w:tr>
        <w:tc>
          <w:tcPr>
            <w:tcW w:type="dxa" w:w="3408"/>
          </w:tcPr>
          <w:p>
            <w:r>
              <w:t>Trained Model 3 .keras/.h5 file</w:t>
            </w:r>
          </w:p>
        </w:tc>
        <w:tc>
          <w:tcPr>
            <w:tcW w:type="dxa" w:w="3408"/>
          </w:tcPr>
          <w:p>
            <w:r>
              <w:t>YES</w:t>
            </w:r>
          </w:p>
        </w:tc>
        <w:tc>
          <w:tcPr>
            <w:tcW w:type="dxa" w:w="3408"/>
          </w:tcPr>
          <w:p>
            <w:r>
              <w:t>CNN weights and architecture</w:t>
            </w:r>
          </w:p>
        </w:tc>
      </w:tr>
      <w:tr>
        <w:tc>
          <w:tcPr>
            <w:tcW w:type="dxa" w:w="3408"/>
          </w:tcPr>
          <w:p>
            <w:r>
              <w:t>Class-label mapping JSON</w:t>
            </w:r>
          </w:p>
        </w:tc>
        <w:tc>
          <w:tcPr>
            <w:tcW w:type="dxa" w:w="3408"/>
          </w:tcPr>
          <w:p>
            <w:r>
              <w:t>YES / recommended</w:t>
            </w:r>
          </w:p>
        </w:tc>
        <w:tc>
          <w:tcPr>
            <w:tcW w:type="dxa" w:w="3408"/>
          </w:tcPr>
          <w:p>
            <w:r>
              <w:t>Maps output index → class name</w:t>
            </w:r>
          </w:p>
        </w:tc>
      </w:tr>
      <w:tr>
        <w:tc>
          <w:tcPr>
            <w:tcW w:type="dxa" w:w="3408"/>
          </w:tcPr>
          <w:p>
            <w:r>
              <w:t>Preprocessing code/config</w:t>
            </w:r>
          </w:p>
        </w:tc>
        <w:tc>
          <w:tcPr>
            <w:tcW w:type="dxa" w:w="3408"/>
          </w:tcPr>
          <w:p>
            <w:r>
              <w:t>YES</w:t>
            </w:r>
          </w:p>
        </w:tc>
        <w:tc>
          <w:tcPr>
            <w:tcW w:type="dxa" w:w="3408"/>
          </w:tcPr>
          <w:p>
            <w:r>
              <w:t>Creates the exact 32×32 input representation</w:t>
            </w:r>
          </w:p>
        </w:tc>
      </w:tr>
      <w:tr>
        <w:tc>
          <w:tcPr>
            <w:tcW w:type="dxa" w:w="3408"/>
          </w:tcPr>
          <w:p>
            <w:r>
              <w:t>Scaler/normalization artifact, if used</w:t>
            </w:r>
          </w:p>
        </w:tc>
        <w:tc>
          <w:tcPr>
            <w:tcW w:type="dxa" w:w="3408"/>
          </w:tcPr>
          <w:p>
            <w:r>
              <w:t>If training used one</w:t>
            </w:r>
          </w:p>
        </w:tc>
        <w:tc>
          <w:tcPr>
            <w:tcW w:type="dxa" w:w="3408"/>
          </w:tcPr>
          <w:p>
            <w:r>
              <w:t>Reproduces training-time normalization</w:t>
            </w:r>
          </w:p>
        </w:tc>
      </w:tr>
      <w:tr>
        <w:tc>
          <w:tcPr>
            <w:tcW w:type="dxa" w:w="3408"/>
          </w:tcPr>
          <w:p>
            <w:r>
              <w:t>Training metadata</w:t>
            </w:r>
          </w:p>
        </w:tc>
        <w:tc>
          <w:tcPr>
            <w:tcW w:type="dxa" w:w="3408"/>
          </w:tcPr>
          <w:p>
            <w:r>
              <w:t>Recommended</w:t>
            </w:r>
          </w:p>
        </w:tc>
        <w:tc>
          <w:tcPr>
            <w:tcW w:type="dxa" w:w="3408"/>
          </w:tcPr>
          <w:p>
            <w:r>
              <w:t>Version, input shape, class count, preprocessing notes</w:t>
            </w:r>
          </w:p>
        </w:tc>
      </w:tr>
    </w:tbl>
    <w:p>
      <w:pPr>
        <w:pStyle w:val="Heading1"/>
      </w:pPr>
      <w:r>
        <w:t>8. Recommended Folder Structure</w:t>
      </w:r>
    </w:p>
    <w:p>
      <w:pPr>
        <w:spacing w:before="80" w:after="120"/>
      </w:pPr>
      <w:r>
        <w:rPr>
          <w:rFonts w:ascii="Consolas" w:hAnsi="Consolas"/>
          <w:sz w:val="18"/>
        </w:rPr>
        <w:t>backend/</w:t>
        <w:br/>
        <w:t>├── main.py</w:t>
        <w:br/>
        <w:t>├── models/</w:t>
        <w:br/>
        <w:t>│   └── model_3_bearing/</w:t>
        <w:br/>
        <w:t>│       ├── model3_bearing.keras</w:t>
        <w:br/>
        <w:t>│       ├── class_names.json</w:t>
        <w:br/>
        <w:t>│       └── preprocessing_config.json</w:t>
        <w:br/>
        <w:t>├── services/</w:t>
        <w:br/>
        <w:t>│   └── model3_service.py</w:t>
        <w:br/>
        <w:t>├── schemas/</w:t>
        <w:br/>
        <w:t>│   └── model3.py</w:t>
        <w:br/>
        <w:t>└── requirements.txt</w:t>
        <w:br/>
      </w:r>
    </w:p>
    <w:p>
      <w:pPr>
        <w:pStyle w:val="Heading1"/>
      </w:pPr>
      <w:r>
        <w:t>9. FastAPI Request Options</w:t>
      </w:r>
    </w:p>
    <w:p>
      <w:r>
        <w:t>There are two possible API designs. The preferred design depends on where vibration preprocessing is performed.</w:t>
      </w:r>
    </w:p>
    <w:p>
      <w:pPr>
        <w:pStyle w:val="Heading2"/>
      </w:pPr>
      <w:r>
        <w:t>Option A — Backend already has a 32×32 representation</w:t>
      </w:r>
    </w:p>
    <w:p>
      <w:pPr>
        <w:spacing w:before="80" w:after="120"/>
      </w:pPr>
      <w:r>
        <w:rPr>
          <w:rFonts w:ascii="Consolas" w:hAnsi="Consolas"/>
          <w:sz w:val="18"/>
        </w:rPr>
        <w:t>POST /model3/predict</w:t>
        <w:br/>
        <w:br/>
        <w:t>{</w:t>
        <w:br/>
        <w:t xml:space="preserve">  "matrix": [[...32 values...], [...32 values...], ...]</w:t>
        <w:br/>
        <w:t>}</w:t>
        <w:br/>
      </w:r>
    </w:p>
    <w:p>
      <w:r>
        <w:t>This is the simplest inference contract if the backend has already reproduced the training representation.</w:t>
      </w:r>
    </w:p>
    <w:p>
      <w:pPr>
        <w:pStyle w:val="Heading2"/>
      </w:pPr>
      <w:r>
        <w:t>Option B — Backend sends a raw vibration window</w:t>
      </w:r>
    </w:p>
    <w:p>
      <w:pPr>
        <w:spacing w:before="80" w:after="120"/>
      </w:pPr>
      <w:r>
        <w:rPr>
          <w:rFonts w:ascii="Consolas" w:hAnsi="Consolas"/>
          <w:sz w:val="18"/>
        </w:rPr>
        <w:t>POST /model3/predict-raw</w:t>
        <w:br/>
        <w:br/>
        <w:t>{</w:t>
        <w:br/>
        <w:t xml:space="preserve">  "vibration_x": [...],</w:t>
        <w:br/>
        <w:t xml:space="preserve">  "vibration_y": [...],</w:t>
        <w:br/>
        <w:t xml:space="preserve">  "vibration_z": [...]</w:t>
        <w:br/>
        <w:t>}</w:t>
        <w:br/>
      </w:r>
    </w:p>
    <w:p>
      <w:r>
        <w:t>This option requires implementing the exact training-time preprocessing inside the backend. Do not use this endpoint until the original Model 3 preprocessing pipeline has been confirmed.</w:t>
      </w:r>
    </w:p>
    <w:p>
      <w:pPr>
        <w:pStyle w:val="Heading1"/>
      </w:pPr>
      <w:r>
        <w:t>10. FastAPI Implementation Template — Matrix Input</w:t>
      </w:r>
    </w:p>
    <w:p>
      <w:pPr>
        <w:spacing w:before="80" w:after="120"/>
      </w:pPr>
      <w:r>
        <w:rPr>
          <w:rFonts w:ascii="Consolas" w:hAnsi="Consolas"/>
          <w:sz w:val="18"/>
        </w:rPr>
        <w:t># main.py</w:t>
        <w:br/>
        <w:t>import json</w:t>
        <w:br/>
        <w:t>import numpy as np</w:t>
        <w:br/>
        <w:t>import tensorflow as tf</w:t>
        <w:br/>
        <w:t>from fastapi import FastAPI</w:t>
        <w:br/>
        <w:t>from pydantic import BaseModel, Field</w:t>
        <w:br/>
        <w:br/>
        <w:t>app = FastAPI(title="AeroTwin Model 3 API")</w:t>
        <w:br/>
        <w:br/>
        <w:t>MODEL_PATH = "models/model_3_bearing/model3_bearing.keras"</w:t>
        <w:br/>
        <w:t>CLASS_PATH = "models/model_3_bearing/class_names.json"</w:t>
        <w:br/>
        <w:br/>
        <w:t>model = tf.keras.models.load_model(MODEL_PATH)</w:t>
        <w:br/>
        <w:br/>
        <w:t>with open(CLASS_PATH, "r") as f:</w:t>
        <w:br/>
        <w:t xml:space="preserve">    class_names = json.load(f)</w:t>
        <w:br/>
        <w:br/>
        <w:br/>
        <w:t>class Model3Request(BaseModel):</w:t>
        <w:br/>
        <w:t xml:space="preserve">    matrix: list[list[float]] = Field(..., description="32x32 Model 3 input")</w:t>
        <w:br/>
        <w:br/>
        <w:br/>
        <w:t>@app.get("/health")</w:t>
        <w:br/>
        <w:t>def health():</w:t>
        <w:br/>
        <w:t xml:space="preserve">    return {</w:t>
        <w:br/>
        <w:t xml:space="preserve">        "status": "ok",</w:t>
        <w:br/>
        <w:t xml:space="preserve">        "model": "Model 3 - Bearing/Vibration Health",</w:t>
        <w:br/>
        <w:t xml:space="preserve">        "classes": len(class_names)</w:t>
        <w:br/>
        <w:t xml:space="preserve">    }</w:t>
        <w:br/>
        <w:br/>
        <w:br/>
        <w:t>@app.post("/model3/predict")</w:t>
        <w:br/>
        <w:t>def predict(data: Model3Request):</w:t>
        <w:br/>
        <w:br/>
        <w:t xml:space="preserve">    x = np.asarray(data.matrix, dtype=np.float32)</w:t>
        <w:br/>
        <w:br/>
        <w:t xml:space="preserve">    if x.shape != (32, 32):</w:t>
        <w:br/>
        <w:t xml:space="preserve">        return {</w:t>
        <w:br/>
        <w:t xml:space="preserve">            "error": "Input matrix must have shape (32, 32)",</w:t>
        <w:br/>
        <w:t xml:space="preserve">            "received_shape": list(x.shape)</w:t>
        <w:br/>
        <w:t xml:space="preserve">        }</w:t>
        <w:br/>
        <w:br/>
        <w:t xml:space="preserve">    # Add batch and channel dimensions:</w:t>
        <w:br/>
        <w:t xml:space="preserve">    # (32,32) -&gt; (1,32,32,1)</w:t>
        <w:br/>
        <w:t xml:space="preserve">    x = x[np.newaxis, ..., np.newaxis]</w:t>
        <w:br/>
        <w:br/>
        <w:t xml:space="preserve">    probs = model.predict(x, verbose=0)[0]</w:t>
        <w:br/>
        <w:br/>
        <w:t xml:space="preserve">    predicted_index = int(np.argmax(probs))</w:t>
        <w:br/>
        <w:t xml:space="preserve">    confidence = float(probs[predicted_index])</w:t>
        <w:br/>
        <w:br/>
        <w:t xml:space="preserve">    return {</w:t>
        <w:br/>
        <w:t xml:space="preserve">        "model": "Model 3 - Bearing/Vibration Health",</w:t>
        <w:br/>
        <w:t xml:space="preserve">        "predicted_class_index": predicted_index,</w:t>
        <w:br/>
        <w:t xml:space="preserve">        "predicted_class": class_names[predicted_index],</w:t>
        <w:br/>
        <w:t xml:space="preserve">        "confidence": confidence,</w:t>
        <w:br/>
        <w:t xml:space="preserve">        "probabilities": {</w:t>
        <w:br/>
        <w:t xml:space="preserve">            class_names[i]: float(probs[i])</w:t>
        <w:br/>
        <w:t xml:space="preserve">            for i in range(len(class_names))</w:t>
        <w:br/>
        <w:t xml:space="preserve">        }</w:t>
        <w:br/>
        <w:t xml:space="preserve">    }</w:t>
        <w:br/>
      </w:r>
    </w:p>
    <w:p>
      <w:r>
        <w:t>This is a backend template, not a claim about the exact preprocessing used in the training notebook. The model path and class mapping must be replaced with the actual files delivered with Model 3.</w:t>
      </w:r>
    </w:p>
    <w:p>
      <w:pPr>
        <w:pStyle w:val="Heading1"/>
      </w:pPr>
      <w:r>
        <w:t>11. Example Response</w:t>
      </w:r>
    </w:p>
    <w:p>
      <w:pPr>
        <w:spacing w:before="80" w:after="120"/>
      </w:pPr>
      <w:r>
        <w:rPr>
          <w:rFonts w:ascii="Consolas" w:hAnsi="Consolas"/>
          <w:sz w:val="18"/>
        </w:rPr>
        <w:t>{</w:t>
        <w:br/>
        <w:t xml:space="preserve">  "model": "Model 3 - Bearing/Vibration Health",</w:t>
        <w:br/>
        <w:t xml:space="preserve">  "predicted_class_index": 6,</w:t>
        <w:br/>
        <w:t xml:space="preserve">  "predicted_class": "Normal",</w:t>
        <w:br/>
        <w:t xml:space="preserve">  "confidence": 0.94,</w:t>
        <w:br/>
        <w:t xml:space="preserve">  "probabilities": {</w:t>
        <w:br/>
        <w:t xml:space="preserve">    "Ball_007": 0.002,</w:t>
        <w:br/>
        <w:t xml:space="preserve">    "Ball_014": 0.003,</w:t>
        <w:br/>
        <w:t xml:space="preserve">    "Ball_021": 0.001,</w:t>
        <w:br/>
        <w:t xml:space="preserve">    "IR_007": 0.004,</w:t>
        <w:br/>
        <w:t xml:space="preserve">    "IR_014": 0.002,</w:t>
        <w:br/>
        <w:t xml:space="preserve">    "IR_021": 0.001,</w:t>
        <w:br/>
        <w:t xml:space="preserve">    "Normal": 0.940,</w:t>
        <w:br/>
        <w:t xml:space="preserve">    "OR_007": 0.010,</w:t>
        <w:br/>
        <w:t xml:space="preserve">    "OR_014": 0.020,</w:t>
        <w:br/>
        <w:t xml:space="preserve">    "OR_021": 0.017</w:t>
        <w:br/>
        <w:t xml:space="preserve">  }</w:t>
        <w:br/>
        <w:t>}</w:t>
      </w:r>
    </w:p>
    <w:p>
      <w:r>
        <w:t>The probabilities above are only an example of the response format, not an actual model prediction.</w:t>
      </w:r>
    </w:p>
    <w:p>
      <w:pPr>
        <w:pStyle w:val="Heading1"/>
      </w:pPr>
      <w:r>
        <w:t>12. How Backend Should Use the Result</w:t>
      </w:r>
    </w:p>
    <w:p>
      <w:pPr>
        <w:spacing w:before="80" w:after="120"/>
      </w:pPr>
      <w:r>
        <w:rPr>
          <w:rFonts w:ascii="Consolas" w:hAnsi="Consolas"/>
          <w:sz w:val="18"/>
        </w:rPr>
        <w:t>Model 3 prediction</w:t>
        <w:br/>
        <w:t xml:space="preserve">       ↓</w:t>
        <w:br/>
        <w:t>predicted_class</w:t>
        <w:br/>
        <w:t xml:space="preserve">       +</w:t>
        <w:br/>
        <w:t>confidence</w:t>
        <w:br/>
        <w:t xml:space="preserve">       ↓</w:t>
        <w:br/>
        <w:t>Health Fusion / Alert Logic</w:t>
        <w:br/>
        <w:t xml:space="preserve">       ↓</w:t>
        <w:br/>
        <w:t>Dashboard</w:t>
        <w:br/>
      </w:r>
    </w:p>
    <w:p>
      <w:r>
        <w:t>Model 3 should provide the classification result to the health-fusion layer. The health-fusion layer can decide how this signal contributes to the overall AeroTwin engine health state. Do not hard-code an overall engine-health score inside Model 3 unless that logic is explicitly part of the system design.</w:t>
      </w:r>
    </w:p>
    <w:p>
      <w:pPr>
        <w:pStyle w:val="Heading1"/>
      </w:pPr>
      <w:r>
        <w:t>13. Requirements</w:t>
      </w:r>
    </w:p>
    <w:p>
      <w:pPr>
        <w:spacing w:before="80" w:after="120"/>
      </w:pPr>
      <w:r>
        <w:rPr>
          <w:rFonts w:ascii="Consolas" w:hAnsi="Consolas"/>
          <w:sz w:val="18"/>
        </w:rPr>
        <w:t>fastapi</w:t>
        <w:br/>
        <w:t>uvicorn</w:t>
        <w:br/>
        <w:t>tensorflow</w:t>
        <w:br/>
        <w:t>numpy</w:t>
        <w:br/>
        <w:t>pydantic</w:t>
        <w:br/>
      </w:r>
    </w:p>
    <w:p>
      <w:r>
        <w:t>If preprocessing requires additional libraries, add the exact libraries used by the original Model 3 preprocessing pipeline. TensorFlow/Keras version compatibility should be tested with the supplied model file.</w:t>
      </w:r>
    </w:p>
    <w:p>
      <w:pPr>
        <w:pStyle w:val="Heading1"/>
      </w:pPr>
      <w:r>
        <w:t>14. Run the API</w:t>
      </w:r>
    </w:p>
    <w:p>
      <w:pPr>
        <w:spacing w:before="80" w:after="120"/>
      </w:pPr>
      <w:r>
        <w:rPr>
          <w:rFonts w:ascii="Consolas" w:hAnsi="Consolas"/>
          <w:sz w:val="18"/>
        </w:rPr>
        <w:t>uvicorn main:app --host 0.0.0.0 --port 8000</w:t>
      </w:r>
    </w:p>
    <w:p>
      <w:r>
        <w:t>Swagger documentation will be available at:</w:t>
      </w:r>
    </w:p>
    <w:p>
      <w:pPr>
        <w:spacing w:before="80" w:after="120"/>
      </w:pPr>
      <w:r>
        <w:rPr>
          <w:rFonts w:ascii="Consolas" w:hAnsi="Consolas"/>
          <w:sz w:val="18"/>
        </w:rPr>
        <w:t>http://localhost:8000/docs</w:t>
      </w:r>
    </w:p>
    <w:p>
      <w:pPr>
        <w:pStyle w:val="Heading1"/>
      </w:pPr>
      <w:r>
        <w:t>15. Backend Testing Checklist</w:t>
      </w:r>
    </w:p>
    <w:p>
      <w:r>
        <w:t>☐ Verify the model file loads successfully at application startup.</w:t>
      </w:r>
    </w:p>
    <w:p>
      <w:r>
        <w:t>☐ Verify class_names.json has exactly 10 classes.</w:t>
      </w:r>
    </w:p>
    <w:p>
      <w:r>
        <w:t>☐ Verify class index mapping matches the training-time mapping.</w:t>
      </w:r>
    </w:p>
    <w:p>
      <w:r>
        <w:t>☐ Verify a single input is transformed to shape (1, 32, 32, 1).</w:t>
      </w:r>
    </w:p>
    <w:p>
      <w:r>
        <w:t>☐ Verify the output probability vector has length 10.</w:t>
      </w:r>
    </w:p>
    <w:p>
      <w:r>
        <w:t>☐ Verify probabilities sum approximately to 1.0.</w:t>
      </w:r>
    </w:p>
    <w:p>
      <w:r>
        <w:t>☐ Run known test samples and compare API predictions with the original Model 3 inference script.</w:t>
      </w:r>
    </w:p>
    <w:p>
      <w:r>
        <w:t>☐ Test invalid matrix sizes and confirm FastAPI rejects/returns a clear validation error.</w:t>
      </w:r>
    </w:p>
    <w:p>
      <w:r>
        <w:t>☐ Test /health and /docs before connecting live AeroTwin data.</w:t>
      </w:r>
    </w:p>
    <w:p>
      <w:pPr>
        <w:pStyle w:val="Heading1"/>
      </w:pPr>
      <w:r>
        <w:t>16. Critical Integration Warning</w:t>
      </w:r>
    </w:p>
    <w:p>
      <w:r>
        <w:t>The most important part of Model 3 integration is not the FastAPI endpoint itself; it is reproducing the exact input representation used during training. The model was trained on 32×32 representations. If the backend creates those matrices differently from the training pipeline, prediction behavior can change even though the CNN model file is correct.</w:t>
      </w:r>
    </w:p>
    <w:p>
      <w:pPr>
        <w:pStyle w:val="Heading1"/>
      </w:pPr>
      <w:r>
        <w:t>17. Model 3 Scope</w:t>
      </w:r>
    </w:p>
    <w:tbl>
      <w:tblPr>
        <w:tblStyle w:val="TableGrid"/>
        <w:tblW w:type="auto" w:w="0"/>
        <w:tblLook w:firstColumn="1" w:firstRow="1" w:lastColumn="0" w:lastRow="0" w:noHBand="0" w:noVBand="1" w:val="04A0"/>
      </w:tblPr>
      <w:tblGrid>
        <w:gridCol w:w="5112"/>
        <w:gridCol w:w="5112"/>
      </w:tblGrid>
      <w:tr>
        <w:tc>
          <w:tcPr>
            <w:tcW w:type="dxa" w:w="5112"/>
            <w:shd w:fill="D9EAF7"/>
          </w:tcPr>
          <w:p>
            <w:r>
              <w:t>Model 3 does</w:t>
            </w:r>
          </w:p>
        </w:tc>
        <w:tc>
          <w:tcPr>
            <w:tcW w:type="dxa" w:w="5112"/>
            <w:shd w:fill="D9EAF7"/>
          </w:tcPr>
          <w:p>
            <w:r>
              <w:t>Model 3 does not</w:t>
            </w:r>
          </w:p>
        </w:tc>
      </w:tr>
      <w:tr>
        <w:tc>
          <w:tcPr>
            <w:tcW w:type="dxa" w:w="5112"/>
          </w:tcPr>
          <w:p>
            <w:r>
              <w:t>Classifies the supplied bearing/vibration representation</w:t>
            </w:r>
          </w:p>
        </w:tc>
        <w:tc>
          <w:tcPr>
            <w:tcW w:type="dxa" w:w="5112"/>
          </w:tcPr>
          <w:p>
            <w:r>
              <w:t>Calculate RUL</w:t>
            </w:r>
          </w:p>
        </w:tc>
      </w:tr>
      <w:tr>
        <w:tc>
          <w:tcPr>
            <w:tcW w:type="dxa" w:w="5112"/>
          </w:tcPr>
          <w:p>
            <w:r>
              <w:t>Produces a 10-class softmax probability distribution</w:t>
            </w:r>
          </w:p>
        </w:tc>
        <w:tc>
          <w:tcPr>
            <w:tcW w:type="dxa" w:w="5112"/>
          </w:tcPr>
          <w:p>
            <w:r>
              <w:t>Replace Model 4 machine-failure classification</w:t>
            </w:r>
          </w:p>
        </w:tc>
      </w:tr>
      <w:tr>
        <w:tc>
          <w:tcPr>
            <w:tcW w:type="dxa" w:w="5112"/>
          </w:tcPr>
          <w:p>
            <w:r>
              <w:t>Returns predicted bearing/fault class and confidence</w:t>
            </w:r>
          </w:p>
        </w:tc>
        <w:tc>
          <w:tcPr>
            <w:tcW w:type="dxa" w:w="5112"/>
          </w:tcPr>
          <w:p>
            <w:r>
              <w:t>Directly accept arbitrary UAV telemetry without preprocessing</w:t>
            </w:r>
          </w:p>
        </w:tc>
      </w:tr>
    </w:tbl>
    <w:p>
      <w:pPr>
        <w:pStyle w:val="Heading1"/>
      </w:pPr>
      <w:r>
        <w:t>18. Handoff to Backend Developer</w:t>
      </w:r>
    </w:p>
    <w:p>
      <w:r>
        <w:t>Send the backend developer this document together with the actual Model 3 model file and the class-label/preprocessing artifacts. The developer should not recreate or retrain the CNN. The task is to load the trained model, reproduce the required preprocessing, expose the inference endpoint, validate the request, and return the prediction in the agreed JSON format.</w:t>
      </w:r>
    </w:p>
    <w:p>
      <w:pPr>
        <w:jc w:val="center"/>
      </w:pPr>
      <w:r>
        <w:rPr>
          <w:b/>
        </w:rPr>
        <w:t>End of Model 3 FastAPI Backend Integration Guide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