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line="276" w:lineRule="auto"/>
        <w:jc w:val="center"/>
      </w:pPr>
      <w:r>
        <w:rPr>
          <w:rFonts w:ascii="Calibri" w:hAnsi="Calibri"/>
          <w:b/>
          <w:color w:val="1A365D"/>
          <w:sz w:val="52"/>
        </w:rPr>
        <w:t>NexusHR System Documentation</w:t>
      </w:r>
    </w:p>
    <w:p>
      <w:pPr>
        <w:spacing w:before="0" w:after="480" w:line="276" w:lineRule="auto"/>
        <w:jc w:val="center"/>
      </w:pPr>
      <w:r>
        <w:rPr>
          <w:rFonts w:ascii="Calibri" w:hAnsi="Calibri"/>
          <w:i/>
          <w:color w:val="4A5568"/>
          <w:sz w:val="28"/>
        </w:rPr>
        <w:t>Local Development Setup, Architecture and API Reference Guide</w:t>
      </w:r>
    </w:p>
    <w:p>
      <w:pPr>
        <w:spacing w:after="480"/>
        <w:jc w:val="center"/>
      </w:pPr>
      <w:r>
        <w:rPr>
          <w:color w:val="E2E8F0"/>
        </w:rPr>
        <w:t>____________________________________________________</w:t>
      </w:r>
    </w:p>
    <w:p>
      <w:pPr>
        <w:spacing w:before="240" w:after="120"/>
      </w:pPr>
      <w:r>
        <w:rPr>
          <w:b/>
          <w:color w:val="1A365D"/>
          <w:sz w:val="36"/>
        </w:rPr>
        <w:t>1. Project Overview</w:t>
      </w:r>
    </w:p>
    <w:p>
      <w:pPr>
        <w:spacing w:before="0" w:after="120" w:line="276" w:lineRule="auto"/>
      </w:pPr>
      <w:r>
        <w:t>NexusHR is a modern, enterprise-ready Human Resource Management System (HRMS) designed to streamline employee tracking, database operations, leave management, real-time communications, performance reviews, and salary tracking. Rebranded and upgraded from the SyncWork core engine, the application is divided into a robust backend API service and an interactive frontend dashboard user interface.</w:t>
      </w:r>
    </w:p>
    <w:p>
      <w:pPr>
        <w:spacing w:before="360" w:after="120"/>
      </w:pPr>
      <w:r>
        <w:rPr>
          <w:b/>
          <w:color w:val="1A365D"/>
          <w:sz w:val="36"/>
        </w:rPr>
        <w:t>2. System Architecture &amp; Tech Stack</w:t>
      </w:r>
    </w:p>
    <w:p>
      <w:pPr>
        <w:spacing w:before="0" w:after="120" w:line="276" w:lineRule="auto"/>
      </w:pPr>
      <w:r>
        <w:t>The platform is engineered using a decoupled client-server architecture model:</w:t>
      </w:r>
    </w:p>
    <w:p>
      <w:pPr>
        <w:pStyle w:val="ListBullet"/>
        <w:spacing w:before="0" w:after="120" w:line="276" w:lineRule="auto"/>
      </w:pPr>
      <w:r>
        <w:rPr>
          <w:b/>
        </w:rPr>
        <w:t xml:space="preserve">Backend Engine: </w:t>
      </w:r>
      <w:r>
        <w:t>Built on Java 17 and Spring Boot 3.3.0. It leverages Spring Security (with BCrypt password hashing), Spring Data JPA for data persistence, Tomcat as the embedded container, and Spring WebSockets (STOMP protocol) for real-time channels.</w:t>
      </w:r>
    </w:p>
    <w:p>
      <w:pPr>
        <w:pStyle w:val="ListBullet"/>
        <w:spacing w:before="0" w:after="120" w:line="276" w:lineRule="auto"/>
      </w:pPr>
      <w:r>
        <w:rPr>
          <w:b/>
        </w:rPr>
        <w:t xml:space="preserve">Frontend Interface: </w:t>
      </w:r>
      <w:r>
        <w:t>Built with React.js using TypeScript, styled using Tailwind CSS, and optimized using Vite. Communication with the backend is established via Axios HTTP calls and WebSocket protocols.</w:t>
      </w:r>
    </w:p>
    <w:p>
      <w:pPr>
        <w:pStyle w:val="ListBullet"/>
        <w:spacing w:before="0" w:after="120" w:line="276" w:lineRule="auto"/>
      </w:pPr>
      <w:r>
        <w:rPr>
          <w:b/>
        </w:rPr>
        <w:t xml:space="preserve">Database Layer: </w:t>
      </w:r>
      <w:r>
        <w:t>PostgreSQL 14+ is used as the relational database engine. Spring Data JPA with Hibernate automatically handles schema migration, table creation, and connection pooling via HikariCP.</w:t>
      </w:r>
    </w:p>
    <w:p>
      <w:pPr>
        <w:spacing w:before="360" w:after="120"/>
      </w:pPr>
      <w:r>
        <w:rPr>
          <w:b/>
          <w:color w:val="1A365D"/>
          <w:sz w:val="36"/>
        </w:rPr>
        <w:t>3. Local Port Mappings and Service Status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50" w:type="dxa"/>
              <w:right w:w="150" w:type="dxa"/>
            </w:tcMar>
          </w:tcPr>
          <w:p>
            <w:r>
              <w:rPr>
                <w:b/>
                <w:color w:val="FFFFFF"/>
              </w:rPr>
              <w:t>Component</w:t>
            </w:r>
          </w:p>
        </w:tc>
        <w:tc>
          <w:tcPr>
            <w:tcW w:type="dxa" w:w="2340"/>
            <w:shd w:fill="1A365D"/>
            <w:tcMar>
              <w:top w:w="100" w:type="dxa"/>
              <w:bottom w:w="100" w:type="dxa"/>
              <w:left w:w="150" w:type="dxa"/>
              <w:right w:w="150" w:type="dxa"/>
            </w:tcMar>
          </w:tcPr>
          <w:p>
            <w:r>
              <w:rPr>
                <w:b/>
                <w:color w:val="FFFFFF"/>
              </w:rPr>
              <w:t>Default Port</w:t>
            </w:r>
          </w:p>
        </w:tc>
        <w:tc>
          <w:tcPr>
            <w:tcW w:type="dxa" w:w="2340"/>
            <w:shd w:fill="1A365D"/>
            <w:tcMar>
              <w:top w:w="100" w:type="dxa"/>
              <w:bottom w:w="100" w:type="dxa"/>
              <w:left w:w="150" w:type="dxa"/>
              <w:right w:w="150" w:type="dxa"/>
            </w:tcMar>
          </w:tcPr>
          <w:p>
            <w:r>
              <w:rPr>
                <w:b/>
                <w:color w:val="FFFFFF"/>
              </w:rPr>
              <w:t>Protocol / Technology</w:t>
            </w:r>
          </w:p>
        </w:tc>
        <w:tc>
          <w:tcPr>
            <w:tcW w:type="dxa" w:w="2340"/>
            <w:shd w:fill="1A365D"/>
            <w:tcMar>
              <w:top w:w="100" w:type="dxa"/>
              <w:bottom w:w="100" w:type="dxa"/>
              <w:left w:w="150" w:type="dxa"/>
              <w:right w:w="150" w:type="dxa"/>
            </w:tcMar>
          </w:tcPr>
          <w:p>
            <w:r>
              <w:rPr>
                <w:b/>
                <w:color w:val="FFFFFF"/>
              </w:rPr>
              <w:t>Local Access Link</w:t>
            </w:r>
          </w:p>
        </w:tc>
      </w:tr>
      <w:tr>
        <w:tc>
          <w:tcPr>
            <w:tcW w:type="dxa" w:w="2340"/>
            <w:tcMar>
              <w:top w:w="100" w:type="dxa"/>
              <w:bottom w:w="100" w:type="dxa"/>
              <w:left w:w="150" w:type="dxa"/>
              <w:right w:w="150" w:type="dxa"/>
            </w:tcMar>
          </w:tcPr>
          <w:p>
            <w:r>
              <w:t>Database Service</w:t>
            </w:r>
          </w:p>
        </w:tc>
        <w:tc>
          <w:tcPr>
            <w:tcW w:type="dxa" w:w="2340"/>
            <w:tcMar>
              <w:top w:w="100" w:type="dxa"/>
              <w:bottom w:w="100" w:type="dxa"/>
              <w:left w:w="150" w:type="dxa"/>
              <w:right w:w="150" w:type="dxa"/>
            </w:tcMar>
          </w:tcPr>
          <w:p>
            <w:r>
              <w:t>5432</w:t>
            </w:r>
          </w:p>
        </w:tc>
        <w:tc>
          <w:tcPr>
            <w:tcW w:type="dxa" w:w="2340"/>
            <w:tcMar>
              <w:top w:w="100" w:type="dxa"/>
              <w:bottom w:w="100" w:type="dxa"/>
              <w:left w:w="150" w:type="dxa"/>
              <w:right w:w="150" w:type="dxa"/>
            </w:tcMar>
          </w:tcPr>
          <w:p>
            <w:r>
              <w:t>PostgreSQL Relational DB</w:t>
            </w:r>
          </w:p>
        </w:tc>
        <w:tc>
          <w:tcPr>
            <w:tcW w:type="dxa" w:w="2340"/>
            <w:tcMar>
              <w:top w:w="100" w:type="dxa"/>
              <w:bottom w:w="100" w:type="dxa"/>
              <w:left w:w="150" w:type="dxa"/>
              <w:right w:w="150" w:type="dxa"/>
            </w:tcMar>
          </w:tcPr>
          <w:p>
            <w:r>
              <w:t>localhost:5432</w:t>
            </w:r>
          </w:p>
        </w:tc>
      </w:tr>
      <w:tr>
        <w:tc>
          <w:tcPr>
            <w:tcW w:type="dxa" w:w="2340"/>
            <w:tcMar>
              <w:top w:w="100" w:type="dxa"/>
              <w:bottom w:w="100" w:type="dxa"/>
              <w:left w:w="150" w:type="dxa"/>
              <w:right w:w="150" w:type="dxa"/>
            </w:tcMar>
            <w:shd w:fill="F7FAFC"/>
          </w:tcPr>
          <w:p>
            <w:r>
              <w:t>Backend REST API</w:t>
            </w:r>
          </w:p>
        </w:tc>
        <w:tc>
          <w:tcPr>
            <w:tcW w:type="dxa" w:w="2340"/>
            <w:tcMar>
              <w:top w:w="100" w:type="dxa"/>
              <w:bottom w:w="100" w:type="dxa"/>
              <w:left w:w="150" w:type="dxa"/>
              <w:right w:w="150" w:type="dxa"/>
            </w:tcMar>
            <w:shd w:fill="F7FAFC"/>
          </w:tcPr>
          <w:p>
            <w:r>
              <w:t>8080</w:t>
            </w:r>
          </w:p>
        </w:tc>
        <w:tc>
          <w:tcPr>
            <w:tcW w:type="dxa" w:w="2340"/>
            <w:tcMar>
              <w:top w:w="100" w:type="dxa"/>
              <w:bottom w:w="100" w:type="dxa"/>
              <w:left w:w="150" w:type="dxa"/>
              <w:right w:w="150" w:type="dxa"/>
            </w:tcMar>
            <w:shd w:fill="F7FAFC"/>
          </w:tcPr>
          <w:p>
            <w:r>
              <w:t>Spring Boot / Embedded Tomcat</w:t>
            </w:r>
          </w:p>
        </w:tc>
        <w:tc>
          <w:tcPr>
            <w:tcW w:type="dxa" w:w="2340"/>
            <w:tcMar>
              <w:top w:w="100" w:type="dxa"/>
              <w:bottom w:w="100" w:type="dxa"/>
              <w:left w:w="150" w:type="dxa"/>
              <w:right w:w="150" w:type="dxa"/>
            </w:tcMar>
            <w:shd w:fill="F7FAFC"/>
          </w:tcPr>
          <w:p>
            <w:r>
              <w:t>http://localhost:8080/</w:t>
            </w:r>
          </w:p>
        </w:tc>
      </w:tr>
      <w:tr>
        <w:tc>
          <w:tcPr>
            <w:tcW w:type="dxa" w:w="2340"/>
            <w:tcMar>
              <w:top w:w="100" w:type="dxa"/>
              <w:bottom w:w="100" w:type="dxa"/>
              <w:left w:w="150" w:type="dxa"/>
              <w:right w:w="150" w:type="dxa"/>
            </w:tcMar>
          </w:tcPr>
          <w:p>
            <w:r>
              <w:t>Frontend Dev Server</w:t>
            </w:r>
          </w:p>
        </w:tc>
        <w:tc>
          <w:tcPr>
            <w:tcW w:type="dxa" w:w="2340"/>
            <w:tcMar>
              <w:top w:w="100" w:type="dxa"/>
              <w:bottom w:w="100" w:type="dxa"/>
              <w:left w:w="150" w:type="dxa"/>
              <w:right w:w="150" w:type="dxa"/>
            </w:tcMar>
          </w:tcPr>
          <w:p>
            <w:r>
              <w:t>5173</w:t>
            </w:r>
          </w:p>
        </w:tc>
        <w:tc>
          <w:tcPr>
            <w:tcW w:type="dxa" w:w="2340"/>
            <w:tcMar>
              <w:top w:w="100" w:type="dxa"/>
              <w:bottom w:w="100" w:type="dxa"/>
              <w:left w:w="150" w:type="dxa"/>
              <w:right w:w="150" w:type="dxa"/>
            </w:tcMar>
          </w:tcPr>
          <w:p>
            <w:r>
              <w:t>React.js / Vite Development Server</w:t>
            </w:r>
          </w:p>
        </w:tc>
        <w:tc>
          <w:tcPr>
            <w:tcW w:type="dxa" w:w="2340"/>
            <w:tcMar>
              <w:top w:w="100" w:type="dxa"/>
              <w:bottom w:w="100" w:type="dxa"/>
              <w:left w:w="150" w:type="dxa"/>
              <w:right w:w="150" w:type="dxa"/>
            </w:tcMar>
          </w:tcPr>
          <w:p>
            <w:r>
              <w:t>http://localhost:5173/</w:t>
            </w:r>
          </w:p>
        </w:tc>
      </w:tr>
    </w:tbl>
    <w:p>
      <w:pPr>
        <w:spacing w:after="240"/>
      </w:pPr>
    </w:p>
    <w:p>
      <w:pPr>
        <w:spacing w:before="360" w:after="120"/>
      </w:pPr>
      <w:r>
        <w:rPr>
          <w:b/>
          <w:color w:val="1A365D"/>
          <w:sz w:val="36"/>
        </w:rPr>
        <w:t>4. Database Schema &amp; Seeded Accounts</w:t>
      </w:r>
    </w:p>
    <w:p>
      <w:pPr>
        <w:spacing w:before="0" w:after="120" w:line="276" w:lineRule="auto"/>
      </w:pPr>
      <w:r>
        <w:t>Upon startup, Hibernate auto-generates the database tables. If the database is empty, the server automatically executes a seed operation to create three administrative accounts.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50" w:type="dxa"/>
              <w:right w:w="150" w:type="dxa"/>
            </w:tcMar>
          </w:tcPr>
          <w:p>
            <w:r>
              <w:rPr>
                <w:b/>
                <w:color w:val="FFFFFF"/>
              </w:rPr>
              <w:t>Full Name</w:t>
            </w:r>
          </w:p>
        </w:tc>
        <w:tc>
          <w:tcPr>
            <w:tcW w:type="dxa" w:w="2340"/>
            <w:shd w:fill="1A365D"/>
            <w:tcMar>
              <w:top w:w="100" w:type="dxa"/>
              <w:bottom w:w="100" w:type="dxa"/>
              <w:left w:w="150" w:type="dxa"/>
              <w:right w:w="150" w:type="dxa"/>
            </w:tcMar>
          </w:tcPr>
          <w:p>
            <w:r>
              <w:rPr>
                <w:b/>
                <w:color w:val="FFFFFF"/>
              </w:rPr>
              <w:t>Employee Code</w:t>
            </w:r>
          </w:p>
        </w:tc>
        <w:tc>
          <w:tcPr>
            <w:tcW w:type="dxa" w:w="2340"/>
            <w:shd w:fill="1A365D"/>
            <w:tcMar>
              <w:top w:w="100" w:type="dxa"/>
              <w:bottom w:w="100" w:type="dxa"/>
              <w:left w:w="150" w:type="dxa"/>
              <w:right w:w="150" w:type="dxa"/>
            </w:tcMar>
          </w:tcPr>
          <w:p>
            <w:r>
              <w:rPr>
                <w:b/>
                <w:color w:val="FFFFFF"/>
              </w:rPr>
              <w:t>Department</w:t>
            </w:r>
          </w:p>
        </w:tc>
        <w:tc>
          <w:tcPr>
            <w:tcW w:type="dxa" w:w="2340"/>
            <w:shd w:fill="1A365D"/>
            <w:tcMar>
              <w:top w:w="100" w:type="dxa"/>
              <w:bottom w:w="100" w:type="dxa"/>
              <w:left w:w="150" w:type="dxa"/>
              <w:right w:w="150" w:type="dxa"/>
            </w:tcMar>
          </w:tcPr>
          <w:p>
            <w:r>
              <w:rPr>
                <w:b/>
                <w:color w:val="FFFFFF"/>
              </w:rPr>
              <w:t>Primary Email</w:t>
            </w:r>
          </w:p>
        </w:tc>
      </w:tr>
      <w:tr>
        <w:tc>
          <w:tcPr>
            <w:tcW w:type="dxa" w:w="2340"/>
            <w:tcMar>
              <w:top w:w="100" w:type="dxa"/>
              <w:bottom w:w="100" w:type="dxa"/>
              <w:left w:w="150" w:type="dxa"/>
              <w:right w:w="150" w:type="dxa"/>
            </w:tcMar>
          </w:tcPr>
          <w:p>
            <w:r>
              <w:t>Sahil Sepat</w:t>
            </w:r>
          </w:p>
        </w:tc>
        <w:tc>
          <w:tcPr>
            <w:tcW w:type="dxa" w:w="2340"/>
            <w:tcMar>
              <w:top w:w="100" w:type="dxa"/>
              <w:bottom w:w="100" w:type="dxa"/>
              <w:left w:w="150" w:type="dxa"/>
              <w:right w:w="150" w:type="dxa"/>
            </w:tcMar>
          </w:tcPr>
          <w:p>
            <w:r>
              <w:t>SAHIL@NEXUSHR</w:t>
            </w:r>
          </w:p>
        </w:tc>
        <w:tc>
          <w:tcPr>
            <w:tcW w:type="dxa" w:w="2340"/>
            <w:tcMar>
              <w:top w:w="100" w:type="dxa"/>
              <w:bottom w:w="100" w:type="dxa"/>
              <w:left w:w="150" w:type="dxa"/>
              <w:right w:w="150" w:type="dxa"/>
            </w:tcMar>
          </w:tcPr>
          <w:p>
            <w:r>
              <w:t>ADMIN</w:t>
            </w:r>
          </w:p>
        </w:tc>
        <w:tc>
          <w:tcPr>
            <w:tcW w:type="dxa" w:w="2340"/>
            <w:tcMar>
              <w:top w:w="100" w:type="dxa"/>
              <w:bottom w:w="100" w:type="dxa"/>
              <w:left w:w="150" w:type="dxa"/>
              <w:right w:w="150" w:type="dxa"/>
            </w:tcMar>
          </w:tcPr>
          <w:p>
            <w:r>
              <w:t>sahil.sepat@nexushr.com</w:t>
            </w:r>
          </w:p>
        </w:tc>
      </w:tr>
      <w:tr>
        <w:tc>
          <w:tcPr>
            <w:tcW w:type="dxa" w:w="2340"/>
            <w:tcMar>
              <w:top w:w="100" w:type="dxa"/>
              <w:bottom w:w="100" w:type="dxa"/>
              <w:left w:w="150" w:type="dxa"/>
              <w:right w:w="150" w:type="dxa"/>
            </w:tcMar>
            <w:shd w:fill="F7FAFC"/>
          </w:tcPr>
          <w:p>
            <w:r>
              <w:t>Rudra Tiwari</w:t>
            </w:r>
          </w:p>
        </w:tc>
        <w:tc>
          <w:tcPr>
            <w:tcW w:type="dxa" w:w="2340"/>
            <w:tcMar>
              <w:top w:w="100" w:type="dxa"/>
              <w:bottom w:w="100" w:type="dxa"/>
              <w:left w:w="150" w:type="dxa"/>
              <w:right w:w="150" w:type="dxa"/>
            </w:tcMar>
            <w:shd w:fill="F7FAFC"/>
          </w:tcPr>
          <w:p>
            <w:r>
              <w:t>RUDRA@NEXUSHR</w:t>
            </w:r>
          </w:p>
        </w:tc>
        <w:tc>
          <w:tcPr>
            <w:tcW w:type="dxa" w:w="2340"/>
            <w:tcMar>
              <w:top w:w="100" w:type="dxa"/>
              <w:bottom w:w="100" w:type="dxa"/>
              <w:left w:w="150" w:type="dxa"/>
              <w:right w:w="150" w:type="dxa"/>
            </w:tcMar>
            <w:shd w:fill="F7FAFC"/>
          </w:tcPr>
          <w:p>
            <w:r>
              <w:t>ADMIN</w:t>
            </w:r>
          </w:p>
        </w:tc>
        <w:tc>
          <w:tcPr>
            <w:tcW w:type="dxa" w:w="2340"/>
            <w:tcMar>
              <w:top w:w="100" w:type="dxa"/>
              <w:bottom w:w="100" w:type="dxa"/>
              <w:left w:w="150" w:type="dxa"/>
              <w:right w:w="150" w:type="dxa"/>
            </w:tcMar>
            <w:shd w:fill="F7FAFC"/>
          </w:tcPr>
          <w:p>
            <w:r>
              <w:t>rudra.tiwari@nexushr.com</w:t>
            </w:r>
          </w:p>
        </w:tc>
      </w:tr>
      <w:tr>
        <w:tc>
          <w:tcPr>
            <w:tcW w:type="dxa" w:w="2340"/>
            <w:tcMar>
              <w:top w:w="100" w:type="dxa"/>
              <w:bottom w:w="100" w:type="dxa"/>
              <w:left w:w="150" w:type="dxa"/>
              <w:right w:w="150" w:type="dxa"/>
            </w:tcMar>
          </w:tcPr>
          <w:p>
            <w:r>
              <w:t>Aditi Gupta</w:t>
            </w:r>
          </w:p>
        </w:tc>
        <w:tc>
          <w:tcPr>
            <w:tcW w:type="dxa" w:w="2340"/>
            <w:tcMar>
              <w:top w:w="100" w:type="dxa"/>
              <w:bottom w:w="100" w:type="dxa"/>
              <w:left w:w="150" w:type="dxa"/>
              <w:right w:w="150" w:type="dxa"/>
            </w:tcMar>
          </w:tcPr>
          <w:p>
            <w:r>
              <w:t>ADITI@NEXUSHR</w:t>
            </w:r>
          </w:p>
        </w:tc>
        <w:tc>
          <w:tcPr>
            <w:tcW w:type="dxa" w:w="2340"/>
            <w:tcMar>
              <w:top w:w="100" w:type="dxa"/>
              <w:bottom w:w="100" w:type="dxa"/>
              <w:left w:w="150" w:type="dxa"/>
              <w:right w:w="150" w:type="dxa"/>
            </w:tcMar>
          </w:tcPr>
          <w:p>
            <w:r>
              <w:t>ADMIN</w:t>
            </w:r>
          </w:p>
        </w:tc>
        <w:tc>
          <w:tcPr>
            <w:tcW w:type="dxa" w:w="2340"/>
            <w:tcMar>
              <w:top w:w="100" w:type="dxa"/>
              <w:bottom w:w="100" w:type="dxa"/>
              <w:left w:w="150" w:type="dxa"/>
              <w:right w:w="150" w:type="dxa"/>
            </w:tcMar>
          </w:tcPr>
          <w:p>
            <w:r>
              <w:t>aditi.gupta@nexushr.com</w:t>
            </w:r>
          </w:p>
        </w:tc>
      </w:tr>
    </w:tbl>
    <w:p>
      <w:pPr>
        <w:spacing w:after="240"/>
      </w:pPr>
    </w:p>
    <w:p>
      <w:pPr>
        <w:spacing w:before="360" w:after="120"/>
      </w:pPr>
      <w:r>
        <w:rPr>
          <w:b/>
          <w:color w:val="1A365D"/>
          <w:sz w:val="36"/>
        </w:rPr>
        <w:t>5. Core REST API Endpoint Reference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50" w:type="dxa"/>
              <w:right w:w="150" w:type="dxa"/>
            </w:tcMar>
          </w:tcPr>
          <w:p>
            <w:r>
              <w:rPr>
                <w:b/>
                <w:color w:val="FFFFFF"/>
              </w:rPr>
              <w:t>Method</w:t>
            </w:r>
          </w:p>
        </w:tc>
        <w:tc>
          <w:tcPr>
            <w:tcW w:type="dxa" w:w="2340"/>
            <w:shd w:fill="1A365D"/>
            <w:tcMar>
              <w:top w:w="100" w:type="dxa"/>
              <w:bottom w:w="100" w:type="dxa"/>
              <w:left w:w="150" w:type="dxa"/>
              <w:right w:w="150" w:type="dxa"/>
            </w:tcMar>
          </w:tcPr>
          <w:p>
            <w:r>
              <w:rPr>
                <w:b/>
                <w:color w:val="FFFFFF"/>
              </w:rPr>
              <w:t>Endpoint Path</w:t>
            </w:r>
          </w:p>
        </w:tc>
        <w:tc>
          <w:tcPr>
            <w:tcW w:type="dxa" w:w="2340"/>
            <w:shd w:fill="1A365D"/>
            <w:tcMar>
              <w:top w:w="100" w:type="dxa"/>
              <w:bottom w:w="100" w:type="dxa"/>
              <w:left w:w="150" w:type="dxa"/>
              <w:right w:w="150" w:type="dxa"/>
            </w:tcMar>
          </w:tcPr>
          <w:p>
            <w:r>
              <w:rPr>
                <w:b/>
                <w:color w:val="FFFFFF"/>
              </w:rPr>
              <w:t>Description / Behavior</w:t>
            </w:r>
          </w:p>
        </w:tc>
        <w:tc>
          <w:tcPr>
            <w:tcW w:type="dxa" w:w="2340"/>
            <w:shd w:fill="1A365D"/>
            <w:tcMar>
              <w:top w:w="100" w:type="dxa"/>
              <w:bottom w:w="100" w:type="dxa"/>
              <w:left w:w="150" w:type="dxa"/>
              <w:right w:w="150" w:type="dxa"/>
            </w:tcMar>
          </w:tcPr>
          <w:p>
            <w:r>
              <w:rPr>
                <w:b/>
                <w:color w:val="FFFFFF"/>
              </w:rPr>
              <w:t>Body / Payload Example</w:t>
            </w:r>
          </w:p>
        </w:tc>
      </w:tr>
      <w:tr>
        <w:tc>
          <w:tcPr>
            <w:tcW w:type="dxa" w:w="2340"/>
            <w:tcMar>
              <w:top w:w="100" w:type="dxa"/>
              <w:bottom w:w="100" w:type="dxa"/>
              <w:left w:w="150" w:type="dxa"/>
              <w:right w:w="150" w:type="dxa"/>
            </w:tcMar>
          </w:tcPr>
          <w:p>
            <w:r>
              <w:rPr>
                <w:b/>
                <w:color w:val="319795"/>
              </w:rPr>
              <w:t>POST</w:t>
            </w:r>
          </w:p>
        </w:tc>
        <w:tc>
          <w:tcPr>
            <w:tcW w:type="dxa" w:w="2340"/>
            <w:tcMar>
              <w:top w:w="100" w:type="dxa"/>
              <w:bottom w:w="100" w:type="dxa"/>
              <w:left w:w="150" w:type="dxa"/>
              <w:right w:w="150" w:type="dxa"/>
            </w:tcMar>
          </w:tcPr>
          <w:p>
            <w:r>
              <w:t>/api/employees</w:t>
            </w:r>
          </w:p>
        </w:tc>
        <w:tc>
          <w:tcPr>
            <w:tcW w:type="dxa" w:w="2340"/>
            <w:tcMar>
              <w:top w:w="100" w:type="dxa"/>
              <w:bottom w:w="100" w:type="dxa"/>
              <w:left w:w="150" w:type="dxa"/>
              <w:right w:w="150" w:type="dxa"/>
            </w:tcMar>
          </w:tcPr>
          <w:p>
            <w:r>
              <w:t>Add new employee. Generates random password &amp; triggers async welcome email.</w:t>
            </w:r>
          </w:p>
        </w:tc>
        <w:tc>
          <w:tcPr>
            <w:tcW w:type="dxa" w:w="2340"/>
            <w:tcMar>
              <w:top w:w="100" w:type="dxa"/>
              <w:bottom w:w="100" w:type="dxa"/>
              <w:left w:w="150" w:type="dxa"/>
              <w:right w:w="150" w:type="dxa"/>
            </w:tcMar>
          </w:tcPr>
          <w:p>
            <w:r>
              <w:t>{"name": "John", "empCode": "JOHN@NEXUSHR", "email": "john@example.com", "role": "USER", "department": "IT", "ctc": 80000.0}</w:t>
            </w:r>
          </w:p>
        </w:tc>
      </w:tr>
      <w:tr>
        <w:tc>
          <w:tcPr>
            <w:tcW w:type="dxa" w:w="2340"/>
            <w:tcMar>
              <w:top w:w="100" w:type="dxa"/>
              <w:bottom w:w="100" w:type="dxa"/>
              <w:left w:w="150" w:type="dxa"/>
              <w:right w:w="150" w:type="dxa"/>
            </w:tcMar>
            <w:shd w:fill="F7FAFC"/>
          </w:tcPr>
          <w:p>
            <w:r>
              <w:rPr>
                <w:b/>
                <w:color w:val="2B6CB0"/>
              </w:rPr>
              <w:t>GET</w:t>
            </w:r>
          </w:p>
        </w:tc>
        <w:tc>
          <w:tcPr>
            <w:tcW w:type="dxa" w:w="2340"/>
            <w:tcMar>
              <w:top w:w="100" w:type="dxa"/>
              <w:bottom w:w="100" w:type="dxa"/>
              <w:left w:w="150" w:type="dxa"/>
              <w:right w:w="150" w:type="dxa"/>
            </w:tcMar>
            <w:shd w:fill="F7FAFC"/>
          </w:tcPr>
          <w:p>
            <w:r>
              <w:t>/api/employees</w:t>
            </w:r>
          </w:p>
        </w:tc>
        <w:tc>
          <w:tcPr>
            <w:tcW w:type="dxa" w:w="2340"/>
            <w:tcMar>
              <w:top w:w="100" w:type="dxa"/>
              <w:bottom w:w="100" w:type="dxa"/>
              <w:left w:w="150" w:type="dxa"/>
              <w:right w:w="150" w:type="dxa"/>
            </w:tcMar>
            <w:shd w:fill="F7FAFC"/>
          </w:tcPr>
          <w:p>
            <w:r>
              <w:t>Retrieve full list of all employees in database.</w:t>
            </w:r>
          </w:p>
        </w:tc>
        <w:tc>
          <w:tcPr>
            <w:tcW w:type="dxa" w:w="2340"/>
            <w:tcMar>
              <w:top w:w="100" w:type="dxa"/>
              <w:bottom w:w="100" w:type="dxa"/>
              <w:left w:w="150" w:type="dxa"/>
              <w:right w:w="150" w:type="dxa"/>
            </w:tcMar>
            <w:shd w:fill="F7FAFC"/>
          </w:tcPr>
          <w:p>
            <w:r>
              <w:t>N/A (Query String parameter allowed)</w:t>
            </w:r>
          </w:p>
        </w:tc>
      </w:tr>
      <w:tr>
        <w:tc>
          <w:tcPr>
            <w:tcW w:type="dxa" w:w="2340"/>
            <w:tcMar>
              <w:top w:w="100" w:type="dxa"/>
              <w:bottom w:w="100" w:type="dxa"/>
              <w:left w:w="150" w:type="dxa"/>
              <w:right w:w="150" w:type="dxa"/>
            </w:tcMar>
          </w:tcPr>
          <w:p>
            <w:r>
              <w:rPr>
                <w:b/>
                <w:color w:val="2B6CB0"/>
              </w:rPr>
              <w:t>GET</w:t>
            </w:r>
          </w:p>
        </w:tc>
        <w:tc>
          <w:tcPr>
            <w:tcW w:type="dxa" w:w="2340"/>
            <w:tcMar>
              <w:top w:w="100" w:type="dxa"/>
              <w:bottom w:w="100" w:type="dxa"/>
              <w:left w:w="150" w:type="dxa"/>
              <w:right w:w="150" w:type="dxa"/>
            </w:tcMar>
          </w:tcPr>
          <w:p>
            <w:r>
              <w:t>/api/employees/code/{empCode}</w:t>
            </w:r>
          </w:p>
        </w:tc>
        <w:tc>
          <w:tcPr>
            <w:tcW w:type="dxa" w:w="2340"/>
            <w:tcMar>
              <w:top w:w="100" w:type="dxa"/>
              <w:bottom w:w="100" w:type="dxa"/>
              <w:left w:w="150" w:type="dxa"/>
              <w:right w:w="150" w:type="dxa"/>
            </w:tcMar>
          </w:tcPr>
          <w:p>
            <w:r>
              <w:t>Retrieve employee details using employee code.</w:t>
            </w:r>
          </w:p>
        </w:tc>
        <w:tc>
          <w:tcPr>
            <w:tcW w:type="dxa" w:w="2340"/>
            <w:tcMar>
              <w:top w:w="100" w:type="dxa"/>
              <w:bottom w:w="100" w:type="dxa"/>
              <w:left w:w="150" w:type="dxa"/>
              <w:right w:w="150" w:type="dxa"/>
            </w:tcMar>
          </w:tcPr>
          <w:p>
            <w:r>
              <w:t>N/A</w:t>
            </w:r>
          </w:p>
        </w:tc>
      </w:tr>
      <w:tr>
        <w:tc>
          <w:tcPr>
            <w:tcW w:type="dxa" w:w="2340"/>
            <w:tcMar>
              <w:top w:w="100" w:type="dxa"/>
              <w:bottom w:w="100" w:type="dxa"/>
              <w:left w:w="150" w:type="dxa"/>
              <w:right w:w="150" w:type="dxa"/>
            </w:tcMar>
            <w:shd w:fill="F7FAFC"/>
          </w:tcPr>
          <w:p>
            <w:r>
              <w:rPr>
                <w:b/>
                <w:color w:val="319795"/>
              </w:rPr>
              <w:t>POST</w:t>
            </w:r>
          </w:p>
        </w:tc>
        <w:tc>
          <w:tcPr>
            <w:tcW w:type="dxa" w:w="2340"/>
            <w:tcMar>
              <w:top w:w="100" w:type="dxa"/>
              <w:bottom w:w="100" w:type="dxa"/>
              <w:left w:w="150" w:type="dxa"/>
              <w:right w:w="150" w:type="dxa"/>
            </w:tcMar>
            <w:shd w:fill="F7FAFC"/>
          </w:tcPr>
          <w:p>
            <w:r>
              <w:t>/api/employees/change-password</w:t>
            </w:r>
          </w:p>
        </w:tc>
        <w:tc>
          <w:tcPr>
            <w:tcW w:type="dxa" w:w="2340"/>
            <w:tcMar>
              <w:top w:w="100" w:type="dxa"/>
              <w:bottom w:w="100" w:type="dxa"/>
              <w:left w:w="150" w:type="dxa"/>
              <w:right w:w="150" w:type="dxa"/>
            </w:tcMar>
            <w:shd w:fill="F7FAFC"/>
          </w:tcPr>
          <w:p>
            <w:r>
              <w:t>Allows a user to change their login password.</w:t>
            </w:r>
          </w:p>
        </w:tc>
        <w:tc>
          <w:tcPr>
            <w:tcW w:type="dxa" w:w="2340"/>
            <w:tcMar>
              <w:top w:w="100" w:type="dxa"/>
              <w:bottom w:w="100" w:type="dxa"/>
              <w:left w:w="150" w:type="dxa"/>
              <w:right w:w="150" w:type="dxa"/>
            </w:tcMar>
            <w:shd w:fill="F7FAFC"/>
          </w:tcPr>
          <w:p>
            <w:r>
              <w:t>{"empCode": "SAHIL@NEXUSHR", "oldPassword": "...", "newPassword": "..."}</w:t>
            </w:r>
          </w:p>
        </w:tc>
      </w:tr>
      <w:tr>
        <w:tc>
          <w:tcPr>
            <w:tcW w:type="dxa" w:w="2340"/>
            <w:tcMar>
              <w:top w:w="100" w:type="dxa"/>
              <w:bottom w:w="100" w:type="dxa"/>
              <w:left w:w="150" w:type="dxa"/>
              <w:right w:w="150" w:type="dxa"/>
            </w:tcMar>
          </w:tcPr>
          <w:p>
            <w:r>
              <w:rPr>
                <w:b/>
                <w:color w:val="DD6B20"/>
              </w:rPr>
              <w:t>PUT</w:t>
            </w:r>
          </w:p>
        </w:tc>
        <w:tc>
          <w:tcPr>
            <w:tcW w:type="dxa" w:w="2340"/>
            <w:tcMar>
              <w:top w:w="100" w:type="dxa"/>
              <w:bottom w:w="100" w:type="dxa"/>
              <w:left w:w="150" w:type="dxa"/>
              <w:right w:w="150" w:type="dxa"/>
            </w:tcMar>
          </w:tcPr>
          <w:p>
            <w:r>
              <w:t>/api/employees/{id}/ctc</w:t>
            </w:r>
          </w:p>
        </w:tc>
        <w:tc>
          <w:tcPr>
            <w:tcW w:type="dxa" w:w="2340"/>
            <w:tcMar>
              <w:top w:w="100" w:type="dxa"/>
              <w:bottom w:w="100" w:type="dxa"/>
              <w:left w:w="150" w:type="dxa"/>
              <w:right w:w="150" w:type="dxa"/>
            </w:tcMar>
          </w:tcPr>
          <w:p>
            <w:r>
              <w:t>Updates the CTC amount for an employee record.</w:t>
            </w:r>
          </w:p>
        </w:tc>
        <w:tc>
          <w:tcPr>
            <w:tcW w:type="dxa" w:w="2340"/>
            <w:tcMar>
              <w:top w:w="100" w:type="dxa"/>
              <w:bottom w:w="100" w:type="dxa"/>
              <w:left w:w="150" w:type="dxa"/>
              <w:right w:w="150" w:type="dxa"/>
            </w:tcMar>
          </w:tcPr>
          <w:p>
            <w:r>
              <w:t>Request Body: Double numeric value (e.g. 95000.00)</w:t>
            </w:r>
          </w:p>
        </w:tc>
      </w:tr>
      <w:tr>
        <w:tc>
          <w:tcPr>
            <w:tcW w:type="dxa" w:w="2340"/>
            <w:tcMar>
              <w:top w:w="100" w:type="dxa"/>
              <w:bottom w:w="100" w:type="dxa"/>
              <w:left w:w="150" w:type="dxa"/>
              <w:right w:w="150" w:type="dxa"/>
            </w:tcMar>
            <w:shd w:fill="F7FAFC"/>
          </w:tcPr>
          <w:p>
            <w:r>
              <w:rPr>
                <w:b/>
                <w:color w:val="DD6B20"/>
              </w:rPr>
              <w:t>DELETE</w:t>
            </w:r>
          </w:p>
        </w:tc>
        <w:tc>
          <w:tcPr>
            <w:tcW w:type="dxa" w:w="2340"/>
            <w:tcMar>
              <w:top w:w="100" w:type="dxa"/>
              <w:bottom w:w="100" w:type="dxa"/>
              <w:left w:w="150" w:type="dxa"/>
              <w:right w:w="150" w:type="dxa"/>
            </w:tcMar>
            <w:shd w:fill="F7FAFC"/>
          </w:tcPr>
          <w:p>
            <w:r>
              <w:t>/api/employees/{id}</w:t>
            </w:r>
          </w:p>
        </w:tc>
        <w:tc>
          <w:tcPr>
            <w:tcW w:type="dxa" w:w="2340"/>
            <w:tcMar>
              <w:top w:w="100" w:type="dxa"/>
              <w:bottom w:w="100" w:type="dxa"/>
              <w:left w:w="150" w:type="dxa"/>
              <w:right w:w="150" w:type="dxa"/>
            </w:tcMar>
            <w:shd w:fill="F7FAFC"/>
          </w:tcPr>
          <w:p>
            <w:r>
              <w:t>Delete an employee and cascade deletes associated tasks, leave records, and attendance data.</w:t>
            </w:r>
          </w:p>
        </w:tc>
        <w:tc>
          <w:tcPr>
            <w:tcW w:type="dxa" w:w="2340"/>
            <w:tcMar>
              <w:top w:w="100" w:type="dxa"/>
              <w:bottom w:w="100" w:type="dxa"/>
              <w:left w:w="150" w:type="dxa"/>
              <w:right w:w="150" w:type="dxa"/>
            </w:tcMar>
            <w:shd w:fill="F7FAFC"/>
          </w:tcPr>
          <w:p>
            <w:r>
              <w:t>N/A</w:t>
            </w:r>
          </w:p>
        </w:tc>
      </w:tr>
    </w:tbl>
    <w:p>
      <w:pPr>
        <w:spacing w:after="240"/>
      </w:pPr>
    </w:p>
    <w:p>
      <w:pPr>
        <w:spacing w:before="360" w:after="120"/>
      </w:pPr>
      <w:r>
        <w:rPr>
          <w:b/>
          <w:color w:val="1A365D"/>
          <w:sz w:val="36"/>
        </w:rPr>
        <w:t>6. Automated Infrastructure Scripting</w:t>
      </w:r>
    </w:p>
    <w:p>
      <w:pPr>
        <w:spacing w:before="0" w:after="120" w:line="276" w:lineRule="auto"/>
      </w:pPr>
      <w:r>
        <w:t>Three main bash utility scripts have been written to ensure automated local installation:</w:t>
      </w:r>
    </w:p>
    <w:p>
      <w:pPr>
        <w:pStyle w:val="ListBullet"/>
        <w:spacing w:before="0" w:after="120" w:line="276" w:lineRule="auto"/>
      </w:pPr>
      <w:r>
        <w:rPr>
          <w:b/>
        </w:rPr>
        <w:t xml:space="preserve">setup_postgres.sh: </w:t>
      </w:r>
      <w:r>
        <w:t>Installs PostgreSQL, configures the database service daemon, changes the 'postgres' superuser password to 'postgres', and checks/creates the 'nexushr' schema.</w:t>
      </w:r>
    </w:p>
    <w:p>
      <w:pPr>
        <w:pStyle w:val="ListBullet"/>
        <w:spacing w:before="0" w:after="120" w:line="276" w:lineRule="auto"/>
      </w:pPr>
      <w:r>
        <w:rPr>
          <w:b/>
        </w:rPr>
        <w:t xml:space="preserve">setup_env.sh: </w:t>
      </w:r>
      <w:r>
        <w:t>Verifies system properties, installs OpenJDK 17 and Maven, downloads local Node.js v22 binaries, extracts them to the project root, and configures matching local paths.</w:t>
      </w:r>
    </w:p>
    <w:p>
      <w:pPr>
        <w:pStyle w:val="ListBullet"/>
        <w:spacing w:before="0" w:after="120" w:line="276" w:lineRule="auto"/>
      </w:pPr>
      <w:r>
        <w:rPr>
          <w:b/>
        </w:rPr>
        <w:t xml:space="preserve">run_local.sh: </w:t>
      </w:r>
      <w:r>
        <w:t>The launcher script. Automatically checks and binds local node paths, ensures that frontend dependencies ('node_modules') are pre-installed via NPM if missing, launches the Maven Spring Boot daemon in the background (logs in backend.log), and starts the Vite development server in the foreground.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