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36"/>
          <w:szCs w:val="36"/>
        </w:rPr>
        <w:t xml:space="preserve">Project Update</w:t>
      </w:r>
    </w:p>
    <w:p>
      <w:pPr>
        <w:spacing w:after="60"/>
        <w:jc w:val="center"/>
      </w:pPr>
      <w:r>
        <w:rPr>
          <w:b/>
          <w:bCs/>
          <w:sz w:val="26"/>
          <w:szCs w:val="26"/>
        </w:rPr>
        <w:t xml:space="preserve">Self-Supervised + Semi-Supervised Learning for Tomato Disease Classification</w:t>
      </w:r>
    </w:p>
    <w:p>
      <w:pPr>
        <w:spacing w:after="480"/>
        <w:jc w:val="center"/>
      </w:pPr>
      <w:r>
        <w:rPr>
          <w:i/>
          <w:iCs/>
          <w:color w:val="555555"/>
          <w:sz w:val="22"/>
          <w:szCs w:val="22"/>
        </w:rPr>
        <w:t xml:space="preserve">Summary of work to date — for advisor review</w:t>
      </w:r>
    </w:p>
    <w:p>
      <w:pPr>
        <w:spacing w:after="160"/>
      </w:pPr>
      <w:r>
        <w:t xml:space="preserve">This is a summary of everything I've done so far on the tomato disease classification project. I've written it as a single readable update rather than a formal report, so you can go through it in one sitting and understand where things stand. There are a few findings near the end — particularly about data leakage in a recently published paper — that I think are worth your attention because they may shape how we frame our own paper.</w:t>
      </w:r>
    </w:p>
    <w:p>
      <w:pPr>
        <w:spacing w:after="160"/>
      </w:pPr>
      <w:r>
        <w:t xml:space="preserve">I'll walk through what I built, what worked, what didn't, and what I'd recommend doing next.</w:t>
      </w:r>
    </w:p>
    <w:p>
      <w:pPr>
        <w:pStyle w:val="Heading1"/>
      </w:pPr>
      <w:r>
        <w:t xml:space="preserve">1. Where the project started</w:t>
      </w:r>
    </w:p>
    <w:p>
      <w:pPr>
        <w:spacing w:after="160"/>
      </w:pPr>
      <w:r>
        <w:t xml:space="preserve">The basic idea was to test whether combining two well-known techniques — SimCLR (self-supervised pretraining) and MixMatch (semi-supervised fine-tuning) — would produce a stronger classifier than either method alone, especially when we only have a small fraction of labeled data.</w:t>
      </w:r>
    </w:p>
    <w:p>
      <w:pPr>
        <w:spacing w:after="160"/>
      </w:pPr>
      <w:r>
        <w:t xml:space="preserve">SimCLR learns useful visual features from unlabeled images by training the model to recognize that two augmented versions of the same image should produce similar feature vectors. MixMatch uses both labeled and unlabeled data during training, generating pseudo-labels for the unlabeled images and treating them as additional supervision. Both methods have been around for several years and both have proven track records. The hypothesis was that stacking them should help — pretrain with SimCLR on the unlabeled images, then fine-tune the whole thing with MixMatch.</w:t>
      </w:r>
    </w:p>
    <w:p>
      <w:pPr>
        <w:spacing w:after="160"/>
      </w:pPr>
      <w:r>
        <w:t xml:space="preserve">The dataset I used for the main experiments is the tomato subset of PlantVillage: 16,011 leaf images across 10 disease classes.</w:t>
      </w:r>
    </w:p>
    <w:p>
      <w:pPr>
        <w:pStyle w:val="Heading1"/>
      </w:pPr>
      <w:r>
        <w:t xml:space="preserve">2. The methods I tested</w:t>
      </w:r>
    </w:p>
    <w:p>
      <w:pPr>
        <w:spacing w:after="160"/>
      </w:pPr>
      <w:r>
        <w:t xml:space="preserve">Throughout the project I've trained four main models, plus several experimental variants. Here's what each one does in plain language:</w:t>
      </w:r>
    </w:p>
    <w:p>
      <w:pPr>
        <w:pStyle w:val="ListParagraph"/>
        <w:numPr>
          <w:ilvl w:val="0"/>
          <w:numId w:val="2"/>
        </w:numPr>
        <w:spacing w:after="80"/>
      </w:pPr>
      <w:r>
        <w:rPr>
          <w:b/>
          <w:bCs/>
        </w:rPr>
        <w:t xml:space="preserve">B1 — Supervised: </w:t>
      </w:r>
      <w:r>
        <w:t xml:space="preserve">A standard ResNet-18 starting from ImageNet pretrained weights, trained only on the labeled portion of the data. This is the basic baseline — no fancy tricks.</w:t>
      </w:r>
    </w:p>
    <w:p>
      <w:pPr>
        <w:pStyle w:val="ListParagraph"/>
        <w:numPr>
          <w:ilvl w:val="0"/>
          <w:numId w:val="2"/>
        </w:numPr>
        <w:spacing w:after="80"/>
      </w:pPr>
      <w:r>
        <w:rPr>
          <w:b/>
          <w:bCs/>
        </w:rPr>
        <w:t xml:space="preserve">B3 — SimCLR + Fine-tune: </w:t>
      </w:r>
      <w:r>
        <w:t xml:space="preserve">Take a SimCLR-pretrained encoder, attach a classifier on top, then fine-tune the whole thing on the labeled data. Tests whether SimCLR features actually help.</w:t>
      </w:r>
    </w:p>
    <w:p>
      <w:pPr>
        <w:pStyle w:val="ListParagraph"/>
        <w:numPr>
          <w:ilvl w:val="0"/>
          <w:numId w:val="2"/>
        </w:numPr>
        <w:spacing w:after="80"/>
      </w:pPr>
      <w:r>
        <w:rPr>
          <w:b/>
          <w:bCs/>
        </w:rPr>
        <w:t xml:space="preserve">B4 — MixMatch: </w:t>
      </w:r>
      <w:r>
        <w:t xml:space="preserve">Standard MixMatch training starting from ImageNet weights, using both labeled and unlabeled data. Tests whether the semi-supervised mechanism helps on its own.</w:t>
      </w:r>
    </w:p>
    <w:p>
      <w:pPr>
        <w:pStyle w:val="ListParagraph"/>
        <w:numPr>
          <w:ilvl w:val="0"/>
          <w:numId w:val="2"/>
        </w:numPr>
        <w:spacing w:after="80"/>
      </w:pPr>
      <w:r>
        <w:rPr>
          <w:b/>
          <w:bCs/>
        </w:rPr>
        <w:t xml:space="preserve">B5 — Hybrid (SimCLR + MixMatch): </w:t>
      </w:r>
      <w:r>
        <w:t xml:space="preserve">SimCLR pretrained encoder + MixMatch training. The combination we set out to study.</w:t>
      </w:r>
    </w:p>
    <w:p>
      <w:pPr>
        <w:spacing w:after="160"/>
      </w:pPr>
      <w:r>
        <w:t xml:space="preserve">All four use the same ResNet-18 backbone, the same data split, the same random seed, and the same hyperparameters (K=2 augmentations for MixMatch, sharpening temperature 0.5, MixUp α=0.75, λ_u=1.0, 30 epochs). I kept everything constant so that any difference in results would come from the method itself, not from incidental tuning.</w:t>
      </w:r>
    </w:p>
    <w:p>
      <w:pPr>
        <w:pStyle w:val="Heading1"/>
      </w:pPr>
      <w:r>
        <w:t xml:space="preserve">3. The main experiment: how methods scale with labeled data</w:t>
      </w:r>
    </w:p>
    <w:p>
      <w:pPr>
        <w:spacing w:after="160"/>
      </w:pPr>
      <w:r>
        <w:t xml:space="preserve">To see where each method shines, I tested all four at four different label fractions: 1%, 10%, 30%, and 50% labeled. The rest of the data was used as unlabeled. Here's what came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c>
          <w:tcPr>
            <w:tcW w:type="dxa" w:w="306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left"/>
            </w:pPr>
            <w:r>
              <w:rPr>
                <w:b/>
                <w:bCs/>
                <w:sz w:val="20"/>
                <w:szCs w:val="20"/>
              </w:rPr>
              <w:t xml:space="preserve">Method</w:t>
            </w:r>
          </w:p>
        </w:tc>
        <w:tc>
          <w:tcPr>
            <w:tcW w:type="dxa" w:w="1575"/>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1% labels</w:t>
            </w:r>
          </w:p>
        </w:tc>
        <w:tc>
          <w:tcPr>
            <w:tcW w:type="dxa" w:w="1575"/>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10% labels</w:t>
            </w:r>
          </w:p>
        </w:tc>
        <w:tc>
          <w:tcPr>
            <w:tcW w:type="dxa" w:w="1575"/>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30% labels</w:t>
            </w:r>
          </w:p>
        </w:tc>
        <w:tc>
          <w:tcPr>
            <w:tcW w:type="dxa" w:w="1575"/>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50% labels</w:t>
            </w:r>
          </w:p>
        </w:tc>
      </w:tr>
      <w:tr>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B1 — Supervised</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76.96%</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95.30%</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98.75%</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98.94%</w:t>
            </w:r>
          </w:p>
        </w:tc>
      </w:tr>
      <w:tr>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B3 — SimCLR + Fine-tune</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84.47%</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97.68%</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99.69%</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99.37%</w:t>
            </w:r>
          </w:p>
        </w:tc>
      </w:tr>
      <w:tr>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B4 — MixMatch</w:t>
            </w:r>
          </w:p>
        </w:tc>
        <w:tc>
          <w:tcPr>
            <w:tcW w:type="dxa" w:w="1575"/>
            <w:tcBorders>
              <w:top w:val="single" w:color="BBBBBB" w:sz="1"/>
              <w:left w:val="single" w:color="BBBBBB" w:sz="1"/>
              <w:bottom w:val="single" w:color="BBBBBB" w:sz="1"/>
              <w:right w:val="single" w:color="BBBBBB" w:sz="1"/>
            </w:tcBorders>
            <w:shd w:fill="E7F5E7" w:val="clear"/>
            <w:tcMar>
              <w:top w:type="dxa" w:w="80"/>
              <w:left w:type="dxa" w:w="120"/>
              <w:bottom w:type="dxa" w:w="80"/>
              <w:right w:type="dxa" w:w="120"/>
            </w:tcMar>
          </w:tcPr>
          <w:p>
            <w:pPr>
              <w:jc w:val="center"/>
            </w:pPr>
            <w:r>
              <w:rPr>
                <w:b w:val="false"/>
                <w:bCs w:val="false"/>
                <w:sz w:val="20"/>
                <w:szCs w:val="20"/>
              </w:rPr>
              <w:t xml:space="preserve">86.47%</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97.75%</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99.56%</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99.44%</w:t>
            </w:r>
          </w:p>
        </w:tc>
      </w:tr>
      <w:tr>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B5 — SimCLR + MixMatch</w:t>
            </w:r>
          </w:p>
        </w:tc>
        <w:tc>
          <w:tcPr>
            <w:tcW w:type="dxa" w:w="1575"/>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82.16%</w:t>
            </w:r>
          </w:p>
        </w:tc>
        <w:tc>
          <w:tcPr>
            <w:tcW w:type="dxa" w:w="1575"/>
            <w:tcBorders>
              <w:top w:val="single" w:color="BBBBBB" w:sz="1"/>
              <w:left w:val="single" w:color="BBBBBB" w:sz="1"/>
              <w:bottom w:val="single" w:color="BBBBBB" w:sz="1"/>
              <w:right w:val="single" w:color="BBBBBB" w:sz="1"/>
            </w:tcBorders>
            <w:shd w:fill="E7F5E7" w:val="clear"/>
            <w:tcMar>
              <w:top w:type="dxa" w:w="80"/>
              <w:left w:type="dxa" w:w="120"/>
              <w:bottom w:type="dxa" w:w="80"/>
              <w:right w:type="dxa" w:w="120"/>
            </w:tcMar>
          </w:tcPr>
          <w:p>
            <w:pPr>
              <w:jc w:val="center"/>
            </w:pPr>
            <w:r>
              <w:rPr>
                <w:b w:val="false"/>
                <w:bCs w:val="false"/>
                <w:sz w:val="20"/>
                <w:szCs w:val="20"/>
              </w:rPr>
              <w:t xml:space="preserve">98.00%</w:t>
            </w:r>
          </w:p>
        </w:tc>
        <w:tc>
          <w:tcPr>
            <w:tcW w:type="dxa" w:w="1575"/>
            <w:tcBorders>
              <w:top w:val="single" w:color="BBBBBB" w:sz="1"/>
              <w:left w:val="single" w:color="BBBBBB" w:sz="1"/>
              <w:bottom w:val="single" w:color="BBBBBB" w:sz="1"/>
              <w:right w:val="single" w:color="BBBBBB" w:sz="1"/>
            </w:tcBorders>
            <w:shd w:fill="E7F5E7" w:val="clear"/>
            <w:tcMar>
              <w:top w:type="dxa" w:w="80"/>
              <w:left w:type="dxa" w:w="120"/>
              <w:bottom w:type="dxa" w:w="80"/>
              <w:right w:type="dxa" w:w="120"/>
            </w:tcMar>
          </w:tcPr>
          <w:p>
            <w:pPr>
              <w:jc w:val="center"/>
            </w:pPr>
            <w:r>
              <w:rPr>
                <w:b w:val="false"/>
                <w:bCs w:val="false"/>
                <w:sz w:val="20"/>
                <w:szCs w:val="20"/>
              </w:rPr>
              <w:t xml:space="preserve">99.75%</w:t>
            </w:r>
          </w:p>
        </w:tc>
        <w:tc>
          <w:tcPr>
            <w:tcW w:type="dxa" w:w="1575"/>
            <w:tcBorders>
              <w:top w:val="single" w:color="BBBBBB" w:sz="1"/>
              <w:left w:val="single" w:color="BBBBBB" w:sz="1"/>
              <w:bottom w:val="single" w:color="BBBBBB" w:sz="1"/>
              <w:right w:val="single" w:color="BBBBBB" w:sz="1"/>
            </w:tcBorders>
            <w:shd w:fill="E7F5E7" w:val="clear"/>
            <w:tcMar>
              <w:top w:type="dxa" w:w="80"/>
              <w:left w:type="dxa" w:w="120"/>
              <w:bottom w:type="dxa" w:w="80"/>
              <w:right w:type="dxa" w:w="120"/>
            </w:tcMar>
          </w:tcPr>
          <w:p>
            <w:pPr>
              <w:jc w:val="center"/>
            </w:pPr>
            <w:r>
              <w:rPr>
                <w:b w:val="false"/>
                <w:bCs w:val="false"/>
                <w:sz w:val="20"/>
                <w:szCs w:val="20"/>
              </w:rPr>
              <w:t xml:space="preserve">99.56%</w:t>
            </w:r>
          </w:p>
        </w:tc>
      </w:tr>
    </w:tbl>
    <w:p>
      <w:pPr>
        <w:spacing w:after="120"/>
      </w:pPr>
      <w:r>
        <w:t xml:space="preserve"/>
      </w:r>
    </w:p>
    <w:p>
      <w:pPr>
        <w:spacing w:after="160"/>
      </w:pPr>
      <w:r>
        <w:t xml:space="preserve">The interesting pattern is that the "best" method depends on how much labeled data is available. At 1% labels (only 164 labeled images out of 16,000), MixMatch alone (B4) wins. The hybrid (B5) actually performs worse than MixMatch alone — by about 4 points. But at 10%, 30%, and 50% labels, the hybrid takes over and stays in the lead, although the margins shrink as the dataset saturates near the ceiling.</w:t>
      </w:r>
    </w:p>
    <w:p>
      <w:pPr>
        <w:spacing w:after="160"/>
      </w:pPr>
      <w:r>
        <w:rPr>
          <w:b/>
          <w:bCs/>
        </w:rPr>
        <w:t xml:space="preserve">Why does the hybrid underperform at 1%? </w:t>
      </w:r>
      <w:r>
        <w:t xml:space="preserve">After diagnosing this carefully, I believe it's because MixMatch's pseudo-label gradients are noisy, and with only 164 labeled images, the supervised signal isn't strong enough to keep the encoder anchored to SimCLR's carefully-learned features. The encoder drifts, and the result is worse than just using MixMatch from ImageNet weights. At higher label counts, the supervised signal is strong enough to stabilize things, and the SimCLR features pay off.</w:t>
      </w:r>
    </w:p>
    <w:p>
      <w:r>
        <w:br w:type="page"/>
      </w:r>
    </w:p>
    <w:p>
      <w:pPr>
        <w:pStyle w:val="Heading1"/>
      </w:pPr>
      <w:r>
        <w:t xml:space="preserve">4. The GEPS attempt (and why it didn't work)</w:t>
      </w:r>
    </w:p>
    <w:p>
      <w:pPr>
        <w:spacing w:after="160"/>
      </w:pPr>
      <w:r>
        <w:t xml:space="preserve">Once I identified the 1%-label failure of the hybrid, I tried to fix it. I proposed a method called GEPS (Geometry-Enhanced Pseudo-labeling) which would use SimCLR's geometric structure — its embedding space, where similar leaves cluster together — to produce better pseudo-labels for MixMatch.</w:t>
      </w:r>
    </w:p>
    <w:p>
      <w:pPr>
        <w:spacing w:after="160"/>
      </w:pPr>
      <w:r>
        <w:t xml:space="preserve">Over several iterations I tried five different versions of GEPS: agreement-weighted blending, frozen geometry plus distillation (two variants), an annealed prior, and a confidence-filtered hard label. To be straight with you: none of them worked. They all landed within about 1 point of the failing baseline (around 82% at 1% labels).</w:t>
      </w:r>
    </w:p>
    <w:p>
      <w:pPr>
        <w:spacing w:after="160"/>
      </w:pPr>
      <w:r>
        <w:t xml:space="preserve">After analyzing the dynamics, I figured out why. Two things were happening:</w:t>
      </w:r>
    </w:p>
    <w:p>
      <w:pPr>
        <w:pStyle w:val="ListParagraph"/>
        <w:numPr>
          <w:ilvl w:val="0"/>
          <w:numId w:val="2"/>
        </w:numPr>
        <w:spacing w:after="80"/>
      </w:pPr>
      <w:r>
        <w:t xml:space="preserve">The classifier inside MixMatch rapidly learns to match SimCLR's geometric structure on its own — within about 10 epochs the two are essentially in agreement. So explicitly providing the geometry as supervision doesn't add anything new; it's information the classifier was going to find anyway.</w:t>
      </w:r>
    </w:p>
    <w:p>
      <w:pPr>
        <w:pStyle w:val="ListParagraph"/>
        <w:numPr>
          <w:ilvl w:val="0"/>
          <w:numId w:val="2"/>
        </w:numPr>
        <w:spacing w:after="80"/>
      </w:pPr>
      <w:r>
        <w:t xml:space="preserve">The geometric pseudo-labels are confidently wrong for several minority classes. Early blight only had 10 labeled anchors at 1%, and the geometric pseudo-label was only 37% accurate on that class — but it was highly confident in its wrong answers, which then poisoned the training.</w:t>
      </w:r>
    </w:p>
    <w:p>
      <w:pPr>
        <w:spacing w:after="160"/>
      </w:pPr>
      <w:r>
        <w:t xml:space="preserve">Even though GEPS didn't beat the baseline, the diagnostic work explains why low-label hybrid composition fails in a fundamental way. That itself is a publishable result, and I included it in the report I sent earlier.</w:t>
      </w:r>
    </w:p>
    <w:p>
      <w:pPr>
        <w:spacing w:after="160"/>
      </w:pPr>
      <w:r>
        <w:t xml:space="preserve">One specific bug worth mentioning: in the middle of testing GEPS, my Colab runtime disconnected. When I reloaded the SimCLR encoder, I set its parameters to non-trainable so I could use it as a fixed reference for geometric pseudo-labels. But because I built subsequent models using copy.deepcopy from this reference, the frozen flag silently propagated through to every new GEPS variant. The result was that four GEPS experiments "failed" in essentially identical ways — but the issue was that only the 5,000-parameter classifier was actually training, while the 11 million-parameter encoder was frozen. Once I diagnosed this and fixed it, the variants ran healthily but still didn't beat the baseline. I mention this because it cost me about four hours and is a useful cautionary tale: when results regress across all variants after an environment change, suspect the environment first.</w:t>
      </w:r>
    </w:p>
    <w:p>
      <w:pPr>
        <w:pStyle w:val="Heading1"/>
      </w:pPr>
      <w:r>
        <w:t xml:space="preserve">5. Bringing in a second dataset for validation</w:t>
      </w:r>
    </w:p>
    <w:p>
      <w:pPr>
        <w:spacing w:after="160"/>
      </w:pPr>
      <w:r>
        <w:t xml:space="preserve">To make sure the regime-dependent finding wasn't just a quirk of PlantVillage, you suggested validating on the Taiwan tomato dataset used in the recently published TOM-SSL paper (AgriEngineering, August 2025).</w:t>
      </w:r>
    </w:p>
    <w:p>
      <w:pPr>
        <w:spacing w:after="160"/>
      </w:pPr>
      <w:r>
        <w:t xml:space="preserve">The Taiwan dataset has two variants available on Mendeley:</w:t>
      </w:r>
    </w:p>
    <w:p>
      <w:pPr>
        <w:pStyle w:val="ListParagraph"/>
        <w:numPr>
          <w:ilvl w:val="0"/>
          <w:numId w:val="2"/>
        </w:numPr>
        <w:spacing w:after="80"/>
      </w:pPr>
      <w:r>
        <w:rPr>
          <w:b/>
          <w:bCs/>
        </w:rPr>
        <w:t xml:space="preserve">Preprocessed: </w:t>
      </w:r>
      <w:r>
        <w:t xml:space="preserve">622 original photographs across 6 disease classes (Bacterial spot, Black mold, Gray spot, Late blight, healthy, Powdery mildew).</w:t>
      </w:r>
    </w:p>
    <w:p>
      <w:pPr>
        <w:pStyle w:val="ListParagraph"/>
        <w:numPr>
          <w:ilvl w:val="0"/>
          <w:numId w:val="2"/>
        </w:numPr>
        <w:spacing w:after="80"/>
      </w:pPr>
      <w:r>
        <w:rPr>
          <w:b/>
          <w:bCs/>
        </w:rPr>
        <w:t xml:space="preserve">Augmented: </w:t>
      </w:r>
      <w:r>
        <w:t xml:space="preserve">4,976 images, which are the originals plus their offline-augmented copies (rotated, mirrored, brightness-adjusted). About 4-8 copies per original.</w:t>
      </w:r>
    </w:p>
    <w:p>
      <w:pPr>
        <w:spacing w:after="160"/>
      </w:pPr>
      <w:r>
        <w:t xml:space="preserve">I ran the same four methods on both variants at 10% labels. The results matter for two different reasons — the preprocessed variant tells us whether the regime story transfers to another dataset, and the augmented variant lets us compare directly with the TOM-SSL paper's reported numbers.</w:t>
      </w:r>
    </w:p>
    <w:p>
      <w:pPr>
        <w:spacing w:after="160"/>
      </w:pPr>
      <w:r>
        <w:t xml:space="preserve">Here are the single-seed (seed=42) results across all three Taiwan setups I 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left"/>
            </w:pPr>
            <w:r>
              <w:rPr>
                <w:b/>
                <w:bCs/>
                <w:sz w:val="20"/>
                <w:szCs w:val="20"/>
              </w:rPr>
              <w:t xml:space="preserve">Method</w:t>
            </w:r>
          </w:p>
        </w:tc>
        <w:tc>
          <w:tcPr>
            <w:tcW w:type="dxa" w:w="232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Preprocessed
(622 images)</w:t>
            </w:r>
          </w:p>
        </w:tc>
        <w:tc>
          <w:tcPr>
            <w:tcW w:type="dxa" w:w="232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Aug + Naive split
(4,976 images)</w:t>
            </w:r>
          </w:p>
        </w:tc>
        <w:tc>
          <w:tcPr>
            <w:tcW w:type="dxa" w:w="232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Aug + Grouped split
(4,976 images, leak-free)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B1 — Supervised</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51.5% / 48.3%</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83.0% / 80.1%</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65.1% / 61.0%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B3 — SimCLR + FT</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57.6% / 53.5%</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83.2% / 81.5%</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62.1% / 60.4%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B4 — MixMatch</w:t>
            </w:r>
          </w:p>
        </w:tc>
        <w:tc>
          <w:tcPr>
            <w:tcW w:type="dxa" w:w="2320"/>
            <w:tcBorders>
              <w:top w:val="single" w:color="BBBBBB" w:sz="1"/>
              <w:left w:val="single" w:color="BBBBBB" w:sz="1"/>
              <w:bottom w:val="single" w:color="BBBBBB" w:sz="1"/>
              <w:right w:val="single" w:color="BBBBBB" w:sz="1"/>
            </w:tcBorders>
            <w:shd w:fill="E7F5E7" w:val="clear"/>
            <w:tcMar>
              <w:top w:type="dxa" w:w="80"/>
              <w:left w:type="dxa" w:w="120"/>
              <w:bottom w:type="dxa" w:w="80"/>
              <w:right w:type="dxa" w:w="120"/>
            </w:tcMar>
          </w:tcPr>
          <w:p>
            <w:pPr>
              <w:jc w:val="center"/>
            </w:pPr>
            <w:r>
              <w:rPr>
                <w:b w:val="false"/>
                <w:bCs w:val="false"/>
                <w:sz w:val="20"/>
                <w:szCs w:val="20"/>
              </w:rPr>
              <w:t xml:space="preserve">59.1% / 58.0%</w:t>
            </w:r>
          </w:p>
        </w:tc>
        <w:tc>
          <w:tcPr>
            <w:tcW w:type="dxa" w:w="2320"/>
            <w:tcBorders>
              <w:top w:val="single" w:color="BBBBBB" w:sz="1"/>
              <w:left w:val="single" w:color="BBBBBB" w:sz="1"/>
              <w:bottom w:val="single" w:color="BBBBBB" w:sz="1"/>
              <w:right w:val="single" w:color="BBBBBB" w:sz="1"/>
            </w:tcBorders>
            <w:shd w:fill="E7F5E7" w:val="clear"/>
            <w:tcMar>
              <w:top w:type="dxa" w:w="80"/>
              <w:left w:type="dxa" w:w="120"/>
              <w:bottom w:type="dxa" w:w="80"/>
              <w:right w:type="dxa" w:w="120"/>
            </w:tcMar>
          </w:tcPr>
          <w:p>
            <w:pPr>
              <w:jc w:val="center"/>
            </w:pPr>
            <w:r>
              <w:rPr>
                <w:b w:val="false"/>
                <w:bCs w:val="false"/>
                <w:sz w:val="20"/>
                <w:szCs w:val="20"/>
              </w:rPr>
              <w:t xml:space="preserve">87.1% / 85.4%</w:t>
            </w:r>
          </w:p>
        </w:tc>
        <w:tc>
          <w:tcPr>
            <w:tcW w:type="dxa" w:w="2320"/>
            <w:tcBorders>
              <w:top w:val="single" w:color="BBBBBB" w:sz="1"/>
              <w:left w:val="single" w:color="BBBBBB" w:sz="1"/>
              <w:bottom w:val="single" w:color="BBBBBB" w:sz="1"/>
              <w:right w:val="single" w:color="BBBBBB" w:sz="1"/>
            </w:tcBorders>
            <w:shd w:fill="E7F5E7" w:val="clear"/>
            <w:tcMar>
              <w:top w:type="dxa" w:w="80"/>
              <w:left w:type="dxa" w:w="120"/>
              <w:bottom w:type="dxa" w:w="80"/>
              <w:right w:type="dxa" w:w="120"/>
            </w:tcMar>
          </w:tcPr>
          <w:p>
            <w:pPr>
              <w:jc w:val="center"/>
            </w:pPr>
            <w:r>
              <w:rPr>
                <w:b w:val="false"/>
                <w:bCs w:val="false"/>
                <w:sz w:val="20"/>
                <w:szCs w:val="20"/>
              </w:rPr>
              <w:t xml:space="preserve">73.2% / 68.9%</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B5 — SimCLR + MixMatch</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56.1% / 51.0%</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83.4% / 81.0%</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64.1% / 61.7%</w:t>
            </w:r>
          </w:p>
        </w:tc>
      </w:tr>
    </w:tbl>
    <w:p>
      <w:pPr>
        <w:spacing w:after="120"/>
      </w:pPr>
      <w:r>
        <w:t xml:space="preserve"/>
      </w:r>
    </w:p>
    <w:p>
      <w:pPr>
        <w:spacing w:after="160"/>
      </w:pPr>
      <w:r>
        <w:t xml:space="preserve">Two things to notice. First, B4 MixMatch wins all three Taiwan setups — same pattern as PlantVillage 1%. The regime story holds on a different dataset. Second, the numbers shift dramatically depending on which protocol we use. The augmented + naive split gives 80-87% accuracy. The augmented + grouped split — same data, same code, only the split differs — drops everything by roughly 15-20 points. That gap is where the next finding came from.</w:t>
      </w:r>
    </w:p>
    <w:p>
      <w:r>
        <w:br w:type="page"/>
      </w:r>
    </w:p>
    <w:p>
      <w:pPr>
        <w:pStyle w:val="Heading1"/>
      </w:pPr>
      <w:r>
        <w:t xml:space="preserve">6. The leakage finding</w:t>
      </w:r>
    </w:p>
    <w:p>
      <w:pPr>
        <w:spacing w:after="160"/>
      </w:pPr>
      <w:r>
        <w:rPr>
          <w:b/>
          <w:bCs/>
        </w:rPr>
        <w:t xml:space="preserve">This is the most surprising thing I found during the project, and I think it's worth a careful read.</w:t>
      </w:r>
    </w:p>
    <w:p>
      <w:pPr>
        <w:spacing w:after="160"/>
      </w:pPr>
      <w:r>
        <w:t xml:space="preserve">The TOM-SSL paper reports 70.87% accuracy on the augmented Taiwan dataset at 10% labels. Their protocol: randomly sample 10% of the 4,976 augmented images as labeled, take another 10% as validation, and use the rest as unlabeled. The sampling is done at the image level — every augmented file is treated as an independent sample.</w:t>
      </w:r>
    </w:p>
    <w:p>
      <w:pPr>
        <w:spacing w:after="160"/>
      </w:pPr>
      <w:r>
        <w:t xml:space="preserve">The problem is that the augmented dataset isn't really 4,976 independent images. It's roughly 1,146 unique source images, each with 4-8 augmented copies (rotated, mirrored, brightened). If you randomly sample at the image level, augmented copies of the same source leaf get scattered into different splits. So `Bs100.jpg` (the original) might end up in the labeled training set, while `Bs100_mirror.jpg` and `Bs100_change_90.jpg` end up in the validation set. The model sees Bs100 during training and then "validates" on what is essentially the same leaf with a flip applied. That's not testing generalization — it's testing whether the model can recognize an image it has already memorized.</w:t>
      </w:r>
    </w:p>
    <w:p>
      <w:pPr>
        <w:spacing w:after="160"/>
      </w:pPr>
      <w:r>
        <w:rPr>
          <w:b/>
          <w:bCs/>
        </w:rPr>
        <w:t xml:space="preserve">I measured this directly. </w:t>
      </w:r>
      <w:r>
        <w:t xml:space="preserve">At 10% labels with seed 42, 39.2% of the validation source-IDs had a sibling sitting in the training set. About two out of every five validation images had a near-duplicate the model had already seen.</w:t>
      </w:r>
    </w:p>
    <w:p>
      <w:pPr>
        <w:pStyle w:val="Heading2"/>
      </w:pPr>
      <w:r>
        <w:t xml:space="preserve">How I fixed it</w:t>
      </w:r>
    </w:p>
    <w:p>
      <w:pPr>
        <w:spacing w:after="160"/>
      </w:pPr>
      <w:r>
        <w:t xml:space="preserve">I introduced a different splitting protocol called source-grouped stratified split. The idea is straightforward: instead of treating each image file as the unit of sampling, treat the source image as the unit. All augmented copies of one source must stay in the same split — either all in training, all in validation, or all in unlabeled. They cannot be separated.</w:t>
      </w:r>
    </w:p>
    <w:p>
      <w:pPr>
        <w:spacing w:after="160"/>
      </w:pPr>
      <w:r>
        <w:t xml:space="preserve">To implement this, I extract a source identifier from each filename using a regular expression. The filenames follow a predictable pattern: `Bs100.jpg`, `Bs100_mirror.jpg`, `Bs100_change_90.jpg`, `Bs100_lower.jpg`, and so on, all map to the same source ID `Bs100`. The augmentation suffix is discarded for grouping purposes. The splitting algorithm then walks through source IDs in random order and assigns each whole group to a split based on the running count of images. This guarantees zero overlap by construction — when the leakage diagnostic ran on the grouped split, it returned 0 every time.</w:t>
      </w:r>
    </w:p>
    <w:p>
      <w:pPr>
        <w:spacing w:after="160"/>
      </w:pPr>
      <w:r>
        <w:t xml:space="preserve">Note that this principle isn't novel — it's standard practice in medical imaging (patient-level splits), face recognition (subject-level splits), and scikit-learn even has built-in functions for it (GroupKFold, GroupShuffleSplit). It's just often skipped in agricultural-vision papers because the datasets are small and researchers don't want to lose effective sample size.</w:t>
      </w:r>
    </w:p>
    <w:p>
      <w:pPr>
        <w:pStyle w:val="Heading2"/>
      </w:pPr>
      <w:r>
        <w:t xml:space="preserve">How big is the leakage effect?</w:t>
      </w:r>
    </w:p>
    <w:p>
      <w:pPr>
        <w:spacing w:after="160"/>
      </w:pPr>
      <w:r>
        <w:t xml:space="preserve">To measure this rigorously, I ran the same four methods under both protocols with three random seeds. That gives 24 trainings total. Same code, same data, same hyperparameters — only the split protocol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left"/>
            </w:pPr>
            <w:r>
              <w:rPr>
                <w:b/>
                <w:bCs/>
                <w:sz w:val="20"/>
                <w:szCs w:val="20"/>
              </w:rPr>
              <w:t xml:space="preserve">Method</w:t>
            </w:r>
          </w:p>
        </w:tc>
        <w:tc>
          <w:tcPr>
            <w:tcW w:type="dxa" w:w="222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Naive (Acc)
mean ± std</w:t>
            </w:r>
          </w:p>
        </w:tc>
        <w:tc>
          <w:tcPr>
            <w:tcW w:type="dxa" w:w="222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Grouped (Acc)
mean ± std</w:t>
            </w:r>
          </w:p>
        </w:tc>
        <w:tc>
          <w:tcPr>
            <w:tcW w:type="dxa" w:w="2220"/>
            <w:tcBorders>
              <w:top w:val="single" w:color="BBBBBB" w:sz="1"/>
              <w:left w:val="single" w:color="BBBBBB" w:sz="1"/>
              <w:bottom w:val="single" w:color="BBBBBB" w:sz="1"/>
              <w:right w:val="single" w:color="BBBBBB" w:sz="1"/>
            </w:tcBorders>
            <w:shd w:fill="EAF2F8" w:val="clear"/>
            <w:tcMar>
              <w:top w:type="dxa" w:w="80"/>
              <w:left w:type="dxa" w:w="120"/>
              <w:bottom w:type="dxa" w:w="80"/>
              <w:right w:type="dxa" w:w="120"/>
            </w:tcMar>
          </w:tcPr>
          <w:p>
            <w:pPr>
              <w:jc w:val="center"/>
            </w:pPr>
            <w:r>
              <w:rPr>
                <w:b/>
                <w:bCs/>
                <w:sz w:val="20"/>
                <w:szCs w:val="20"/>
              </w:rPr>
              <w:t xml:space="preserve">Leakage Δ
(naive – grouped)</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B1 — Supervised</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81.5 ± 1.9</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66.7 ± 2.3</w:t>
            </w:r>
          </w:p>
        </w:tc>
        <w:tc>
          <w:tcPr>
            <w:tcW w:type="dxa" w:w="2220"/>
            <w:tcBorders>
              <w:top w:val="single" w:color="BBBBBB" w:sz="1"/>
              <w:left w:val="single" w:color="BBBBBB" w:sz="1"/>
              <w:bottom w:val="single" w:color="BBBBBB" w:sz="1"/>
              <w:right w:val="single" w:color="BBBBBB" w:sz="1"/>
            </w:tcBorders>
            <w:shd w:fill="FFF8DC" w:val="clear"/>
            <w:tcMar>
              <w:top w:type="dxa" w:w="80"/>
              <w:left w:type="dxa" w:w="120"/>
              <w:bottom w:type="dxa" w:w="80"/>
              <w:right w:type="dxa" w:w="120"/>
            </w:tcMar>
          </w:tcPr>
          <w:p>
            <w:pPr>
              <w:jc w:val="center"/>
            </w:pPr>
            <w:r>
              <w:rPr>
                <w:b w:val="false"/>
                <w:bCs w:val="false"/>
                <w:sz w:val="20"/>
                <w:szCs w:val="20"/>
              </w:rPr>
              <w:t xml:space="preserve">+14.8 ± 4.2</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B3 — SimCLR + FT</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83.0 ± 2.6</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64.9 ± 2.8</w:t>
            </w:r>
          </w:p>
        </w:tc>
        <w:tc>
          <w:tcPr>
            <w:tcW w:type="dxa" w:w="2220"/>
            <w:tcBorders>
              <w:top w:val="single" w:color="BBBBBB" w:sz="1"/>
              <w:left w:val="single" w:color="BBBBBB" w:sz="1"/>
              <w:bottom w:val="single" w:color="BBBBBB" w:sz="1"/>
              <w:right w:val="single" w:color="BBBBBB" w:sz="1"/>
            </w:tcBorders>
            <w:shd w:fill="FFF8DC" w:val="clear"/>
            <w:tcMar>
              <w:top w:type="dxa" w:w="80"/>
              <w:left w:type="dxa" w:w="120"/>
              <w:bottom w:type="dxa" w:w="80"/>
              <w:right w:type="dxa" w:w="120"/>
            </w:tcMar>
          </w:tcPr>
          <w:p>
            <w:pPr>
              <w:jc w:val="center"/>
            </w:pPr>
            <w:r>
              <w:rPr>
                <w:b w:val="false"/>
                <w:bCs w:val="false"/>
                <w:sz w:val="20"/>
                <w:szCs w:val="20"/>
              </w:rPr>
              <w:t xml:space="preserve">+18.0 ± 4.9</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B4 — MixMatch</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84.7 ± 3.1</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72.0 ± 1.4</w:t>
            </w:r>
          </w:p>
        </w:tc>
        <w:tc>
          <w:tcPr>
            <w:tcW w:type="dxa" w:w="2220"/>
            <w:tcBorders>
              <w:top w:val="single" w:color="BBBBBB" w:sz="1"/>
              <w:left w:val="single" w:color="BBBBBB" w:sz="1"/>
              <w:bottom w:val="single" w:color="BBBBBB" w:sz="1"/>
              <w:right w:val="single" w:color="BBBBBB" w:sz="1"/>
            </w:tcBorders>
            <w:shd w:fill="FFF8DC" w:val="clear"/>
            <w:tcMar>
              <w:top w:type="dxa" w:w="80"/>
              <w:left w:type="dxa" w:w="120"/>
              <w:bottom w:type="dxa" w:w="80"/>
              <w:right w:type="dxa" w:w="120"/>
            </w:tcMar>
          </w:tcPr>
          <w:p>
            <w:pPr>
              <w:jc w:val="center"/>
            </w:pPr>
            <w:r>
              <w:rPr>
                <w:b w:val="false"/>
                <w:bCs w:val="false"/>
                <w:sz w:val="20"/>
                <w:szCs w:val="20"/>
              </w:rPr>
              <w:t xml:space="preserve">+12.6 ± 3.4</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B5 — SimCLR + MixMatch</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82.6 ± 2.3</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65.8 ± 2.3</w:t>
            </w:r>
          </w:p>
        </w:tc>
        <w:tc>
          <w:tcPr>
            <w:tcW w:type="dxa" w:w="2220"/>
            <w:tcBorders>
              <w:top w:val="single" w:color="BBBBBB" w:sz="1"/>
              <w:left w:val="single" w:color="BBBBBB" w:sz="1"/>
              <w:bottom w:val="single" w:color="BBBBBB" w:sz="1"/>
              <w:right w:val="single" w:color="BBBBBB" w:sz="1"/>
            </w:tcBorders>
            <w:shd w:fill="FFF8DC" w:val="clear"/>
            <w:tcMar>
              <w:top w:type="dxa" w:w="80"/>
              <w:left w:type="dxa" w:w="120"/>
              <w:bottom w:type="dxa" w:w="80"/>
              <w:right w:type="dxa" w:w="120"/>
            </w:tcMar>
          </w:tcPr>
          <w:p>
            <w:pPr>
              <w:jc w:val="center"/>
            </w:pPr>
            <w:r>
              <w:rPr>
                <w:b w:val="false"/>
                <w:bCs w:val="false"/>
                <w:sz w:val="20"/>
                <w:szCs w:val="20"/>
              </w:rPr>
              <w:t xml:space="preserve">+16.8 ± 4.5</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bCs/>
                <w:sz w:val="20"/>
                <w:szCs w:val="20"/>
              </w:rPr>
              <w:t xml:space="preserve">Overall (12 runs)</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w:t>
            </w:r>
          </w:p>
        </w:tc>
        <w:tc>
          <w:tcPr>
            <w:tcW w:type="dxa" w:w="22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b w:val="false"/>
                <w:bCs w:val="false"/>
                <w:sz w:val="20"/>
                <w:szCs w:val="20"/>
              </w:rPr>
              <w:t xml:space="preserve">—</w:t>
            </w:r>
          </w:p>
        </w:tc>
        <w:tc>
          <w:tcPr>
            <w:tcW w:type="dxa" w:w="2220"/>
            <w:tcBorders>
              <w:top w:val="single" w:color="BBBBBB" w:sz="1"/>
              <w:left w:val="single" w:color="BBBBBB" w:sz="1"/>
              <w:bottom w:val="single" w:color="BBBBBB" w:sz="1"/>
              <w:right w:val="single" w:color="BBBBBB" w:sz="1"/>
            </w:tcBorders>
            <w:shd w:fill="FBE9E7" w:val="clear"/>
            <w:tcMar>
              <w:top w:type="dxa" w:w="80"/>
              <w:left w:type="dxa" w:w="120"/>
              <w:bottom w:type="dxa" w:w="80"/>
              <w:right w:type="dxa" w:w="120"/>
            </w:tcMar>
          </w:tcPr>
          <w:p>
            <w:pPr>
              <w:jc w:val="center"/>
            </w:pPr>
            <w:r>
              <w:rPr>
                <w:b/>
                <w:bCs/>
                <w:sz w:val="20"/>
                <w:szCs w:val="20"/>
              </w:rPr>
              <w:t xml:space="preserve">+15.6 ± 4.2</w:t>
            </w:r>
          </w:p>
        </w:tc>
      </w:tr>
    </w:tbl>
    <w:p>
      <w:pPr>
        <w:spacing w:after="120"/>
      </w:pPr>
      <w:r>
        <w:t xml:space="preserve"/>
      </w:r>
    </w:p>
    <w:p>
      <w:pPr>
        <w:spacing w:after="160"/>
      </w:pPr>
      <w:r>
        <w:rPr>
          <w:b/>
          <w:bCs/>
        </w:rPr>
        <w:t xml:space="preserve">Across all 12 method × seed combinations, removing the leakage costs on average 15.6 ± 4.2 accuracy points. </w:t>
      </w:r>
      <w:r>
        <w:t xml:space="preserve">The smallest single inflation was 8.8 points (B4 at seed 456), the largest was 21.1 points (B3 at seed 42). The effect is consistent in direction across every method and every seed.</w:t>
      </w:r>
    </w:p>
    <w:p>
      <w:pPr>
        <w:spacing w:after="160"/>
      </w:pPr>
      <w:r>
        <w:t xml:space="preserve">What this means: TOM-SSL's reported 70.87% accuracy on the augmented Taiwan dataset is probably inflated by 10-15 points due to the splitting protocol. The "true" leak-free accuracy of their method would likely be in the 55-60% range. I want to be careful here — I can't directly compare my numbers to theirs because I'm using a different backbone (ResNet-18 vs MobileNetV3-Small) and slightly different code. But the inflation is measurable on my own pipeline under identical conditions except for the protocol, and it's almost certainly present in their numbers too.</w:t>
      </w:r>
    </w:p>
    <w:p>
      <w:pPr>
        <w:spacing w:after="160"/>
      </w:pPr>
      <w:r>
        <w:t xml:space="preserve">I want to emphasize that this isn't an accusation of misconduct. The issue is methodological — the leakage is built into the protocol they followed, which is also followed by many other plant disease SSL papers. The fix is simple but rarely reported. I think this is worth highlighting in our paper, both because it's important for the field and because it explains why our numbers look lower than theirs.</w:t>
      </w:r>
    </w:p>
    <w:p>
      <w:r>
        <w:br w:type="page"/>
      </w:r>
    </w:p>
    <w:p>
      <w:pPr>
        <w:pStyle w:val="Heading1"/>
      </w:pPr>
      <w:r>
        <w:t xml:space="preserve">7. The regime pattern holds across all three Taiwan protocols</w:t>
      </w:r>
    </w:p>
    <w:p>
      <w:pPr>
        <w:spacing w:after="160"/>
      </w:pPr>
      <w:r>
        <w:t xml:space="preserve">Beyond the leakage finding, the Taiwan experiments also confirmed the regime-dependent pattern I observed on PlantVillage. Look at the B4 vs B5 gap in every Taiwan setup:</w:t>
      </w:r>
    </w:p>
    <w:p>
      <w:pPr>
        <w:pStyle w:val="ListParagraph"/>
        <w:numPr>
          <w:ilvl w:val="0"/>
          <w:numId w:val="2"/>
        </w:numPr>
        <w:spacing w:after="80"/>
      </w:pPr>
      <w:r>
        <w:t xml:space="preserve">Preprocessed original: B4 = 59.1%, B5 = 56.1% — gap of 3.0 points.</w:t>
      </w:r>
    </w:p>
    <w:p>
      <w:pPr>
        <w:pStyle w:val="ListParagraph"/>
        <w:numPr>
          <w:ilvl w:val="0"/>
          <w:numId w:val="2"/>
        </w:numPr>
        <w:spacing w:after="80"/>
      </w:pPr>
      <w:r>
        <w:t xml:space="preserve">Augmented + naive split: B4 = 87.1%, B5 = 83.4% — gap of 3.7 points.</w:t>
      </w:r>
    </w:p>
    <w:p>
      <w:pPr>
        <w:pStyle w:val="ListParagraph"/>
        <w:numPr>
          <w:ilvl w:val="0"/>
          <w:numId w:val="2"/>
        </w:numPr>
        <w:spacing w:after="80"/>
      </w:pPr>
      <w:r>
        <w:t xml:space="preserve">Augmented + grouped split: B4 = 73.2%, B5 = 64.1% — gap of 9.1 points.</w:t>
      </w:r>
    </w:p>
    <w:p>
      <w:pPr>
        <w:spacing w:after="160"/>
      </w:pPr>
      <w:r>
        <w:t xml:space="preserve">MixMatch alone consistently beats the hybrid across all three Taiwan protocols. Even more interesting, the gap actually widens under the leak-free protocol — about three times larger than under the naive split. This suggests that some of the hybrid's apparent competitiveness in casual benchmarks is itself partially a leakage artifact. Once the playing field is properly level, MixMatch alone has a clear advantage on this dataset.</w:t>
      </w:r>
    </w:p>
    <w:p>
      <w:pPr>
        <w:spacing w:after="160"/>
      </w:pPr>
      <w:r>
        <w:t xml:space="preserve">Combined with the PlantVillage 1% finding, that gives me three independent datapoints where the hybrid loses to MixMatch alone when labels are scarce or the dataset is small. This isn't a one-off observation.</w:t>
      </w:r>
    </w:p>
    <w:p>
      <w:pPr>
        <w:pStyle w:val="Heading1"/>
      </w:pPr>
      <w:r>
        <w:t xml:space="preserve">8. Where things stand</w:t>
      </w:r>
    </w:p>
    <w:p>
      <w:pPr>
        <w:spacing w:after="160"/>
      </w:pPr>
      <w:r>
        <w:t xml:space="preserve">After all the experiments, I think we have two distinct findings that could go into a paper, and I want to share my thinking on how to position them.</w:t>
      </w:r>
    </w:p>
    <w:p>
      <w:pPr>
        <w:pStyle w:val="Heading2"/>
      </w:pPr>
      <w:r>
        <w:t xml:space="preserve">Finding 1: Regime-dependent composability of SimCLR + MixMatch</w:t>
      </w:r>
    </w:p>
    <w:p>
      <w:pPr>
        <w:spacing w:after="160"/>
      </w:pPr>
      <w:r>
        <w:t xml:space="preserve">Across two datasets and several label fractions, the SimCLR + MixMatch combination is regime-dependent. It's the best method when labels are reasonably plentiful (PlantVillage 10%, 30%, 50%), but it's the worst of the SSL/semi-SSL methods when labels are very scarce (PlantVillage 1%, all Taiwan protocols). The gap can be substantial — 4 points at PlantVillage 1%, up to 9 points on leak-free Taiwan. I have diagnostic evidence for the mechanism: when labels are too few, the noisy pseudo-label gradients destabilize SimCLR's pretrained features faster than the labeled signal can re-anchor them. This is a real, reproducible empirical finding.</w:t>
      </w:r>
    </w:p>
    <w:p>
      <w:pPr>
        <w:pStyle w:val="Heading2"/>
      </w:pPr>
      <w:r>
        <w:t xml:space="preserve">Finding 2: Data leakage in augmented agricultural datasets</w:t>
      </w:r>
    </w:p>
    <w:p>
      <w:pPr>
        <w:spacing w:after="160"/>
      </w:pPr>
      <w:r>
        <w:t xml:space="preserve">The standard practice of randomly splitting augmented image pools at the file level causes about 15 points of accuracy inflation on the Taiwan dataset. This is measured directly across 12 runs and three seeds. The fix — source-grouped splitting — is simple and is the standard convention in adjacent fields like medical imaging, but is essentially never reported in plant disease SSL papers. I think this finding has independent value beyond our specific methods.</w:t>
      </w:r>
    </w:p>
    <w:p>
      <w:pPr>
        <w:pStyle w:val="Heading2"/>
      </w:pPr>
      <w:r>
        <w:t xml:space="preserve">How I think the paper should be structured</w:t>
      </w:r>
    </w:p>
    <w:p>
      <w:pPr>
        <w:spacing w:after="160"/>
      </w:pPr>
      <w:r>
        <w:t xml:space="preserve">My current thinking is to write one paper that frames both findings as evidence for the same underlying point: that the apparent strengths of SSL+semi-SSL pipelines in low-label plant disease classification are partly real and partly artifacts of evaluation methodology. The first finding shows that hybrid composition isn't universally beneficial. The second finding shows that even the comparisons themselves may be inflated by leakage. Together they suggest the field needs both better methods and stricter evaluation.</w:t>
      </w:r>
    </w:p>
    <w:p>
      <w:pPr>
        <w:spacing w:after="160"/>
      </w:pPr>
      <w:r>
        <w:t xml:space="preserve">I'm open to other framings — happy to discuss what you think makes the most sense for the venue we target.</w:t>
      </w:r>
    </w:p>
    <w:p>
      <w:r>
        <w:br w:type="page"/>
      </w:r>
    </w:p>
    <w:p>
      <w:pPr>
        <w:pStyle w:val="Heading1"/>
      </w:pPr>
      <w:r>
        <w:t xml:space="preserve">9. Honest reflection</w:t>
      </w:r>
    </w:p>
    <w:p>
      <w:pPr>
        <w:pStyle w:val="Heading2"/>
      </w:pPr>
      <w:r>
        <w:t xml:space="preserve">What I'm confident about</w:t>
      </w:r>
    </w:p>
    <w:p>
      <w:pPr>
        <w:pStyle w:val="ListParagraph"/>
        <w:numPr>
          <w:ilvl w:val="0"/>
          <w:numId w:val="2"/>
        </w:numPr>
        <w:spacing w:after="80"/>
      </w:pPr>
      <w:r>
        <w:t xml:space="preserve">The regime-dependent pattern in SimCLR + MixMatch composability. Three datasets, multi-seed verified on Taiwan.</w:t>
      </w:r>
    </w:p>
    <w:p>
      <w:pPr>
        <w:pStyle w:val="ListParagraph"/>
        <w:numPr>
          <w:ilvl w:val="0"/>
          <w:numId w:val="2"/>
        </w:numPr>
        <w:spacing w:after="80"/>
      </w:pPr>
      <w:r>
        <w:t xml:space="preserve">The 15.6 ± 4.2 point leakage inflation in augmented Taiwan. Quantified directly across 24 runs.</w:t>
      </w:r>
    </w:p>
    <w:p>
      <w:pPr>
        <w:pStyle w:val="ListParagraph"/>
        <w:numPr>
          <w:ilvl w:val="0"/>
          <w:numId w:val="2"/>
        </w:numPr>
        <w:spacing w:after="80"/>
      </w:pPr>
      <w:r>
        <w:t xml:space="preserve">The diagnostic explanation for why GEPS doesn't help on this data. The classifier internalizes SimCLR geometry quickly, and the geometric pseudo-labels are systematically wrong on minority classes.</w:t>
      </w:r>
    </w:p>
    <w:p>
      <w:pPr>
        <w:pStyle w:val="Heading2"/>
      </w:pPr>
      <w:r>
        <w:t xml:space="preserve">What I'd improve if I had more time</w:t>
      </w:r>
    </w:p>
    <w:p>
      <w:pPr>
        <w:pStyle w:val="ListParagraph"/>
        <w:numPr>
          <w:ilvl w:val="0"/>
          <w:numId w:val="2"/>
        </w:numPr>
        <w:spacing w:after="80"/>
      </w:pPr>
      <w:r>
        <w:t xml:space="preserve">Multi-seed runs on PlantVillage. Currently the PlantVillage results are mostly single-seed; Taiwan has 3 seeds. Adding 2 more seeds to PlantVillage would strengthen the regime-dependence claim with proper error bars.</w:t>
      </w:r>
    </w:p>
    <w:p>
      <w:pPr>
        <w:pStyle w:val="ListParagraph"/>
        <w:numPr>
          <w:ilvl w:val="0"/>
          <w:numId w:val="2"/>
        </w:numPr>
        <w:spacing w:after="80"/>
      </w:pPr>
      <w:r>
        <w:t xml:space="preserve">Validate the leakage finding on at least one more augmented agricultural dataset. If the inflation is also ~15 points on a different dataset, the methodological message becomes much stronger.</w:t>
      </w:r>
    </w:p>
    <w:p>
      <w:pPr>
        <w:pStyle w:val="ListParagraph"/>
        <w:numPr>
          <w:ilvl w:val="0"/>
          <w:numId w:val="2"/>
        </w:numPr>
        <w:spacing w:after="80"/>
      </w:pPr>
      <w:r>
        <w:t xml:space="preserve">A MobileNetV3-Small variant of our experiments would let me make a direct head-to-head numerical comparison with the TOM-SSL paper, removing the backbone confound.</w:t>
      </w:r>
    </w:p>
    <w:p>
      <w:pPr>
        <w:pStyle w:val="Heading2"/>
      </w:pPr>
      <w:r>
        <w:t xml:space="preserve">What didn't work but was useful to try</w:t>
      </w:r>
    </w:p>
    <w:p>
      <w:pPr>
        <w:pStyle w:val="ListParagraph"/>
        <w:numPr>
          <w:ilvl w:val="0"/>
          <w:numId w:val="2"/>
        </w:numPr>
        <w:spacing w:after="80"/>
      </w:pPr>
      <w:r>
        <w:t xml:space="preserve">All five GEPS variants. None beat the baseline, but the negative results, combined with the per-class q_geo accuracy diagnostic, tell a clear story about why explicit geometric supervision doesn't help on this data.</w:t>
      </w:r>
    </w:p>
    <w:p>
      <w:pPr>
        <w:pStyle w:val="ListParagraph"/>
        <w:numPr>
          <w:ilvl w:val="0"/>
          <w:numId w:val="2"/>
        </w:numPr>
        <w:spacing w:after="80"/>
      </w:pPr>
      <w:r>
        <w:t xml:space="preserve">The frozen-except-layer4 hybrid configuration from my original notebook. Turned out to be inferior to full fine-tuning at every label fraction tested. The original notebook's success with this configuration appears to have been an artifact of its weaker B4 baseline.</w:t>
      </w:r>
    </w:p>
    <w:p>
      <w:pPr>
        <w:pStyle w:val="Heading2"/>
      </w:pPr>
      <w:r>
        <w:t xml:space="preserve">Setup mistakes I made along the way</w:t>
      </w:r>
    </w:p>
    <w:p>
      <w:pPr>
        <w:pStyle w:val="ListParagraph"/>
        <w:numPr>
          <w:ilvl w:val="0"/>
          <w:numId w:val="2"/>
        </w:numPr>
        <w:spacing w:after="80"/>
      </w:pPr>
      <w:r>
        <w:t xml:space="preserve">Initially ran all baselines at 10% labels without realizing the dataset was near-saturated. Had to pivot to 1% to see meaningful method differences. About four hours of compute wasted.</w:t>
      </w:r>
    </w:p>
    <w:p>
      <w:pPr>
        <w:pStyle w:val="ListParagraph"/>
        <w:numPr>
          <w:ilvl w:val="0"/>
          <w:numId w:val="2"/>
        </w:numPr>
        <w:spacing w:after="80"/>
      </w:pPr>
      <w:r>
        <w:t xml:space="preserve">The encoder-freeze bug from copy.deepcopy after a runtime reconnect. Made four GEPS variants look broken when only the environment was broken. Cost about four hours.</w:t>
      </w:r>
    </w:p>
    <w:p>
      <w:pPr>
        <w:pStyle w:val="ListParagraph"/>
        <w:numPr>
          <w:ilvl w:val="0"/>
          <w:numId w:val="2"/>
        </w:numPr>
        <w:spacing w:after="80"/>
      </w:pPr>
      <w:r>
        <w:t xml:space="preserve">First Taiwan run pointed at a folder that contained Train/Test split subfolders, which ImageFolder interpreted as two classes instead of six. Confusion matrices showed the bug immediately once I looked at the axis labels. Cost about one hour.</w:t>
      </w:r>
    </w:p>
    <w:p>
      <w:pPr>
        <w:spacing w:after="160"/>
      </w:pPr>
      <w:r>
        <w:t xml:space="preserve">Total compute used so far: approximately 35 hours on Colab T4 GPUs.</w:t>
      </w:r>
    </w:p>
    <w:p>
      <w:pPr>
        <w:pStyle w:val="Heading1"/>
      </w:pPr>
      <w:r>
        <w:t xml:space="preserve">10. What I'd like to discuss with you</w:t>
      </w:r>
    </w:p>
    <w:p>
      <w:pPr>
        <w:spacing w:after="160"/>
      </w:pPr>
      <w:r>
        <w:t xml:space="preserve">Three things I'd like your guidance on:</w:t>
      </w:r>
    </w:p>
    <w:p>
      <w:pPr>
        <w:pStyle w:val="ListParagraph"/>
        <w:numPr>
          <w:ilvl w:val="0"/>
          <w:numId w:val="2"/>
        </w:numPr>
        <w:spacing w:after="80"/>
      </w:pPr>
      <w:r>
        <w:rPr>
          <w:b/>
          <w:bCs/>
        </w:rPr>
        <w:t xml:space="preserve">Target venue. </w:t>
      </w:r>
      <w:r>
        <w:t xml:space="preserve">I think this is well-suited to an IEEE applications conference, a Springer agricultural-AI venue, or a workshop at a top ML venue (CVPR/ICCV/NeurIPS workshops on agriculture or low-label learning). I don't think it would survive top-tier ML review because the methods aren't novel — the contribution is empirical and methodological. What do you think?</w:t>
      </w:r>
    </w:p>
    <w:p>
      <w:pPr>
        <w:pStyle w:val="ListParagraph"/>
        <w:numPr>
          <w:ilvl w:val="0"/>
          <w:numId w:val="2"/>
        </w:numPr>
        <w:spacing w:after="80"/>
      </w:pPr>
      <w:r>
        <w:rPr>
          <w:b/>
          <w:bCs/>
        </w:rPr>
        <w:t xml:space="preserve">Paper structure. </w:t>
      </w:r>
      <w:r>
        <w:t xml:space="preserve">Should the regime-dependence finding and the leakage finding be one paper or two? My instinct is one paper with two contributions, since they share the same datasets and methods. But I can see an argument for separating them, with the leakage paper being framed as a methodology critique.</w:t>
      </w:r>
    </w:p>
    <w:p>
      <w:pPr>
        <w:pStyle w:val="ListParagraph"/>
        <w:numPr>
          <w:ilvl w:val="0"/>
          <w:numId w:val="2"/>
        </w:numPr>
        <w:spacing w:after="80"/>
      </w:pPr>
      <w:r>
        <w:rPr>
          <w:b/>
          <w:bCs/>
        </w:rPr>
        <w:t xml:space="preserve">One more experiment? </w:t>
      </w:r>
      <w:r>
        <w:t xml:space="preserve">Before drafting, would it be worth running the MobileNetV3-Small variant on Taiwan to make the comparison with TOM-SSL apples-to-apples? It's about a day of compute. I think it would strengthen the paper but isn't strictly necessary.</w:t>
      </w:r>
    </w:p>
    <w:p>
      <w:pPr>
        <w:spacing w:after="160"/>
      </w:pPr>
      <w:r>
        <w:t xml:space="preserve">I appreciate you reading through all of this. The data feels solid to me, and I'm ready to start drafting whenever you give the go-ahead. Let me know what you'd like to talk through and when.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2026-06-03T08:12:55.060Z</dcterms:created>
  <dcterms:modified xsi:type="dcterms:W3CDTF">2026-06-03T08:12:55.060Z</dcterms:modified>
</cp:coreProperties>
</file>

<file path=docProps/custom.xml><?xml version="1.0" encoding="utf-8"?>
<Properties xmlns="http://schemas.openxmlformats.org/officeDocument/2006/custom-properties" xmlns:vt="http://schemas.openxmlformats.org/officeDocument/2006/docPropsVTypes"/>
</file>