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003366"/>
          <w:sz w:val="40"/>
        </w:rPr>
        <w:t>Comprehensive Project Report:</w:t>
        <w:br/>
        <w:t>E-Commerce Retail Sales Analysis &amp;</w:t>
        <w:br/>
        <w:t>Customer Segmentation Strategy</w:t>
      </w:r>
    </w:p>
    <w:p>
      <w:pPr>
        <w:spacing w:after="480"/>
        <w:jc w:val="center"/>
      </w:pPr>
      <w:r>
        <w:rPr>
          <w:rFonts w:ascii="Arial" w:hAnsi="Arial"/>
          <w:i/>
          <w:color w:val="646464"/>
          <w:sz w:val="22"/>
        </w:rPr>
        <w:t>An End-to-End Enterprise Data Analytics &amp; Unsupervised Machine Learning Framework</w:t>
      </w:r>
    </w:p>
    <w:p>
      <w:pPr>
        <w:spacing w:before="320" w:after="120"/>
      </w:pPr>
      <w:r>
        <w:rPr>
          <w:rFonts w:ascii="Arial" w:hAnsi="Arial"/>
          <w:b/>
          <w:color w:val="003366"/>
          <w:sz w:val="30"/>
        </w:rPr>
        <w:t>1. Executive Summary</w:t>
      </w:r>
    </w:p>
    <w:p>
      <w:pPr>
        <w:spacing w:after="120"/>
      </w:pPr>
      <w:r>
        <w:t>In the modern retail ecosystem, standard non-segmented marketing strategies often fail to maximize customer return on investment. Generic promotional blasts dilute brand equity, increase Customer Acquisition Costs (CAC), and yield high churn rates among premium buyers. This project presents an enterprise-grade data analytics and customer segmentation solution for an online retail platform operating across multiple international markets.</w:t>
      </w:r>
    </w:p>
    <w:p>
      <w:pPr>
        <w:spacing w:after="200"/>
      </w:pPr>
      <w:r>
        <w:t>By evaluating transaction histories spanning over 500,000 order records, this analysis combines classical exploratory revenue profiling, Recency-Frequency-Monetary (RFM) behavioral feature engineering, and unsupervised K-Means clustering machine learning. The core deliverable is a multi-dimensional customer evaluation engine that categorizes raw transaction logs into four primary strategic cohorts: Champions, Loyal Customers, At-Risk Spenders, and Dormant Buyers. Implementing these targeted cluster strategies enables data-driven budget allocation, personalized engagement, enhanced customer retention, and optimized Customer Lifetime Value (CLV).</w:t>
      </w:r>
    </w:p>
    <w:p>
      <w:pPr>
        <w:spacing w:before="320" w:after="120"/>
      </w:pPr>
      <w:r>
        <w:rPr>
          <w:rFonts w:ascii="Arial" w:hAnsi="Arial"/>
          <w:b/>
          <w:color w:val="003366"/>
          <w:sz w:val="30"/>
        </w:rPr>
        <w:t>2. Business Problem &amp; Industry Context</w:t>
      </w:r>
    </w:p>
    <w:p>
      <w:pPr>
        <w:spacing w:before="240" w:after="80"/>
      </w:pPr>
      <w:r>
        <w:rPr>
          <w:rFonts w:ascii="Arial" w:hAnsi="Arial"/>
          <w:b/>
          <w:color w:val="282828"/>
          <w:sz w:val="25"/>
        </w:rPr>
        <w:t>2.1 Background &amp; Challenges</w:t>
      </w:r>
    </w:p>
    <w:p>
      <w:pPr>
        <w:spacing w:after="80"/>
      </w:pPr>
      <w:r>
        <w:t>E-commerce platforms generate massive volumes of transactional data daily. However, converting raw transaction logs into actionable marketing strategy remains a fundamental obstacle. The primary operational challenges addressed in this project include:</w:t>
      </w:r>
    </w:p>
    <w:p>
      <w:pPr>
        <w:pStyle w:val="ListBullet"/>
      </w:pPr>
      <w:r>
        <w:rPr>
          <w:b/>
        </w:rPr>
        <w:t xml:space="preserve">High Churn Among Spenders: </w:t>
      </w:r>
      <w:r>
        <w:t>Without proactive behavioral tracking, high-spending customers silently migrate to competitors before marketing teams detect inactivity.</w:t>
      </w:r>
    </w:p>
    <w:p>
      <w:pPr>
        <w:pStyle w:val="ListBullet"/>
      </w:pPr>
      <w:r>
        <w:rPr>
          <w:b/>
        </w:rPr>
        <w:t xml:space="preserve">Inefficient Budget Allocation: </w:t>
      </w:r>
      <w:r>
        <w:t>Treating all registered users uniformly leads to spending excessive promotional capital on low-margin or inactive accounts.</w:t>
      </w:r>
    </w:p>
    <w:p>
      <w:pPr>
        <w:pStyle w:val="ListBullet"/>
      </w:pPr>
      <w:r>
        <w:rPr>
          <w:b/>
        </w:rPr>
        <w:t xml:space="preserve">Lack of Personalization: </w:t>
      </w:r>
      <w:r>
        <w:t>Generic email and advertising campaigns suffer from diminishing conversion rates and lower Average Order Values (AOV).</w:t>
      </w:r>
    </w:p>
    <w:p>
      <w:pPr>
        <w:spacing w:before="240" w:after="80"/>
      </w:pPr>
      <w:r>
        <w:rPr>
          <w:rFonts w:ascii="Arial" w:hAnsi="Arial"/>
          <w:b/>
          <w:color w:val="282828"/>
          <w:sz w:val="25"/>
        </w:rPr>
        <w:t>2.2 Core Objectives</w:t>
      </w:r>
    </w:p>
    <w:p>
      <w:pPr>
        <w:pStyle w:val="ListBullet"/>
      </w:pPr>
      <w:r>
        <w:rPr>
          <w:b/>
        </w:rPr>
        <w:t xml:space="preserve">Perform Exploratory Revenue Analytics: </w:t>
      </w:r>
      <w:r>
        <w:t>Identify monthly sales trends, product Pareto distributions (80/20 rule), and key geographic revenue hubs.</w:t>
      </w:r>
    </w:p>
    <w:p>
      <w:pPr>
        <w:pStyle w:val="ListBullet"/>
      </w:pPr>
      <w:r>
        <w:rPr>
          <w:b/>
        </w:rPr>
        <w:t xml:space="preserve">Develop Robust Preprocessing Pipeline: </w:t>
      </w:r>
      <w:r>
        <w:t>Clean transactional anomalies, handle missing metadata, filter negative units/returns, and derive total order values.</w:t>
      </w:r>
    </w:p>
    <w:p>
      <w:pPr>
        <w:pStyle w:val="ListBullet"/>
      </w:pPr>
      <w:r>
        <w:rPr>
          <w:b/>
        </w:rPr>
        <w:t xml:space="preserve">Engineer Behavioral RFM Features: </w:t>
      </w:r>
      <w:r>
        <w:t>Compute exact Recency (days), Frequency (unique transactions), and Monetary value ($ spend) per unique customer.</w:t>
      </w:r>
    </w:p>
    <w:p>
      <w:pPr>
        <w:pStyle w:val="ListBullet"/>
      </w:pPr>
      <w:r>
        <w:rPr>
          <w:b/>
        </w:rPr>
        <w:t xml:space="preserve">Train Unsupervised Machine Learning Model: </w:t>
      </w:r>
      <w:r>
        <w:t>Apply log-transformations, standardization, and K-Means clustering (evaluated via Elbow WCSS and Silhouette Analysis) to segment customers mathematically.</w:t>
      </w:r>
    </w:p>
    <w:p>
      <w:pPr>
        <w:pStyle w:val="ListBullet"/>
      </w:pPr>
      <w:r>
        <w:rPr>
          <w:b/>
        </w:rPr>
        <w:t xml:space="preserve">Formulate Actionable Business Strategies: </w:t>
      </w:r>
      <w:r>
        <w:t>Deliver tailor-made marketing retention, upselling, and re-engagement workflows for each distinct customer segment.</w:t>
      </w:r>
    </w:p>
    <w:p>
      <w:pPr>
        <w:spacing w:before="320" w:after="120"/>
      </w:pPr>
      <w:r>
        <w:rPr>
          <w:rFonts w:ascii="Arial" w:hAnsi="Arial"/>
          <w:b/>
          <w:color w:val="003366"/>
          <w:sz w:val="30"/>
        </w:rPr>
        <w:t>3. Dataset Architecture &amp; Preprocessing Pipeline</w:t>
      </w:r>
    </w:p>
    <w:p>
      <w:pPr>
        <w:spacing w:before="240" w:after="80"/>
      </w:pPr>
      <w:r>
        <w:rPr>
          <w:rFonts w:ascii="Arial" w:hAnsi="Arial"/>
          <w:b/>
          <w:color w:val="282828"/>
          <w:sz w:val="25"/>
        </w:rPr>
        <w:t>3.1 Raw Dataset Schema</w:t>
      </w:r>
    </w:p>
    <w:p>
      <w:r>
        <w:t>The underlying transactional dataset consists of 541,909 individual purchase records. The operational fields are described below:</w:t>
      </w:r>
    </w:p>
    <w:p>
      <w:pPr>
        <w:pStyle w:val="ListBullet"/>
      </w:pPr>
      <w:r>
        <w:rPr>
          <w:b/>
        </w:rPr>
        <w:t xml:space="preserve">InvoiceNo: </w:t>
      </w:r>
      <w:r>
        <w:t>6-digit nominal integer uniquely assigning each transaction. (Invoices starting with 'C' indicate cancellations).</w:t>
      </w:r>
    </w:p>
    <w:p>
      <w:pPr>
        <w:pStyle w:val="ListBullet"/>
      </w:pPr>
      <w:r>
        <w:rPr>
          <w:b/>
        </w:rPr>
        <w:t xml:space="preserve">StockCode: </w:t>
      </w:r>
      <w:r>
        <w:t>5-digit nominal identifier assigned to each distinct product SKU.</w:t>
      </w:r>
    </w:p>
    <w:p>
      <w:pPr>
        <w:pStyle w:val="ListBullet"/>
      </w:pPr>
      <w:r>
        <w:rPr>
          <w:b/>
        </w:rPr>
        <w:t xml:space="preserve">Description: </w:t>
      </w:r>
      <w:r>
        <w:t>Textual item description representing product name and specification.</w:t>
      </w:r>
    </w:p>
    <w:p>
      <w:pPr>
        <w:pStyle w:val="ListBullet"/>
      </w:pPr>
      <w:r>
        <w:rPr>
          <w:b/>
        </w:rPr>
        <w:t xml:space="preserve">Quantity: </w:t>
      </w:r>
      <w:r>
        <w:t>Numeric quantities of each product purchased per transaction line.</w:t>
      </w:r>
    </w:p>
    <w:p>
      <w:pPr>
        <w:pStyle w:val="ListBullet"/>
      </w:pPr>
      <w:r>
        <w:rPr>
          <w:b/>
        </w:rPr>
        <w:t xml:space="preserve">InvoiceDate: </w:t>
      </w:r>
      <w:r>
        <w:t>Timestamp indicating the exact date and minute the transaction was completed.</w:t>
      </w:r>
    </w:p>
    <w:p>
      <w:pPr>
        <w:pStyle w:val="ListBullet"/>
      </w:pPr>
      <w:r>
        <w:rPr>
          <w:b/>
        </w:rPr>
        <w:t xml:space="preserve">UnitPrice: </w:t>
      </w:r>
      <w:r>
        <w:t>Product price per unit expressed in USD/GBP currency.</w:t>
      </w:r>
    </w:p>
    <w:p>
      <w:pPr>
        <w:pStyle w:val="ListBullet"/>
      </w:pPr>
      <w:r>
        <w:rPr>
          <w:b/>
        </w:rPr>
        <w:t xml:space="preserve">CustomerID: </w:t>
      </w:r>
      <w:r>
        <w:t>5-digit nominal integer uniquely identifying each registered customer.</w:t>
      </w:r>
    </w:p>
    <w:p>
      <w:pPr>
        <w:pStyle w:val="ListBullet"/>
      </w:pPr>
      <w:r>
        <w:rPr>
          <w:b/>
        </w:rPr>
        <w:t xml:space="preserve">Country: </w:t>
      </w:r>
      <w:r>
        <w:t>Geographic country where the customer resides and order was dispatched.</w:t>
      </w:r>
    </w:p>
    <w:p>
      <w:pPr>
        <w:spacing w:before="240" w:after="80"/>
      </w:pPr>
      <w:r>
        <w:rPr>
          <w:rFonts w:ascii="Arial" w:hAnsi="Arial"/>
          <w:b/>
          <w:color w:val="282828"/>
          <w:sz w:val="25"/>
        </w:rPr>
        <w:t>3.2 Data Preprocessing &amp; Cleansing Pipeline</w:t>
      </w:r>
    </w:p>
    <w:p>
      <w:r>
        <w:t>Data hygiene is critical to ensure model stability and avoid biased centroid assignment. The following step-by-step cleaning workflow was executed:</w:t>
      </w:r>
    </w:p>
    <w:p>
      <w:pPr>
        <w:pStyle w:val="ListBullet"/>
      </w:pPr>
      <w:r>
        <w:rPr>
          <w:b/>
        </w:rPr>
        <w:t xml:space="preserve">Missing Value Removal: </w:t>
      </w:r>
      <w:r>
        <w:t>Removed 135,080 records missing valid CustomerID identifiers, as individual customer tracking is required for RFM segmentation.</w:t>
      </w:r>
    </w:p>
    <w:p>
      <w:pPr>
        <w:pStyle w:val="ListBullet"/>
      </w:pPr>
      <w:r>
        <w:rPr>
          <w:b/>
        </w:rPr>
        <w:t xml:space="preserve">Duplicate Deduplication: </w:t>
      </w:r>
      <w:r>
        <w:t>Identified and removed 5,268 exact duplicate order line entries.</w:t>
      </w:r>
    </w:p>
    <w:p>
      <w:pPr>
        <w:pStyle w:val="ListBullet"/>
      </w:pPr>
      <w:r>
        <w:rPr>
          <w:b/>
        </w:rPr>
        <w:t xml:space="preserve">Returns &amp; Anomaly Filtering: </w:t>
      </w:r>
      <w:r>
        <w:t>Filtered out negative and zero values across Quantity and UnitPrice fields. Cancelled invoices ('C') were removed to isolate completed, revenue-generating orders.</w:t>
      </w:r>
    </w:p>
    <w:p>
      <w:pPr>
        <w:pStyle w:val="ListBullet"/>
      </w:pPr>
      <w:r>
        <w:rPr>
          <w:b/>
        </w:rPr>
        <w:t xml:space="preserve">Feature Engineering: </w:t>
      </w:r>
      <w:r>
        <w:t>Calculated line revenue using TotalAmount = Quantity × UnitPrice. Converted InvoiceDate strings to native datetime formats.</w:t>
      </w:r>
    </w:p>
    <w:p>
      <w:pPr>
        <w:pStyle w:val="ListBullet"/>
      </w:pPr>
      <w:r>
        <w:rPr>
          <w:b/>
        </w:rPr>
        <w:t xml:space="preserve">Outlier &amp; Data Scale Inspection: </w:t>
      </w:r>
      <w:r>
        <w:t>Evaluated extreme values to prevent extreme spenders from distorting scaling algorithms.</w:t>
      </w:r>
    </w:p>
    <w:p>
      <w:pPr>
        <w:spacing w:before="320" w:after="120"/>
      </w:pPr>
      <w:r>
        <w:rPr>
          <w:rFonts w:ascii="Arial" w:hAnsi="Arial"/>
          <w:b/>
          <w:color w:val="003366"/>
          <w:sz w:val="30"/>
        </w:rPr>
        <w:t>4. Exploratory Data Analysis (EDA) &amp; Key Insights</w:t>
      </w:r>
    </w:p>
    <w:p>
      <w:r>
        <w:t>Exploratory Data Analysis was conducted across revenue time-series, product skewness, and geographic concentration. Key structural observations include:</w:t>
      </w:r>
    </w:p>
    <w:p>
      <w:pPr>
        <w:pStyle w:val="ListBullet"/>
      </w:pPr>
      <w:r>
        <w:rPr>
          <w:b/>
        </w:rPr>
        <w:t xml:space="preserve">Q4 Revenue Concentration: </w:t>
      </w:r>
      <w:r>
        <w:t>Monthly revenue demonstrates a significant upward trend during Q4 (October through December), accounting for over 38% of total annual sales due to holiday shopping traffic.</w:t>
      </w:r>
    </w:p>
    <w:p>
      <w:pPr>
        <w:pStyle w:val="ListBullet"/>
      </w:pPr>
      <w:r>
        <w:rPr>
          <w:b/>
        </w:rPr>
        <w:t xml:space="preserve">Product Skewness (Pareto Distribution): </w:t>
      </w:r>
      <w:r>
        <w:t>The top 10% of SKU items generate approximately 68% of total platform revenue, validating the 80/20 business rule.</w:t>
      </w:r>
    </w:p>
    <w:p>
      <w:pPr>
        <w:pStyle w:val="ListBullet"/>
      </w:pPr>
      <w:r>
        <w:rPr>
          <w:b/>
        </w:rPr>
        <w:t xml:space="preserve">Geographic Concentration: </w:t>
      </w:r>
      <w:r>
        <w:t>Over 82% of total transaction volume originates from domestic accounts, while key international hubs (e.g., Germany, France, EIRE) exhibit significantly higher Average Order Values (AOV).</w:t>
      </w:r>
    </w:p>
    <w:p>
      <w:pPr>
        <w:spacing w:before="320" w:after="120"/>
      </w:pPr>
      <w:r>
        <w:rPr>
          <w:rFonts w:ascii="Arial" w:hAnsi="Arial"/>
          <w:b/>
          <w:color w:val="003366"/>
          <w:sz w:val="30"/>
        </w:rPr>
        <w:t>5. Methodology &amp; Mathematical Modeling</w:t>
      </w:r>
    </w:p>
    <w:p>
      <w:pPr>
        <w:spacing w:before="240" w:after="80"/>
      </w:pPr>
      <w:r>
        <w:rPr>
          <w:rFonts w:ascii="Arial" w:hAnsi="Arial"/>
          <w:b/>
          <w:color w:val="282828"/>
          <w:sz w:val="25"/>
        </w:rPr>
        <w:t>5.1 Feature Engineering (RFM Metrics)</w:t>
      </w:r>
    </w:p>
    <w:p>
      <w:r>
        <w:t>To represent customer behavior numerically, raw transactions were aggregated at the individual CustomerID level. A reference snapshot date was set as snapshot_date = max(InvoiceDate) + 1 day. Metrics were generated as follows:</w:t>
      </w:r>
    </w:p>
    <w:p>
      <w:pPr>
        <w:spacing w:after="120"/>
      </w:pPr>
      <w:r>
        <w:t>1. Recency (R) = snapshot_date - max(InvoiceDate_i)  [Days elapsed since last purchase]</w:t>
        <w:br/>
        <w:t>2. Frequency (F) = count(unique InvoiceNo_i)  [Total transaction volume]</w:t>
        <w:br/>
        <w:t>3. Monetary (M) = sum(TotalAmount_i)  [Total revenue generated]</w:t>
      </w:r>
    </w:p>
    <w:p>
      <w:pPr>
        <w:spacing w:before="240" w:after="80"/>
      </w:pPr>
      <w:r>
        <w:rPr>
          <w:rFonts w:ascii="Arial" w:hAnsi="Arial"/>
          <w:b/>
          <w:color w:val="282828"/>
          <w:sz w:val="25"/>
        </w:rPr>
        <w:t>5.2 Data Transformation &amp; Scaling</w:t>
      </w:r>
    </w:p>
    <w:p>
      <w:r>
        <w:t>Raw RFM metrics exhibit extreme right-skewness and wide dispersion across different scales. Distance-based algorithms like K-Means are highly sensitive to unscaled parameters. To resolve this, a two-stage transformation pipeline was executed:</w:t>
      </w:r>
    </w:p>
    <w:p>
      <w:pPr>
        <w:spacing w:after="120"/>
      </w:pPr>
      <w:r>
        <w:t>• Log Transformation: Applied log1p(x) = ln(1 + x) to compress skewed distributions and linearize power-law relationships.</w:t>
        <w:br/>
        <w:t>• Standard Scaling: Standardized features to zero mean and unit variance using z = (x - µ) / σ.</w:t>
      </w:r>
    </w:p>
    <w:p>
      <w:pPr>
        <w:spacing w:before="240" w:after="80"/>
      </w:pPr>
      <w:r>
        <w:rPr>
          <w:rFonts w:ascii="Arial" w:hAnsi="Arial"/>
          <w:b/>
          <w:color w:val="282828"/>
          <w:sz w:val="25"/>
        </w:rPr>
        <w:t>5.3 K-Means Clustering &amp; Hyperparameter Tuning</w:t>
      </w:r>
    </w:p>
    <w:p>
      <w:r>
        <w:t>K-Means minimizes the Within-Cluster Sum of Squares (WCSS). To determine the optimal number of clusters K, models were trained for K values ranging from 1 to 10. The Elbow method curve identified K = 4 as the point of diminishing returns, supported by a strong Silhouette Score (~0.38) indicating well-separated cluster boundaries.</w:t>
      </w:r>
    </w:p>
    <w:p>
      <w:pPr>
        <w:spacing w:before="320" w:after="120"/>
      </w:pPr>
      <w:r>
        <w:rPr>
          <w:rFonts w:ascii="Arial" w:hAnsi="Arial"/>
          <w:b/>
          <w:color w:val="003366"/>
          <w:sz w:val="30"/>
        </w:rPr>
        <w:t>6. Cluster Profiles &amp; Strategic Playbooks</w:t>
      </w:r>
    </w:p>
    <w:p>
      <w:r>
        <w:t>The model identified four actionable customer clusters. The quantitative metrics and business profiles are summarized below:</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left"/>
            </w:pPr>
            <w:r>
              <w:rPr>
                <w:b/>
                <w:color w:val="FFFFFF"/>
                <w:sz w:val="19"/>
              </w:rPr>
              <w:t>Cluster Segment</w:t>
            </w:r>
          </w:p>
        </w:tc>
        <w:tc>
          <w:tcPr>
            <w:tcW w:type="dxa" w:w="1872"/>
            <w:shd w:fill="003366"/>
          </w:tcPr>
          <w:p>
            <w:pPr>
              <w:jc w:val="left"/>
            </w:pPr>
            <w:r>
              <w:rPr>
                <w:b/>
                <w:color w:val="FFFFFF"/>
                <w:sz w:val="19"/>
              </w:rPr>
              <w:t>Recency (Mean)</w:t>
            </w:r>
          </w:p>
        </w:tc>
        <w:tc>
          <w:tcPr>
            <w:tcW w:type="dxa" w:w="1872"/>
            <w:shd w:fill="003366"/>
          </w:tcPr>
          <w:p>
            <w:pPr>
              <w:jc w:val="left"/>
            </w:pPr>
            <w:r>
              <w:rPr>
                <w:b/>
                <w:color w:val="FFFFFF"/>
                <w:sz w:val="19"/>
              </w:rPr>
              <w:t>Frequency (Mean)</w:t>
            </w:r>
          </w:p>
        </w:tc>
        <w:tc>
          <w:tcPr>
            <w:tcW w:type="dxa" w:w="1872"/>
            <w:shd w:fill="003366"/>
          </w:tcPr>
          <w:p>
            <w:pPr>
              <w:jc w:val="left"/>
            </w:pPr>
            <w:r>
              <w:rPr>
                <w:b/>
                <w:color w:val="FFFFFF"/>
                <w:sz w:val="19"/>
              </w:rPr>
              <w:t>Monetary (Mean)</w:t>
            </w:r>
          </w:p>
        </w:tc>
        <w:tc>
          <w:tcPr>
            <w:tcW w:type="dxa" w:w="1872"/>
            <w:shd w:fill="003366"/>
          </w:tcPr>
          <w:p>
            <w:pPr>
              <w:jc w:val="left"/>
            </w:pPr>
            <w:r>
              <w:rPr>
                <w:b/>
                <w:color w:val="FFFFFF"/>
                <w:sz w:val="19"/>
              </w:rPr>
              <w:t>Strategic Focus</w:t>
            </w:r>
          </w:p>
        </w:tc>
      </w:tr>
      <w:tr>
        <w:tc>
          <w:tcPr>
            <w:tcW w:type="dxa" w:w="1872"/>
          </w:tcPr>
          <w:p>
            <w:r>
              <w:rPr>
                <w:sz w:val="18"/>
              </w:rPr>
              <w:t>Cluster 0: Champions</w:t>
            </w:r>
          </w:p>
        </w:tc>
        <w:tc>
          <w:tcPr>
            <w:tcW w:type="dxa" w:w="1872"/>
          </w:tcPr>
          <w:p>
            <w:r>
              <w:rPr>
                <w:sz w:val="18"/>
              </w:rPr>
              <w:t>14.8 Days</w:t>
            </w:r>
          </w:p>
        </w:tc>
        <w:tc>
          <w:tcPr>
            <w:tcW w:type="dxa" w:w="1872"/>
          </w:tcPr>
          <w:p>
            <w:r>
              <w:rPr>
                <w:sz w:val="18"/>
              </w:rPr>
              <w:t>12.4 Orders</w:t>
            </w:r>
          </w:p>
        </w:tc>
        <w:tc>
          <w:tcPr>
            <w:tcW w:type="dxa" w:w="1872"/>
          </w:tcPr>
          <w:p>
            <w:r>
              <w:rPr>
                <w:sz w:val="18"/>
              </w:rPr>
              <w:t>$3,620.50</w:t>
            </w:r>
          </w:p>
        </w:tc>
        <w:tc>
          <w:tcPr>
            <w:tcW w:type="dxa" w:w="1872"/>
          </w:tcPr>
          <w:p>
            <w:r>
              <w:rPr>
                <w:sz w:val="18"/>
              </w:rPr>
              <w:t>VIP Loyalty Perks, Early Access, Dedicated Support</w:t>
            </w:r>
          </w:p>
        </w:tc>
      </w:tr>
      <w:tr>
        <w:tc>
          <w:tcPr>
            <w:tcW w:type="dxa" w:w="1872"/>
          </w:tcPr>
          <w:p>
            <w:r>
              <w:rPr>
                <w:sz w:val="18"/>
              </w:rPr>
              <w:t>Cluster 1: Loyal Customers</w:t>
            </w:r>
          </w:p>
        </w:tc>
        <w:tc>
          <w:tcPr>
            <w:tcW w:type="dxa" w:w="1872"/>
          </w:tcPr>
          <w:p>
            <w:r>
              <w:rPr>
                <w:sz w:val="18"/>
              </w:rPr>
              <w:t>38.2 Days</w:t>
            </w:r>
          </w:p>
        </w:tc>
        <w:tc>
          <w:tcPr>
            <w:tcW w:type="dxa" w:w="1872"/>
          </w:tcPr>
          <w:p>
            <w:r>
              <w:rPr>
                <w:sz w:val="18"/>
              </w:rPr>
              <w:t>5.8 Orders</w:t>
            </w:r>
          </w:p>
        </w:tc>
        <w:tc>
          <w:tcPr>
            <w:tcW w:type="dxa" w:w="1872"/>
          </w:tcPr>
          <w:p>
            <w:r>
              <w:rPr>
                <w:sz w:val="18"/>
              </w:rPr>
              <w:t>$1,240.10</w:t>
            </w:r>
          </w:p>
        </w:tc>
        <w:tc>
          <w:tcPr>
            <w:tcW w:type="dxa" w:w="1872"/>
          </w:tcPr>
          <w:p>
            <w:r>
              <w:rPr>
                <w:sz w:val="18"/>
              </w:rPr>
              <w:t>Cross-sell/Upsell, Threshold Discounts</w:t>
            </w:r>
          </w:p>
        </w:tc>
      </w:tr>
      <w:tr>
        <w:tc>
          <w:tcPr>
            <w:tcW w:type="dxa" w:w="1872"/>
          </w:tcPr>
          <w:p>
            <w:r>
              <w:rPr>
                <w:sz w:val="18"/>
              </w:rPr>
              <w:t>Cluster 2: At-Risk Spenders</w:t>
            </w:r>
          </w:p>
        </w:tc>
        <w:tc>
          <w:tcPr>
            <w:tcW w:type="dxa" w:w="1872"/>
          </w:tcPr>
          <w:p>
            <w:r>
              <w:rPr>
                <w:sz w:val="18"/>
              </w:rPr>
              <w:t>184.5 Days</w:t>
            </w:r>
          </w:p>
        </w:tc>
        <w:tc>
          <w:tcPr>
            <w:tcW w:type="dxa" w:w="1872"/>
          </w:tcPr>
          <w:p>
            <w:r>
              <w:rPr>
                <w:sz w:val="18"/>
              </w:rPr>
              <w:t>4.2 Orders</w:t>
            </w:r>
          </w:p>
        </w:tc>
        <w:tc>
          <w:tcPr>
            <w:tcW w:type="dxa" w:w="1872"/>
          </w:tcPr>
          <w:p>
            <w:r>
              <w:rPr>
                <w:sz w:val="18"/>
              </w:rPr>
              <w:t>$1,850.80</w:t>
            </w:r>
          </w:p>
        </w:tc>
        <w:tc>
          <w:tcPr>
            <w:tcW w:type="dxa" w:w="1872"/>
          </w:tcPr>
          <w:p>
            <w:r>
              <w:rPr>
                <w:sz w:val="18"/>
              </w:rPr>
              <w:t>Win-Back Offers, Dynamic Discounts, Feedback Surveys</w:t>
            </w:r>
          </w:p>
        </w:tc>
      </w:tr>
      <w:tr>
        <w:tc>
          <w:tcPr>
            <w:tcW w:type="dxa" w:w="1872"/>
          </w:tcPr>
          <w:p>
            <w:r>
              <w:rPr>
                <w:sz w:val="18"/>
              </w:rPr>
              <w:t>Cluster 3: Dormant Buyers</w:t>
            </w:r>
          </w:p>
        </w:tc>
        <w:tc>
          <w:tcPr>
            <w:tcW w:type="dxa" w:w="1872"/>
          </w:tcPr>
          <w:p>
            <w:r>
              <w:rPr>
                <w:sz w:val="18"/>
              </w:rPr>
              <w:t>215.3 Days</w:t>
            </w:r>
          </w:p>
        </w:tc>
        <w:tc>
          <w:tcPr>
            <w:tcW w:type="dxa" w:w="1872"/>
          </w:tcPr>
          <w:p>
            <w:r>
              <w:rPr>
                <w:sz w:val="18"/>
              </w:rPr>
              <w:t>1.3 Orders</w:t>
            </w:r>
          </w:p>
        </w:tc>
        <w:tc>
          <w:tcPr>
            <w:tcW w:type="dxa" w:w="1872"/>
          </w:tcPr>
          <w:p>
            <w:r>
              <w:rPr>
                <w:sz w:val="18"/>
              </w:rPr>
              <w:t>$240.20</w:t>
            </w:r>
          </w:p>
        </w:tc>
        <w:tc>
          <w:tcPr>
            <w:tcW w:type="dxa" w:w="1872"/>
          </w:tcPr>
          <w:p>
            <w:r>
              <w:rPr>
                <w:sz w:val="18"/>
              </w:rPr>
              <w:t>Automated Low-Cost Email Drips, Re-engagement</w:t>
            </w:r>
          </w:p>
        </w:tc>
      </w:tr>
    </w:tbl>
    <w:p>
      <w:pPr>
        <w:spacing w:before="240" w:after="80"/>
      </w:pPr>
      <w:r>
        <w:rPr>
          <w:rFonts w:ascii="Arial" w:hAnsi="Arial"/>
          <w:b/>
          <w:color w:val="282828"/>
          <w:sz w:val="25"/>
        </w:rPr>
        <w:t>6.1 Detailed Marketing Playbooks</w:t>
      </w:r>
    </w:p>
    <w:p>
      <w:pPr>
        <w:pStyle w:val="ListBullet"/>
      </w:pPr>
      <w:r>
        <w:rPr>
          <w:b/>
        </w:rPr>
        <w:t xml:space="preserve">Champions (Cluster 0): </w:t>
      </w:r>
      <w:r>
        <w:t>High spenders with frequent recent purchases. Objective: Protect and retain. Strategy: Enroll in exclusive VIP programs, offer early access to new product releases, assign dedicated customer support, and request testimonials or referrals.</w:t>
      </w:r>
    </w:p>
    <w:p>
      <w:pPr>
        <w:pStyle w:val="ListBullet"/>
      </w:pPr>
      <w:r>
        <w:rPr>
          <w:b/>
        </w:rPr>
        <w:t xml:space="preserve">Loyal Customers (Cluster 1): </w:t>
      </w:r>
      <w:r>
        <w:t>Consistent buyers with moderate-to-high spend. Objective: Drive higher Average Order Value (AOV). Strategy: Implement personalized cross-selling recommendation engines during checkout, offer free shipping on spend thresholds, and provide milestone rewards.</w:t>
      </w:r>
    </w:p>
    <w:p>
      <w:pPr>
        <w:pStyle w:val="ListBullet"/>
      </w:pPr>
      <w:r>
        <w:rPr>
          <w:b/>
        </w:rPr>
        <w:t xml:space="preserve">At-Risk Spenders (Cluster 2): </w:t>
      </w:r>
      <w:r>
        <w:t>Historically high spenders who have not purchased recently. Objective: Win-back and prevent churn. Strategy: Deploy automated email win-back sequences with limited-time discounts, send personalized product recommendations based on past order history, and conduct feedback surveys to identify dissatisfaction.</w:t>
      </w:r>
    </w:p>
    <w:p>
      <w:pPr>
        <w:pStyle w:val="ListBullet"/>
      </w:pPr>
      <w:r>
        <w:rPr>
          <w:b/>
        </w:rPr>
        <w:t xml:space="preserve">Dormant / Low-Value Buyers (Cluster 3): </w:t>
      </w:r>
      <w:r>
        <w:t>Low transaction frequency and spend with high recency days. Objective: Low-cost engagement or cost containment. Strategy: Use low-cost automated email drip campaigns during seasonal sales events, avoid expensive direct mail or heavy advertising retargeting.</w:t>
      </w:r>
    </w:p>
    <w:p>
      <w:pPr>
        <w:spacing w:before="320" w:after="120"/>
      </w:pPr>
      <w:r>
        <w:rPr>
          <w:rFonts w:ascii="Arial" w:hAnsi="Arial"/>
          <w:b/>
          <w:color w:val="003366"/>
          <w:sz w:val="30"/>
        </w:rPr>
        <w:t>7. Business Impact &amp; Strategic Recommendations</w:t>
      </w:r>
    </w:p>
    <w:p>
      <w:pPr>
        <w:pStyle w:val="ListBullet"/>
      </w:pPr>
      <w:r>
        <w:rPr>
          <w:b/>
        </w:rPr>
        <w:t xml:space="preserve">Marketing Capital Optimization: </w:t>
      </w:r>
      <w:r>
        <w:t>Reallocate up to 40% of ad spend away from Dormant accounts toward retaining Champions and re-engaging At-Risk Spenders.</w:t>
      </w:r>
    </w:p>
    <w:p>
      <w:pPr>
        <w:pStyle w:val="ListBullet"/>
      </w:pPr>
      <w:r>
        <w:rPr>
          <w:b/>
        </w:rPr>
        <w:t xml:space="preserve">Automated Lifecycle Marketing: </w:t>
      </w:r>
      <w:r>
        <w:t>Integrate RFM score outputs into Customer Relationship Management (CRM) tools like Salesforce or HubSpot to trigger real-time automated email journeys.</w:t>
      </w:r>
    </w:p>
    <w:p>
      <w:pPr>
        <w:pStyle w:val="ListBullet"/>
      </w:pPr>
      <w:r>
        <w:rPr>
          <w:b/>
        </w:rPr>
        <w:t xml:space="preserve">Dynamic Pricing &amp; Recommendations: </w:t>
      </w:r>
      <w:r>
        <w:t>Leverage cluster memberships to customize homepage banner displays and product recommendation grids per user segment.</w:t>
      </w:r>
    </w:p>
    <w:p>
      <w:pPr>
        <w:spacing w:before="320" w:after="120"/>
      </w:pPr>
      <w:r>
        <w:rPr>
          <w:rFonts w:ascii="Arial" w:hAnsi="Arial"/>
          <w:b/>
          <w:color w:val="003366"/>
          <w:sz w:val="30"/>
        </w:rPr>
        <w:t>8. Conclusion &amp; Future Scope</w:t>
      </w:r>
    </w:p>
    <w:p>
      <w:pPr>
        <w:spacing w:after="120"/>
      </w:pPr>
      <w:r>
        <w:t>This project demonstrates the power of combining data engineering, statistical feature extraction, and unsupervised machine learning to solve core retail challenges. By segmenting raw transactional logs into distinct behavioral clusters, e-commerce businesses can shift from inefficient broad-brush promotional strategies to precision retention marketing.</w:t>
      </w:r>
    </w:p>
    <w:p>
      <w:pPr>
        <w:spacing w:after="240"/>
      </w:pPr>
      <w:r>
        <w:t>Future enhancements to this framework include:</w:t>
        <w:br/>
        <w:t>• Dynamic Real-Time Scoring: Updating RFM metrics and cluster assignments dynamically via streaming transaction pipelines.</w:t>
        <w:br/>
        <w:t>• Supervised Churn Prediction: Training Classification models (e.g., XGBoost, Random Forest) to predict 30-day churn probabilities.</w:t>
        <w:br/>
        <w:t>• Customer Lifetime Value (CLV) Modeling: Integrating Gamma-Gamma and BG/NBD probabilistic models to forecast future revenue potential.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