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sz w:val="38"/>
          <w:szCs w:val="38"/>
        </w:rPr>
      </w:pPr>
      <w:bookmarkStart w:colFirst="0" w:colLast="0" w:name="_2d8aeghelyb8" w:id="0"/>
      <w:bookmarkEnd w:id="0"/>
      <w:r w:rsidDel="00000000" w:rsidR="00000000" w:rsidRPr="00000000">
        <w:rPr>
          <w:sz w:val="38"/>
          <w:szCs w:val="38"/>
          <w:rtl w:val="0"/>
        </w:rPr>
        <w:t xml:space="preserve">Jan 15, 2025</w:t>
      </w:r>
      <w:r w:rsidDel="00000000" w:rsidR="00000000" w:rsidRPr="00000000">
        <w:rPr>
          <w:sz w:val="38"/>
          <w:szCs w:val="38"/>
          <w:rtl w:val="0"/>
        </w:rPr>
        <w:t xml:space="preserve"> | Maps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Trainer: </w:t>
      </w:r>
      <w:hyperlink r:id="rId6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Sagar Sonwane</w:t>
        </w:r>
      </w:hyperlink>
      <w:r w:rsidDel="00000000" w:rsidR="00000000" w:rsidRPr="00000000">
        <w:rPr>
          <w:sz w:val="28"/>
          <w:szCs w:val="28"/>
          <w:rtl w:val="0"/>
        </w:rPr>
        <w:t xml:space="preserve"> Mentor: </w:t>
      </w:r>
      <w:hyperlink r:id="rId7">
        <w:r w:rsidDel="00000000" w:rsidR="00000000" w:rsidRPr="00000000">
          <w:rPr>
            <w:color w:val="0000ee"/>
            <w:sz w:val="28"/>
            <w:szCs w:val="28"/>
            <w:u w:val="single"/>
            <w:rtl w:val="0"/>
          </w:rPr>
          <w:t xml:space="preserve">Sparsh Arora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map internally works?</w:t>
      </w:r>
    </w:p>
    <w:tbl>
      <w:tblPr>
        <w:tblStyle w:val="Table1"/>
        <w:tblW w:w="9390.0" w:type="dxa"/>
        <w:jc w:val="left"/>
        <w:tblInd w:w="-30.0" w:type="dxa"/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f1ef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sz w:val="28"/>
                <w:szCs w:val="28"/>
                <w:u w:val="non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nothing but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buckets internally. Which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like linked list.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sz w:val="28"/>
                <w:szCs w:val="28"/>
                <w:u w:val="non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Each bucket can have at max </w:t>
            </w:r>
            <w:r w:rsidDel="00000000" w:rsidR="00000000" w:rsidRPr="00000000">
              <w:rPr>
                <w:rFonts w:ascii="Consolas" w:cs="Consolas" w:eastAsia="Consolas" w:hAnsi="Consolas"/>
                <w:color w:val="df5320"/>
                <w:sz w:val="28"/>
                <w:szCs w:val="28"/>
                <w:shd w:fill="f1efee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key value pair.</w:t>
              <w:br w:type="textWrapping"/>
              <w:t xml:space="preserve">Bucket has a overflow pointer,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current bucket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full it will create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bucket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the address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the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bucket will be stored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the current bucket</w:t>
            </w:r>
            <w:r w:rsidDel="00000000" w:rsidR="00000000" w:rsidRPr="00000000">
              <w:rPr>
                <w:rFonts w:ascii="Consolas" w:cs="Consolas" w:eastAsia="Consolas" w:hAnsi="Consolas"/>
                <w:color w:val="7b9726"/>
                <w:sz w:val="28"/>
                <w:szCs w:val="28"/>
                <w:shd w:fill="f1efee" w:val="clear"/>
                <w:rtl w:val="0"/>
              </w:rPr>
              <w:t xml:space="preserve">'s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overflow pointer.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sz w:val="28"/>
                <w:szCs w:val="28"/>
                <w:u w:val="non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Bucket always doubles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size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available buckets are full.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sz w:val="28"/>
                <w:szCs w:val="28"/>
                <w:u w:val="non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Even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key value pair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deleted bucket remains there, Such that it always grows.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sz w:val="28"/>
                <w:szCs w:val="28"/>
                <w:u w:val="non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has nil value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initialized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we try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access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it Panic will occur.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onsolas" w:cs="Consolas" w:eastAsia="Consolas" w:hAnsi="Consolas"/>
                <w:sz w:val="28"/>
                <w:szCs w:val="28"/>
                <w:u w:val="none"/>
                <w:shd w:fill="f1ef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initialize empty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we can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make() 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                hashMap := make(</w:t>
            </w:r>
            <w:r w:rsidDel="00000000" w:rsidR="00000000" w:rsidRPr="00000000">
              <w:rPr>
                <w:rFonts w:ascii="Consolas" w:cs="Consolas" w:eastAsia="Consolas" w:hAnsi="Consolas"/>
                <w:color w:val="6666ea"/>
                <w:sz w:val="28"/>
                <w:szCs w:val="28"/>
                <w:shd w:fill="f1efee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[i</w:t>
            </w: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576888" cy="33813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888" cy="3381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  <w:rtl w:val="0"/>
              </w:rPr>
              <w:t xml:space="preserve">nt]int)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  <w:rPr>
                <w:rFonts w:ascii="Consolas" w:cs="Consolas" w:eastAsia="Consolas" w:hAnsi="Consolas"/>
                <w:color w:val="68615e"/>
                <w:sz w:val="28"/>
                <w:szCs w:val="28"/>
                <w:shd w:fill="f1efee" w:val="clear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114300" distT="114300" distL="114300" distR="114300">
                  <wp:extent cx="5829300" cy="32893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 link -&gt; https://phati-sawant.medium.com/internals-of-map-in-golang-33db6e25b3f8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sagar.sonwane@joshsoftware.com" TargetMode="External"/><Relationship Id="rId7" Type="http://schemas.openxmlformats.org/officeDocument/2006/relationships/hyperlink" Target="mailto:sparsh.arora@joshsoftware.co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