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r>
        <w:rPr>
          <w:rFonts w:ascii="Arial" w:cs="Arial" w:eastAsia="Arial" w:hAnsi="Arial"/>
          <w:b/>
          <w:bCs/>
          <w:color w:val="1F3864"/>
          <w:sz w:val="56"/>
          <w:szCs w:val="56"/>
        </w:rPr>
        <w:t xml:space="preserve">Media Mix Modelling</w:t>
      </w:r>
    </w:p>
    <w:p>
      <w:pPr>
        <w:spacing w:after="200"/>
      </w:pPr>
      <w:r>
        <w:rPr>
          <w:rFonts w:ascii="Arial" w:cs="Arial" w:eastAsia="Arial" w:hAnsi="Arial"/>
          <w:color w:val="2E75B6"/>
          <w:sz w:val="32"/>
          <w:szCs w:val="32"/>
        </w:rPr>
        <w:t xml:space="preserve">Mathematical Foundations &amp; Distribution Choices</w:t>
      </w:r>
    </w:p>
    <w:p>
      <w:pPr>
        <w:pBdr>
          <w:bottom w:val="single" w:color="2E75B6" w:sz="6" w:space="1"/>
        </w:pBdr>
        <w:spacing w:after="160"/>
      </w:pPr>
      <w:r>
        <w:t xml:space="preserve"/>
      </w:r>
    </w:p>
    <w:p>
      <w:pPr>
        <w:spacing w:after="1440"/>
      </w:pPr>
      <w:r>
        <w:rPr>
          <w:rFonts w:ascii="Arial" w:cs="Arial" w:eastAsia="Arial" w:hAnsi="Arial"/>
          <w:i/>
          <w:iCs/>
          <w:color w:val="444444"/>
          <w:sz w:val="24"/>
          <w:szCs w:val="24"/>
        </w:rPr>
        <w:t xml:space="preserve">A guide to the statistical building blocks of MMM — why each distribution is used, where assumptions live, and what can go wrong.</w:t>
      </w:r>
    </w:p>
    <w:p>
      <w:r>
        <w:br w:type="page"/>
      </w:r>
    </w:p>
    <w:p>
      <w:pPr>
        <w:pStyle w:val="Heading1"/>
      </w:pPr>
      <w:r>
        <w:t xml:space="preserve">1. The Master MMM Equation</w:t>
      </w:r>
    </w:p>
    <w:p>
      <w:pPr>
        <w:spacing w:after="160"/>
      </w:pPr>
      <w:r>
        <w:rPr>
          <w:rFonts w:ascii="Arial" w:cs="Arial" w:eastAsia="Arial" w:hAnsi="Arial"/>
          <w:sz w:val="24"/>
          <w:szCs w:val="24"/>
        </w:rPr>
        <w:t xml:space="preserve">At its core, Media Mix Modelling is an additive regression that decomposes a KPI (revenue, conversions, etc.) into contributions from each component:</w:t>
      </w:r>
    </w:p>
    <w:p>
      <w:pPr>
        <w:spacing w:after="80"/>
      </w:pPr>
      <w:r>
        <w:t xml:space="preserve"/>
      </w:r>
    </w:p>
    <w:p>
      <w:pPr>
        <w:spacing w:after="80" w:before="80"/>
        <w:ind w:left="720"/>
      </w:pPr>
      <w:r>
        <w:rPr>
          <w:rFonts w:ascii="Courier New" w:cs="Courier New" w:eastAsia="Courier New" w:hAnsi="Courier New"/>
          <w:color w:val="1F5C8B"/>
          <w:sz w:val="22"/>
          <w:szCs w:val="22"/>
        </w:rPr>
        <w:t xml:space="preserve">y(t) = α₀ + Σ[βᵢ · Sat(Adstock(xᵢ(t)))] + Σ[γⱼ · zⱼ(t)] + S(t) + ε(t)</w:t>
      </w:r>
    </w:p>
    <w:p>
      <w:pPr>
        <w:spacing w:after="80"/>
      </w:pPr>
      <w:r>
        <w:t xml:space="preserve"/>
      </w:r>
    </w:p>
    <w:p>
      <w:pPr>
        <w:spacing w:after="160"/>
      </w:pPr>
      <w:r>
        <w:rPr>
          <w:rFonts w:ascii="Arial" w:cs="Arial" w:eastAsia="Arial" w:hAnsi="Arial"/>
          <w:b/>
          <w:bCs/>
          <w:sz w:val="24"/>
          <w:szCs w:val="24"/>
        </w:rPr>
        <w:t xml:space="preserve">Where: </w:t>
      </w:r>
      <w:r>
        <w:rPr>
          <w:rFonts w:ascii="Arial" w:cs="Arial" w:eastAsia="Arial" w:hAnsi="Arial"/>
          <w:sz w:val="24"/>
          <w:szCs w:val="24"/>
        </w:rPr>
        <w:t xml:space="preserve">y(t) = KPI output at time t,  xᵢ = channel spends,  zⱼ = external variables,  S(t) = seasonality,  ε(t) = error term</w:t>
      </w:r>
    </w:p>
    <w:p>
      <w:pPr>
        <w:spacing w:after="80"/>
      </w:pPr>
      <w:r>
        <w:t xml:space="preserve"/>
      </w:r>
    </w:p>
    <w:p>
      <w:pPr>
        <w:pStyle w:val="Heading2"/>
      </w:pPr>
      <w:r>
        <w:t xml:space="preserve">Distribution Decision Rules at a Glance</w:t>
      </w:r>
    </w:p>
    <w:p>
      <w:pPr>
        <w:spacing w:after="160"/>
      </w:pPr>
      <w:r>
        <w:rPr>
          <w:rFonts w:ascii="Arial" w:cs="Arial" w:eastAsia="Arial" w:hAnsi="Arial"/>
          <w:sz w:val="24"/>
          <w:szCs w:val="24"/>
        </w:rPr>
        <w:t xml:space="preserve">Every distribution choice in MMM follows a single principle: match the distribution's support (valid range) to the parameter's valid range, then pick flexibility within that range.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Parameter</w:t>
            </w:r>
          </w:p>
        </w:tc>
        <w:tc>
          <w:tcPr>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Valid range</w:t>
            </w:r>
          </w:p>
        </w:tc>
        <w:tc>
          <w:tcPr>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Distribution</w:t>
            </w:r>
          </w:p>
        </w:tc>
        <w:tc>
          <w:tcPr>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Reason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Base α₀</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Gamma / HalfNormal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Always positive; flexible shape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External coeff γ (positive)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Gamma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Sign-constrained, right-skewed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External coeff γ (signed)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Normal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Can boost or suppress KPI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Adstock decay λ</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Beta(α, β)</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Proportion; only dist native to [0,1]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Saturation steepness 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Gamma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Positive, no upper bound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Fourier coefficients a, 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Normal(0, σ)</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Bidirectional seasonality</w:t>
            </w:r>
          </w:p>
        </w:tc>
      </w:tr>
    </w:tbl>
    <w:p>
      <w:r>
        <w:br w:type="page"/>
      </w:r>
    </w:p>
    <w:p>
      <w:pPr>
        <w:pStyle w:val="Heading1"/>
      </w:pPr>
      <w:r>
        <w:t xml:space="preserve">2. Underlying Base — α₀</w:t>
      </w:r>
    </w:p>
    <w:p>
      <w:pPr>
        <w:spacing w:after="160"/>
      </w:pPr>
      <w:r>
        <w:rPr>
          <w:rFonts w:ascii="Arial" w:cs="Arial" w:eastAsia="Arial" w:hAnsi="Arial"/>
          <w:sz w:val="24"/>
          <w:szCs w:val="24"/>
        </w:rPr>
        <w:t xml:space="preserve">The base represents the KPI level without any media activity or external influence. It is the model's intercept. Since revenue and conversions cannot be negative, the prior placed on α₀ must be defined on (0, ∞).</w:t>
      </w:r>
    </w:p>
    <w:p>
      <w:pPr>
        <w:spacing w:after="80"/>
      </w:pPr>
      <w:r>
        <w:t xml:space="preserve"/>
      </w:r>
    </w:p>
    <w:p>
      <w:r>
        <w:rPr>
          <w:rFonts w:ascii="Arial" w:cs="Arial" w:eastAsia="Arial" w:hAnsi="Arial"/>
          <w:b/>
          <w:bCs/>
          <w:sz w:val="24"/>
          <w:szCs w:val="24"/>
        </w:rPr>
        <w:t xml:space="preserve">Prior used: </w:t>
      </w:r>
      <w:r>
        <w:rPr>
          <w:rFonts w:ascii="Arial" w:cs="Arial" w:eastAsia="Arial" w:hAnsi="Arial"/>
          <w:sz w:val="24"/>
          <w:szCs w:val="24"/>
        </w:rPr>
        <w:t xml:space="preserve">Gamma(α, β) or HalfNormal(σ)</w:t>
      </w:r>
    </w:p>
    <w:p>
      <w:pPr>
        <w:spacing w:after="80"/>
      </w:pPr>
      <w:r>
        <w:t xml:space="preserve"/>
      </w:r>
    </w:p>
    <w:p>
      <w:pPr>
        <w:pStyle w:val="Heading2"/>
      </w:pPr>
      <w:r>
        <w:t xml:space="preserve">Why Gamma?</w:t>
      </w:r>
    </w:p>
    <w:p>
      <w:pPr>
        <w:pStyle w:val="ListParagraph"/>
        <w:numPr>
          <w:ilvl w:val="0"/>
          <w:numId w:val="2"/>
        </w:numPr>
        <w:spacing w:after="100"/>
      </w:pPr>
      <w:r>
        <w:rPr>
          <w:rFonts w:ascii="Arial" w:cs="Arial" w:eastAsia="Arial" w:hAnsi="Arial"/>
          <w:sz w:val="24"/>
          <w:szCs w:val="24"/>
        </w:rPr>
        <w:t xml:space="preserve">Defined on (0, ∞) — enforces the positivity constraint by construction</w:t>
      </w:r>
    </w:p>
    <w:p>
      <w:pPr>
        <w:pStyle w:val="ListParagraph"/>
        <w:numPr>
          <w:ilvl w:val="0"/>
          <w:numId w:val="2"/>
        </w:numPr>
        <w:spacing w:after="100"/>
      </w:pPr>
      <w:r>
        <w:rPr>
          <w:rFonts w:ascii="Arial" w:cs="Arial" w:eastAsia="Arial" w:hAnsi="Arial"/>
          <w:sz w:val="24"/>
          <w:szCs w:val="24"/>
        </w:rPr>
        <w:t xml:space="preserve">Maximum entropy distribution for a positive variable with a known mean — it makes the fewest additional assumptions</w:t>
      </w:r>
    </w:p>
    <w:p>
      <w:pPr>
        <w:pStyle w:val="ListParagraph"/>
        <w:numPr>
          <w:ilvl w:val="0"/>
          <w:numId w:val="2"/>
        </w:numPr>
        <w:spacing w:after="100"/>
      </w:pPr>
      <w:r>
        <w:rPr>
          <w:rFonts w:ascii="Arial" w:cs="Arial" w:eastAsia="Arial" w:hAnsi="Arial"/>
          <w:sz w:val="24"/>
          <w:szCs w:val="24"/>
        </w:rPr>
        <w:t xml:space="preserve">Flexible shape: the shape parameter lets it be exponential-like (most baselines are small, occasional outliers) or near-symmetric bell-curve</w:t>
      </w:r>
    </w:p>
    <w:p>
      <w:pPr>
        <w:pStyle w:val="ListParagraph"/>
        <w:numPr>
          <w:ilvl w:val="0"/>
          <w:numId w:val="2"/>
        </w:numPr>
        <w:spacing w:after="100"/>
      </w:pPr>
      <w:r>
        <w:rPr>
          <w:rFonts w:ascii="Arial" w:cs="Arial" w:eastAsia="Arial" w:hAnsi="Arial"/>
          <w:sz w:val="24"/>
          <w:szCs w:val="24"/>
        </w:rPr>
        <w:t xml:space="preserve">HalfNormal is an alternative when you expect the base to be relatively concentrated around a smaller value</w:t>
      </w:r>
    </w:p>
    <w:p>
      <w:pPr>
        <w:spacing w:after="80"/>
      </w:pPr>
      <w:r>
        <w:t xml:space="preserve"/>
      </w:r>
    </w:p>
    <w:p>
      <w:pPr>
        <w:spacing w:after="160"/>
      </w:pPr>
      <w:r>
        <w:rPr>
          <w:rFonts w:ascii="Arial" w:cs="Arial" w:eastAsia="Arial" w:hAnsi="Arial"/>
          <w:sz w:val="24"/>
          <w:szCs w:val="24"/>
        </w:rPr>
        <w:t xml:space="preserve">The base is not multiplied by a distribution — it receives a prior distribution in the Bayesian sense. The prior expresses beliefs before data is observed; the posterior updates those beliefs once data is incorporated.</w:t>
      </w:r>
    </w:p>
    <w:p>
      <w:pPr>
        <w:spacing w:after="80"/>
      </w:pPr>
      <w:r>
        <w:t xml:space="preserve"/>
      </w:r>
    </w:p>
    <w:p>
      <w:pPr>
        <w:pStyle w:val="Heading1"/>
      </w:pPr>
      <w:r>
        <w:t xml:space="preserve">3. External Variables — γⱼ · zⱼ(t)</w:t>
      </w:r>
    </w:p>
    <w:p>
      <w:pPr>
        <w:spacing w:after="160"/>
      </w:pPr>
      <w:r>
        <w:rPr>
          <w:rFonts w:ascii="Arial" w:cs="Arial" w:eastAsia="Arial" w:hAnsi="Arial"/>
          <w:sz w:val="24"/>
          <w:szCs w:val="24"/>
        </w:rPr>
        <w:t xml:space="preserve">External variables capture macro-level factors that influence the KPI but are not media spend — examples include public holidays, economic indicators, weather, competitor activity, and promotions.</w:t>
      </w:r>
    </w:p>
    <w:p>
      <w:pPr>
        <w:spacing w:after="80"/>
      </w:pPr>
      <w:r>
        <w:t xml:space="preserve"/>
      </w:r>
    </w:p>
    <w:p>
      <w:pPr>
        <w:spacing w:after="160"/>
      </w:pPr>
      <w:r>
        <w:rPr>
          <w:rFonts w:ascii="Arial" w:cs="Arial" w:eastAsia="Arial" w:hAnsi="Arial"/>
          <w:sz w:val="24"/>
          <w:szCs w:val="24"/>
        </w:rPr>
        <w:t xml:space="preserve">The coefficient γⱼ scales each external variable's observed value by its impact on the KPI. The distribution placed on γ depends on whether the effect is directionally constrained:</w:t>
      </w:r>
    </w:p>
    <w:p>
      <w:pPr>
        <w:spacing w:after="80"/>
      </w:pPr>
      <w:r>
        <w:t xml:space="preserve"/>
      </w:r>
    </w:p>
    <w:p>
      <w:pPr>
        <w:pStyle w:val="ListParagraph"/>
        <w:numPr>
          <w:ilvl w:val="0"/>
          <w:numId w:val="2"/>
        </w:numPr>
        <w:spacing w:after="100"/>
      </w:pPr>
      <w:r>
        <w:rPr>
          <w:rFonts w:ascii="Arial" w:cs="Arial" w:eastAsia="Arial" w:hAnsi="Arial"/>
          <w:sz w:val="24"/>
          <w:szCs w:val="24"/>
        </w:rPr>
        <w:t xml:space="preserve">Positive-only effects (e.g. holidays boosting sales): γ ~ Gamma</w:t>
      </w:r>
    </w:p>
    <w:p>
      <w:pPr>
        <w:pStyle w:val="ListParagraph"/>
        <w:numPr>
          <w:ilvl w:val="0"/>
          <w:numId w:val="2"/>
        </w:numPr>
        <w:spacing w:after="100"/>
      </w:pPr>
      <w:r>
        <w:rPr>
          <w:rFonts w:ascii="Arial" w:cs="Arial" w:eastAsia="Arial" w:hAnsi="Arial"/>
          <w:sz w:val="24"/>
          <w:szCs w:val="24"/>
        </w:rPr>
        <w:t xml:space="preserve">Signed effects (e.g. economic index, competitor spend): γ ~ Normal</w:t>
      </w:r>
    </w:p>
    <w:p>
      <w:pPr>
        <w:spacing w:after="80"/>
      </w:pPr>
      <w:r>
        <w:t xml:space="preserve"/>
      </w:r>
    </w:p>
    <w:p>
      <w:pPr>
        <w:pStyle w:val="Heading2"/>
      </w:pPr>
      <w:r>
        <w:t xml:space="preserve">Why Gamma for positive-only effects?</w:t>
      </w:r>
    </w:p>
    <w:p>
      <w:pPr>
        <w:pStyle w:val="ListParagraph"/>
        <w:numPr>
          <w:ilvl w:val="0"/>
          <w:numId w:val="2"/>
        </w:numPr>
        <w:spacing w:after="100"/>
      </w:pPr>
      <w:r>
        <w:rPr>
          <w:rFonts w:ascii="Arial" w:cs="Arial" w:eastAsia="Arial" w:hAnsi="Arial"/>
          <w:sz w:val="24"/>
          <w:szCs w:val="24"/>
        </w:rPr>
        <w:t xml:space="preserve">It is defined on (0, ∞), enforcing the sign constraint without truncation</w:t>
      </w:r>
    </w:p>
    <w:p>
      <w:pPr>
        <w:pStyle w:val="ListParagraph"/>
        <w:numPr>
          <w:ilvl w:val="0"/>
          <w:numId w:val="2"/>
        </w:numPr>
        <w:spacing w:after="100"/>
      </w:pPr>
      <w:r>
        <w:rPr>
          <w:rFonts w:ascii="Arial" w:cs="Arial" w:eastAsia="Arial" w:hAnsi="Arial"/>
          <w:sz w:val="24"/>
          <w:szCs w:val="24"/>
        </w:rPr>
        <w:t xml:space="preserve">It is right-skewed: captures the prior belief that most external effects are modest, but occasionally very large</w:t>
      </w:r>
    </w:p>
    <w:p>
      <w:pPr>
        <w:pStyle w:val="ListParagraph"/>
        <w:numPr>
          <w:ilvl w:val="0"/>
          <w:numId w:val="2"/>
        </w:numPr>
        <w:spacing w:after="100"/>
      </w:pPr>
      <w:r>
        <w:rPr>
          <w:rFonts w:ascii="Arial" w:cs="Arial" w:eastAsia="Arial" w:hAnsi="Arial"/>
          <w:sz w:val="24"/>
          <w:szCs w:val="24"/>
        </w:rPr>
        <w:t xml:space="preserve">It is the maximum entropy distribution for a positive variable with a fixed mean — it imposes no additional structure beyond positivity and expected magnitude</w:t>
      </w:r>
    </w:p>
    <w:p>
      <w:pPr>
        <w:spacing w:after="80"/>
      </w:pPr>
      <w:r>
        <w:t xml:space="preserve"/>
      </w:r>
    </w:p>
    <w:p>
      <w:pPr>
        <w:spacing w:after="160"/>
      </w:pPr>
      <w:r>
        <w:rPr>
          <w:rFonts w:ascii="Arial" w:cs="Arial" w:eastAsia="Arial" w:hAnsi="Arial"/>
          <w:sz w:val="24"/>
          <w:szCs w:val="24"/>
        </w:rPr>
        <w:t xml:space="preserve">It is important to note that Gamma is not always used here. If the analyst has no directional hypothesis about an external variable, a Normal prior is more appropriate. The distribution is a modelling choice, not a universal law.</w:t>
      </w:r>
    </w:p>
    <w:p>
      <w:r>
        <w:br w:type="page"/>
      </w:r>
    </w:p>
    <w:p>
      <w:pPr>
        <w:pStyle w:val="Heading1"/>
      </w:pPr>
      <w:r>
        <w:t xml:space="preserve">4. Channel Spends — βᵢ · Sat(Adstock(xᵢ(t)))</w:t>
      </w:r>
    </w:p>
    <w:p>
      <w:pPr>
        <w:spacing w:after="160"/>
      </w:pPr>
      <w:r>
        <w:rPr>
          <w:rFonts w:ascii="Arial" w:cs="Arial" w:eastAsia="Arial" w:hAnsi="Arial"/>
          <w:sz w:val="24"/>
          <w:szCs w:val="24"/>
        </w:rPr>
        <w:t xml:space="preserve">Channel contributions are the most mathematically complex component of MMM. Raw channel spend is first transformed by an adstock function (to account for carryover effects) and then by a saturation function (to account for diminishing returns). Only then is the result multiplied by the channel coefficient βᵢ.</w:t>
      </w:r>
    </w:p>
    <w:p>
      <w:pPr>
        <w:spacing w:after="80"/>
      </w:pPr>
      <w:r>
        <w:t xml:space="preserve"/>
      </w:r>
    </w:p>
    <w:p>
      <w:pPr>
        <w:pStyle w:val="Heading2"/>
      </w:pPr>
      <w:r>
        <w:t xml:space="preserve">4.1  Adstock — Geometric Decay</w:t>
      </w:r>
    </w:p>
    <w:p>
      <w:pPr>
        <w:spacing w:after="160"/>
      </w:pPr>
      <w:r>
        <w:rPr>
          <w:rFonts w:ascii="Arial" w:cs="Arial" w:eastAsia="Arial" w:hAnsi="Arial"/>
          <w:sz w:val="24"/>
          <w:szCs w:val="24"/>
        </w:rPr>
        <w:t xml:space="preserve">Advertising effects do not disappear instantly. A TV spot seen on Monday may still influence a purchase on Friday. The adstock transformation accumulates this carryover:</w:t>
      </w:r>
    </w:p>
    <w:p>
      <w:pPr>
        <w:spacing w:after="80"/>
      </w:pPr>
      <w:r>
        <w:t xml:space="preserve"/>
      </w:r>
    </w:p>
    <w:p>
      <w:pPr>
        <w:spacing w:after="80" w:before="80"/>
        <w:ind w:left="720"/>
      </w:pPr>
      <w:r>
        <w:rPr>
          <w:rFonts w:ascii="Courier New" w:cs="Courier New" w:eastAsia="Courier New" w:hAnsi="Courier New"/>
          <w:color w:val="1F5C8B"/>
          <w:sz w:val="22"/>
          <w:szCs w:val="22"/>
        </w:rPr>
        <w:t xml:space="preserve">x*(t) = x(t) + λ · x*(t−1)</w:t>
      </w:r>
    </w:p>
    <w:p>
      <w:pPr>
        <w:spacing w:after="80" w:before="80"/>
        <w:ind w:left="720"/>
      </w:pPr>
      <w:r>
        <w:rPr>
          <w:rFonts w:ascii="Courier New" w:cs="Courier New" w:eastAsia="Courier New" w:hAnsi="Courier New"/>
          <w:color w:val="1F5C8B"/>
          <w:sz w:val="22"/>
          <w:szCs w:val="22"/>
        </w:rPr>
        <w:t xml:space="preserve">     = Σₖ λᵏ · x(t−k)   [unrolled]</w:t>
      </w:r>
    </w:p>
    <w:p>
      <w:pPr>
        <w:spacing w:after="80"/>
      </w:pPr>
      <w:r>
        <w:t xml:space="preserve"/>
      </w:r>
    </w:p>
    <w:p>
      <w:pPr>
        <w:spacing w:after="160"/>
      </w:pPr>
      <w:r>
        <w:rPr>
          <w:rFonts w:ascii="Arial" w:cs="Arial" w:eastAsia="Arial" w:hAnsi="Arial"/>
          <w:sz w:val="24"/>
          <w:szCs w:val="24"/>
        </w:rPr>
        <w:t xml:space="preserve">The weight on spend from k periods ago is λ^k. This is the geometric distribution's survival function: the probability that an impression's effect survives exactly k more periods, assuming a constant wear-off probability of (1−λ) at each time step. The geometric distribution is memoryless — the probability of wearing off today does not depend on how long the effect has already lasted.</w:t>
      </w:r>
    </w:p>
    <w:p>
      <w:pPr>
        <w:spacing w:after="80"/>
      </w:pPr>
      <w:r>
        <w:t xml:space="preserve"/>
      </w:r>
    </w:p>
    <w:p>
      <w:pPr>
        <w:pStyle w:val="Heading2"/>
      </w:pPr>
      <w:r>
        <w:t xml:space="preserve">Why Beta for the decay parameter λ?</w:t>
      </w:r>
    </w:p>
    <w:p>
      <w:pPr>
        <w:spacing w:after="160"/>
      </w:pPr>
      <w:r>
        <w:rPr>
          <w:rFonts w:ascii="Arial" w:cs="Arial" w:eastAsia="Arial" w:hAnsi="Arial"/>
          <w:sz w:val="24"/>
          <w:szCs w:val="24"/>
        </w:rPr>
        <w:t xml:space="preserve">λ is a retention rate — it must live in [0, 1]. Conceptually, it is a probability (what fraction of yesterday's effect survives into today?). The Beta distribution is the natural prior for any parameter bounded to [0, 1]:</w:t>
      </w:r>
    </w:p>
    <w:p>
      <w:pPr>
        <w:pStyle w:val="ListParagraph"/>
        <w:numPr>
          <w:ilvl w:val="0"/>
          <w:numId w:val="2"/>
        </w:numPr>
        <w:spacing w:after="100"/>
      </w:pPr>
      <w:r>
        <w:rPr>
          <w:rFonts w:ascii="Arial" w:cs="Arial" w:eastAsia="Arial" w:hAnsi="Arial"/>
          <w:sz w:val="24"/>
          <w:szCs w:val="24"/>
        </w:rPr>
        <w:t xml:space="preserve">It is the only flexible distribution defined exactly on [0, 1] — it cannot produce values outside this range by construction</w:t>
      </w:r>
    </w:p>
    <w:p>
      <w:pPr>
        <w:pStyle w:val="ListParagraph"/>
        <w:numPr>
          <w:ilvl w:val="0"/>
          <w:numId w:val="2"/>
        </w:numPr>
        <w:spacing w:after="100"/>
      </w:pPr>
      <w:r>
        <w:rPr>
          <w:rFonts w:ascii="Arial" w:cs="Arial" w:eastAsia="Arial" w:hAnsi="Arial"/>
          <w:sz w:val="24"/>
          <w:szCs w:val="24"/>
        </w:rPr>
        <w:t xml:space="preserve">It is the conjugate prior to the Binomial, and λ is mathematically identical to a probability parameter</w:t>
      </w:r>
    </w:p>
    <w:p>
      <w:pPr>
        <w:pStyle w:val="ListParagraph"/>
        <w:numPr>
          <w:ilvl w:val="0"/>
          <w:numId w:val="2"/>
        </w:numPr>
        <w:spacing w:after="100"/>
      </w:pPr>
      <w:r>
        <w:rPr>
          <w:rFonts w:ascii="Arial" w:cs="Arial" w:eastAsia="Arial" w:hAnsi="Arial"/>
          <w:sz w:val="24"/>
          <w:szCs w:val="24"/>
        </w:rPr>
        <w:t xml:space="preserve">Its shape is fully tunable: Beta(2, 2) gives a bell curve centred at 0.5; Beta(1, 5) skews toward fast decay; Beta(5, 1) skews toward long carryover</w:t>
      </w:r>
    </w:p>
    <w:p>
      <w:pPr>
        <w:pStyle w:val="ListParagraph"/>
        <w:numPr>
          <w:ilvl w:val="0"/>
          <w:numId w:val="2"/>
        </w:numPr>
        <w:spacing w:after="100"/>
      </w:pPr>
      <w:r>
        <w:rPr>
          <w:rFonts w:ascii="Arial" w:cs="Arial" w:eastAsia="Arial" w:hAnsi="Arial"/>
          <w:sz w:val="24"/>
          <w:szCs w:val="24"/>
        </w:rPr>
        <w:t xml:space="preserve">Any alternative (Normal, Gamma) would require truncation or reparameterisation to stay in [0, 1] — Beta is natively there</w:t>
      </w:r>
    </w:p>
    <w:p>
      <w:pPr>
        <w:spacing w:after="80"/>
      </w:pPr>
      <w:r>
        <w:t xml:space="preserve"/>
      </w:r>
    </w:p>
    <w:p>
      <w:pPr>
        <w:pStyle w:val="Heading2"/>
      </w:pPr>
      <w:r>
        <w:t xml:space="preserve">4.2  Saturation — Diminishing Returns</w:t>
      </w:r>
    </w:p>
    <w:p>
      <w:pPr>
        <w:spacing w:after="160"/>
      </w:pPr>
      <w:r>
        <w:rPr>
          <w:rFonts w:ascii="Arial" w:cs="Arial" w:eastAsia="Arial" w:hAnsi="Arial"/>
          <w:sz w:val="24"/>
          <w:szCs w:val="24"/>
        </w:rPr>
        <w:t xml:space="preserve">At low spend levels, each additional pound/dollar of media investment produces strong returns. Beyond a certain point, the returns plateau — the audience is saturated. Two common saturation functions are:</w:t>
      </w:r>
    </w:p>
    <w:p>
      <w:pPr>
        <w:spacing w:after="80"/>
      </w:pPr>
      <w:r>
        <w:t xml:space="preserve"/>
      </w:r>
    </w:p>
    <w:p>
      <w:pPr>
        <w:spacing w:after="80" w:before="80"/>
        <w:ind w:left="720"/>
      </w:pPr>
      <w:r>
        <w:rPr>
          <w:rFonts w:ascii="Courier New" w:cs="Courier New" w:eastAsia="Courier New" w:hAnsi="Courier New"/>
          <w:color w:val="1F5C8B"/>
          <w:sz w:val="22"/>
          <w:szCs w:val="22"/>
        </w:rPr>
        <w:t xml:space="preserve">Hill:     H(x) = xⁿ / (Kⁿ + xⁿ)</w:t>
      </w:r>
    </w:p>
    <w:p>
      <w:pPr>
        <w:spacing w:after="80" w:before="80"/>
        <w:ind w:left="720"/>
      </w:pPr>
      <w:r>
        <w:rPr>
          <w:rFonts w:ascii="Courier New" w:cs="Courier New" w:eastAsia="Courier New" w:hAnsi="Courier New"/>
          <w:color w:val="1F5C8B"/>
          <w:sz w:val="22"/>
          <w:szCs w:val="22"/>
        </w:rPr>
        <w:t xml:space="preserve">Logistic: S(x) = L / (1 + e^{−k(x − x₀)})</w:t>
      </w:r>
    </w:p>
    <w:p>
      <w:pPr>
        <w:spacing w:after="80"/>
      </w:pPr>
      <w:r>
        <w:t xml:space="preserve"/>
      </w:r>
    </w:p>
    <w:p>
      <w:pPr>
        <w:spacing w:after="160"/>
      </w:pPr>
      <w:r>
        <w:rPr>
          <w:rFonts w:ascii="Arial" w:cs="Arial" w:eastAsia="Arial" w:hAnsi="Arial"/>
          <w:sz w:val="24"/>
          <w:szCs w:val="24"/>
        </w:rPr>
        <w:t xml:space="preserve">Parameters and their priors:</w:t>
      </w:r>
    </w:p>
    <w:p>
      <w:pPr>
        <w:pStyle w:val="ListParagraph"/>
        <w:numPr>
          <w:ilvl w:val="0"/>
          <w:numId w:val="2"/>
        </w:numPr>
        <w:spacing w:after="100"/>
      </w:pPr>
      <w:r>
        <w:rPr>
          <w:rFonts w:ascii="Arial" w:cs="Arial" w:eastAsia="Arial" w:hAnsi="Arial"/>
          <w:sz w:val="24"/>
          <w:szCs w:val="24"/>
        </w:rPr>
        <w:t xml:space="preserve">k (steepness): how sharply the curve bends — must be positive, so Gamma or HalfNormal prior</w:t>
      </w:r>
    </w:p>
    <w:p>
      <w:pPr>
        <w:pStyle w:val="ListParagraph"/>
        <w:numPr>
          <w:ilvl w:val="0"/>
          <w:numId w:val="2"/>
        </w:numPr>
        <w:spacing w:after="100"/>
      </w:pPr>
      <w:r>
        <w:rPr>
          <w:rFonts w:ascii="Arial" w:cs="Arial" w:eastAsia="Arial" w:hAnsi="Arial"/>
          <w:sz w:val="24"/>
          <w:szCs w:val="24"/>
        </w:rPr>
        <w:t xml:space="preserve">x₀ / K (inflection point / half-saturation constant): spend level at half-max effect — positive, so Gamma prior</w:t>
      </w:r>
    </w:p>
    <w:p>
      <w:pPr>
        <w:pStyle w:val="ListParagraph"/>
        <w:numPr>
          <w:ilvl w:val="0"/>
          <w:numId w:val="2"/>
        </w:numPr>
        <w:spacing w:after="100"/>
      </w:pPr>
      <w:r>
        <w:rPr>
          <w:rFonts w:ascii="Arial" w:cs="Arial" w:eastAsia="Arial" w:hAnsi="Arial"/>
          <w:sz w:val="24"/>
          <w:szCs w:val="24"/>
        </w:rPr>
        <w:t xml:space="preserve">L (maximum ceiling): positive, so Gamma or HalfNormal prior</w:t>
      </w:r>
    </w:p>
    <w:p>
      <w:pPr>
        <w:spacing w:after="80"/>
      </w:pPr>
      <w:r>
        <w:t xml:space="preserve"/>
      </w:r>
    </w:p>
    <w:p>
      <w:pPr>
        <w:pStyle w:val="Heading2"/>
      </w:pPr>
      <w:r>
        <w:t xml:space="preserve">When does Beta appear in saturation?</w:t>
      </w:r>
    </w:p>
    <w:p>
      <w:pPr>
        <w:spacing w:after="160"/>
      </w:pPr>
      <w:r>
        <w:rPr>
          <w:rFonts w:ascii="Arial" w:cs="Arial" w:eastAsia="Arial" w:hAnsi="Arial"/>
          <w:sz w:val="24"/>
          <w:szCs w:val="24"/>
        </w:rPr>
        <w:t xml:space="preserve">Beta is used for saturation only when a parameter is reparameterised as a proportion — for example, 'what fraction of potential is already saturated at baseline spend?' That quantity lives in [0, 1] and Beta is the natural prior. The raw parameters k, K, and L are purely positive and unbounded above 1, so they use Gamma or HalfNormal, not Beta.</w:t>
      </w:r>
    </w:p>
    <w:p>
      <w:pPr>
        <w:spacing w:after="160"/>
      </w:pPr>
      <w:r>
        <w:rPr>
          <w:rFonts w:ascii="Arial" w:cs="Arial" w:eastAsia="Arial" w:hAnsi="Arial"/>
          <w:sz w:val="24"/>
          <w:szCs w:val="24"/>
        </w:rPr>
        <w:t xml:space="preserve">Different MMM libraries (Robyn, PyMC-Marketing, LightweightMMM) use slightly different parameterisations, which is why the distribution choices can appear inconsistent across implementations.</w:t>
      </w:r>
    </w:p>
    <w:p>
      <w:r>
        <w:br w:type="page"/>
      </w:r>
    </w:p>
    <w:p>
      <w:pPr>
        <w:pStyle w:val="Heading1"/>
      </w:pPr>
      <w:r>
        <w:t xml:space="preserve">5. Time Series Seasonality — Fourier Series</w:t>
      </w:r>
    </w:p>
    <w:p>
      <w:pPr>
        <w:spacing w:after="160"/>
      </w:pPr>
      <w:r>
        <w:rPr>
          <w:rFonts w:ascii="Arial" w:cs="Arial" w:eastAsia="Arial" w:hAnsi="Arial"/>
          <w:sz w:val="24"/>
          <w:szCs w:val="24"/>
        </w:rPr>
        <w:t xml:space="preserve">Periodic patterns (weekly cycles, annual seasonality) are captured using a Fourier series decomposition:</w:t>
      </w:r>
    </w:p>
    <w:p>
      <w:pPr>
        <w:spacing w:after="80"/>
      </w:pPr>
      <w:r>
        <w:t xml:space="preserve"/>
      </w:r>
    </w:p>
    <w:p>
      <w:pPr>
        <w:spacing w:after="80" w:before="80"/>
        <w:ind w:left="720"/>
      </w:pPr>
      <w:r>
        <w:rPr>
          <w:rFonts w:ascii="Courier New" w:cs="Courier New" w:eastAsia="Courier New" w:hAnsi="Courier New"/>
          <w:color w:val="1F5C8B"/>
          <w:sz w:val="22"/>
          <w:szCs w:val="22"/>
        </w:rPr>
        <w:t xml:space="preserve">S(t) = Σₙ [aₙ · cos(2πnt/P) + bₙ · sin(2πnt/P)]</w:t>
      </w:r>
    </w:p>
    <w:p>
      <w:pPr>
        <w:spacing w:after="80"/>
      </w:pPr>
      <w:r>
        <w:t xml:space="preserve"/>
      </w:r>
    </w:p>
    <w:p>
      <w:pPr>
        <w:spacing w:after="160"/>
      </w:pPr>
      <w:r>
        <w:rPr>
          <w:rFonts w:ascii="Arial" w:cs="Arial" w:eastAsia="Arial" w:hAnsi="Arial"/>
          <w:sz w:val="24"/>
          <w:szCs w:val="24"/>
        </w:rPr>
        <w:t xml:space="preserve">The Fourier coefficients aₙ and bₙ follow a Normal(0, σ) prior. This is critically different from the Gamma prior used for external variables and the base.</w:t>
      </w:r>
    </w:p>
    <w:p>
      <w:pPr>
        <w:spacing w:after="80"/>
      </w:pPr>
      <w:r>
        <w:t xml:space="preserve"/>
      </w:r>
    </w:p>
    <w:p>
      <w:pPr>
        <w:pStyle w:val="Heading2"/>
      </w:pPr>
      <w:r>
        <w:t xml:space="preserve">Why Normal, not Gamma?</w:t>
      </w:r>
    </w:p>
    <w:p>
      <w:pPr>
        <w:pStyle w:val="ListParagraph"/>
        <w:numPr>
          <w:ilvl w:val="0"/>
          <w:numId w:val="2"/>
        </w:numPr>
        <w:spacing w:after="100"/>
      </w:pPr>
      <w:r>
        <w:rPr>
          <w:rFonts w:ascii="Arial" w:cs="Arial" w:eastAsia="Arial" w:hAnsi="Arial"/>
          <w:sz w:val="24"/>
          <w:szCs w:val="24"/>
        </w:rPr>
        <w:t xml:space="preserve">Seasonality is bidirectional — some periods boost the KPI above baseline, others suppress it below baseline</w:t>
      </w:r>
    </w:p>
    <w:p>
      <w:pPr>
        <w:pStyle w:val="ListParagraph"/>
        <w:numPr>
          <w:ilvl w:val="0"/>
          <w:numId w:val="2"/>
        </w:numPr>
        <w:spacing w:after="100"/>
      </w:pPr>
      <w:r>
        <w:rPr>
          <w:rFonts w:ascii="Arial" w:cs="Arial" w:eastAsia="Arial" w:hAnsi="Arial"/>
          <w:sz w:val="24"/>
          <w:szCs w:val="24"/>
        </w:rPr>
        <w:t xml:space="preserve">A Gamma prior (positive-only) would prevent the model from learning that January dips below the annual mean, for example</w:t>
      </w:r>
    </w:p>
    <w:p>
      <w:pPr>
        <w:pStyle w:val="ListParagraph"/>
        <w:numPr>
          <w:ilvl w:val="0"/>
          <w:numId w:val="2"/>
        </w:numPr>
        <w:spacing w:after="100"/>
      </w:pPr>
      <w:r>
        <w:rPr>
          <w:rFonts w:ascii="Arial" w:cs="Arial" w:eastAsia="Arial" w:hAnsi="Arial"/>
          <w:sz w:val="24"/>
          <w:szCs w:val="24"/>
        </w:rPr>
        <w:t xml:space="preserve">Normal is symmetric around zero, encoding the prior belief that seasonal effects are as likely to boost as to dampen</w:t>
      </w:r>
    </w:p>
    <w:p>
      <w:pPr>
        <w:pStyle w:val="ListParagraph"/>
        <w:numPr>
          <w:ilvl w:val="0"/>
          <w:numId w:val="2"/>
        </w:numPr>
        <w:spacing w:after="100"/>
      </w:pPr>
      <w:r>
        <w:rPr>
          <w:rFonts w:ascii="Arial" w:cs="Arial" w:eastAsia="Arial" w:hAnsi="Arial"/>
          <w:sz w:val="24"/>
          <w:szCs w:val="24"/>
        </w:rPr>
        <w:t xml:space="preserve">The amplitude σ (overall strength of seasonality) may itself receive a HalfNormal or Gamma prior, since it is a positive scale parameter</w:t>
      </w:r>
    </w:p>
    <w:p>
      <w:pPr>
        <w:spacing w:after="80"/>
      </w:pPr>
      <w:r>
        <w:t xml:space="preserve"/>
      </w:r>
    </w:p>
    <w:p>
      <w:pPr>
        <w:spacing w:after="160"/>
      </w:pPr>
      <w:r>
        <w:rPr>
          <w:rFonts w:ascii="Arial" w:cs="Arial" w:eastAsia="Arial" w:hAnsi="Arial"/>
          <w:sz w:val="24"/>
          <w:szCs w:val="24"/>
        </w:rPr>
        <w:t xml:space="preserve">The number of Fourier terms N controls how flexible the seasonality pattern is. Too few terms and sharp peaks are smoothed over; too many and the model overfits noise in the data.</w:t>
      </w:r>
    </w:p>
    <w:p>
      <w:r>
        <w:br w:type="page"/>
      </w:r>
    </w:p>
    <w:p>
      <w:pPr>
        <w:pStyle w:val="Heading1"/>
      </w:pPr>
      <w:r>
        <w:t xml:space="preserve">6. Risks, Assumptions, and Where MMM Goes Wrong</w:t>
      </w:r>
    </w:p>
    <w:p>
      <w:pPr>
        <w:spacing w:after="160"/>
      </w:pPr>
      <w:r>
        <w:rPr>
          <w:rFonts w:ascii="Arial" w:cs="Arial" w:eastAsia="Arial" w:hAnsi="Arial"/>
          <w:sz w:val="24"/>
          <w:szCs w:val="24"/>
        </w:rPr>
        <w:t xml:space="preserve">With so many distribution choices, MMM encodes a substantial number of assumptions. Here is an honest assessment of the risks.</w:t>
      </w:r>
    </w:p>
    <w:p>
      <w:pPr>
        <w:spacing w:after="80"/>
      </w:pPr>
      <w:r>
        <w:t xml:space="preserve"/>
      </w:r>
    </w:p>
    <w:p>
      <w:pPr>
        <w:pStyle w:val="Heading2"/>
      </w:pPr>
      <w:r>
        <w:t xml:space="preserve">6.1  The Assumption Problem</w:t>
      </w:r>
    </w:p>
    <w:p>
      <w:pPr>
        <w:spacing w:after="160"/>
      </w:pPr>
      <w:r>
        <w:rPr>
          <w:rFonts w:ascii="Arial" w:cs="Arial" w:eastAsia="Arial" w:hAnsi="Arial"/>
          <w:sz w:val="24"/>
          <w:szCs w:val="24"/>
        </w:rPr>
        <w:t xml:space="preserve">Every distribution is a modelling choice, and each encodes beliefs that may not reflect reality:</w:t>
      </w:r>
    </w:p>
    <w:p>
      <w:pPr>
        <w:pStyle w:val="ListParagraph"/>
        <w:numPr>
          <w:ilvl w:val="0"/>
          <w:numId w:val="2"/>
        </w:numPr>
        <w:spacing w:after="100"/>
      </w:pPr>
      <w:r>
        <w:rPr>
          <w:rFonts w:ascii="Arial" w:cs="Arial" w:eastAsia="Arial" w:hAnsi="Arial"/>
          <w:sz w:val="24"/>
          <w:szCs w:val="24"/>
        </w:rPr>
        <w:t xml:space="preserve">Geometric adstock assumes memoryless decay — but TV may have a delayed peak effect that builds for two weeks before declining. A Weibull or delayed adstock would be more appropriate.</w:t>
      </w:r>
    </w:p>
    <w:p>
      <w:pPr>
        <w:pStyle w:val="ListParagraph"/>
        <w:numPr>
          <w:ilvl w:val="0"/>
          <w:numId w:val="2"/>
        </w:numPr>
        <w:spacing w:after="100"/>
      </w:pPr>
      <w:r>
        <w:rPr>
          <w:rFonts w:ascii="Arial" w:cs="Arial" w:eastAsia="Arial" w:hAnsi="Arial"/>
          <w:sz w:val="24"/>
          <w:szCs w:val="24"/>
        </w:rPr>
        <w:t xml:space="preserve">The Hill saturation curve will fit any data — but if the true relationship is linear in your actual spend range, the model will still fit a curve, simply with a very high inflection point, creating false confidence in headroom.</w:t>
      </w:r>
    </w:p>
    <w:p>
      <w:pPr>
        <w:pStyle w:val="ListParagraph"/>
        <w:numPr>
          <w:ilvl w:val="0"/>
          <w:numId w:val="2"/>
        </w:numPr>
        <w:spacing w:after="100"/>
      </w:pPr>
      <w:r>
        <w:rPr>
          <w:rFonts w:ascii="Arial" w:cs="Arial" w:eastAsia="Arial" w:hAnsi="Arial"/>
          <w:sz w:val="24"/>
          <w:szCs w:val="24"/>
        </w:rPr>
        <w:t xml:space="preserve">A tight Gamma prior on an external coefficient may prevent the model from learning a genuinely large effect if the prior variance is too small.</w:t>
      </w:r>
    </w:p>
    <w:p>
      <w:pPr>
        <w:spacing w:after="80"/>
      </w:pPr>
      <w:r>
        <w:t xml:space="preserve"/>
      </w:r>
    </w:p>
    <w:p>
      <w:pPr>
        <w:pStyle w:val="Heading2"/>
      </w:pPr>
      <w:r>
        <w:t xml:space="preserve">6.2  Structural Failure Modes</w:t>
      </w:r>
    </w:p>
    <w:p>
      <w:pPr>
        <w:spacing w:after="120"/>
      </w:pPr>
      <w:r>
        <w:rPr>
          <w:rFonts w:ascii="Arial" w:cs="Arial" w:eastAsia="Arial" w:hAnsi="Arial"/>
          <w:b/>
          <w:bCs/>
          <w:sz w:val="24"/>
          <w:szCs w:val="24"/>
        </w:rPr>
        <w:t xml:space="preserve">Collinearity: </w:t>
      </w:r>
      <w:r>
        <w:rPr>
          <w:rFonts w:ascii="Arial" w:cs="Arial" w:eastAsia="Arial" w:hAnsi="Arial"/>
          <w:sz w:val="24"/>
          <w:szCs w:val="24"/>
        </w:rPr>
        <w:t xml:space="preserve">If TV and digital spend always move together (same budget cycles), the model cannot separate their effects. The priors will heavily influence which channel receives credit, and no amount of data will resolve the ambiguity.</w:t>
      </w:r>
    </w:p>
    <w:p>
      <w:pPr>
        <w:spacing w:after="120"/>
      </w:pPr>
      <w:r>
        <w:rPr>
          <w:rFonts w:ascii="Arial" w:cs="Arial" w:eastAsia="Arial" w:hAnsi="Arial"/>
          <w:b/>
          <w:bCs/>
          <w:sz w:val="24"/>
          <w:szCs w:val="24"/>
        </w:rPr>
        <w:t xml:space="preserve">Omitted variable bias: </w:t>
      </w:r>
      <w:r>
        <w:rPr>
          <w:rFonts w:ascii="Arial" w:cs="Arial" w:eastAsia="Arial" w:hAnsi="Arial"/>
          <w:sz w:val="24"/>
          <w:szCs w:val="24"/>
        </w:rPr>
        <w:t xml:space="preserve">If a competitor ran a large campaign in Q4 and it was not included as an external variable, the model will attribute that KPI suppression to reduced media efficiency in your own channels.</w:t>
      </w:r>
    </w:p>
    <w:p>
      <w:pPr>
        <w:spacing w:after="120"/>
      </w:pPr>
      <w:r>
        <w:rPr>
          <w:rFonts w:ascii="Arial" w:cs="Arial" w:eastAsia="Arial" w:hAnsi="Arial"/>
          <w:b/>
          <w:bCs/>
          <w:sz w:val="24"/>
          <w:szCs w:val="24"/>
        </w:rPr>
        <w:t xml:space="preserve">Structural breaks: </w:t>
      </w:r>
      <w:r>
        <w:rPr>
          <w:rFonts w:ascii="Arial" w:cs="Arial" w:eastAsia="Arial" w:hAnsi="Arial"/>
          <w:sz w:val="24"/>
          <w:szCs w:val="24"/>
        </w:rPr>
        <w:t xml:space="preserve">Events like COVID fundamentally change the relationship between media and consumer response. A model trained on pre-break data with post-break data appended will produce unreliable estimates for both periods.</w:t>
      </w:r>
    </w:p>
    <w:p>
      <w:pPr>
        <w:spacing w:after="160"/>
      </w:pPr>
      <w:r>
        <w:rPr>
          <w:rFonts w:ascii="Arial" w:cs="Arial" w:eastAsia="Arial" w:hAnsi="Arial"/>
          <w:b/>
          <w:bCs/>
          <w:sz w:val="24"/>
          <w:szCs w:val="24"/>
        </w:rPr>
        <w:t xml:space="preserve">Insufficient data: </w:t>
      </w:r>
      <w:r>
        <w:rPr>
          <w:rFonts w:ascii="Arial" w:cs="Arial" w:eastAsia="Arial" w:hAnsi="Arial"/>
          <w:sz w:val="24"/>
          <w:szCs w:val="24"/>
        </w:rPr>
        <w:t xml:space="preserve">With less than 2 years of weekly observations, there is typically insufficient data to separately identify seasonality, adstock, and saturation simultaneously. The model will produce results that look plausible but are poorly identified.</w:t>
      </w:r>
    </w:p>
    <w:p>
      <w:pPr>
        <w:spacing w:after="80"/>
      </w:pPr>
      <w:r>
        <w:t xml:space="preserve"/>
      </w:r>
    </w:p>
    <w:p>
      <w:pPr>
        <w:pStyle w:val="Heading2"/>
      </w:pPr>
      <w:r>
        <w:t xml:space="preserve">6.3  Why It Is Not as Catastrophic as It Sounds</w:t>
      </w:r>
    </w:p>
    <w:p>
      <w:pPr>
        <w:spacing w:after="160"/>
      </w:pPr>
      <w:r>
        <w:rPr>
          <w:rFonts w:ascii="Arial" w:cs="Arial" w:eastAsia="Arial" w:hAnsi="Arial"/>
          <w:sz w:val="24"/>
          <w:szCs w:val="24"/>
        </w:rPr>
        <w:t xml:space="preserve">The distributions serve as regularisation in a severely underdetermined problem. A typical MMM has 100–200 data points trying to estimate 20–50 parameters. Without priors, the model would be unidentifiable. Bayesian priors keep the parameters in plausible ranges while allowing the data to update them.</w:t>
      </w:r>
    </w:p>
    <w:p>
      <w:pPr>
        <w:spacing w:after="160"/>
      </w:pPr>
      <w:r>
        <w:rPr>
          <w:rFonts w:ascii="Arial" w:cs="Arial" w:eastAsia="Arial" w:hAnsi="Arial"/>
          <w:sz w:val="24"/>
          <w:szCs w:val="24"/>
        </w:rPr>
        <w:t xml:space="preserve">Critically, the Bayesian posterior provides uncertainty estimates. A well-run MMM does not say 'TV contributes 32%' — it says 'TV contributes 32% with a 90% credible interval of 18%–51%.' That uncertainty is the model being honest about what it does not know.</w:t>
      </w:r>
    </w:p>
    <w:p>
      <w:pPr>
        <w:spacing w:after="160"/>
      </w:pPr>
      <w:r>
        <w:rPr>
          <w:rFonts w:ascii="Arial" w:cs="Arial" w:eastAsia="Arial" w:hAnsi="Arial"/>
          <w:sz w:val="24"/>
          <w:szCs w:val="24"/>
        </w:rPr>
        <w:t xml:space="preserve">Assumptions can also be tested externally through geo holdout experiments, incrementality tests, and media weight A/B tests. These provide ground truth to calibrate whether adstock and saturation estimates are in the right ballpark.</w:t>
      </w:r>
    </w:p>
    <w:p>
      <w:pPr>
        <w:spacing w:after="80"/>
      </w:pPr>
      <w:r>
        <w:t xml:space="preserve"/>
      </w:r>
    </w:p>
    <w:p>
      <w:pPr>
        <w:pStyle w:val="Heading2"/>
      </w:pPr>
      <w:r>
        <w:t xml:space="preserve">6.4  The Honest Bottom Line</w:t>
      </w:r>
    </w:p>
    <w:p>
      <w:pPr>
        <w:spacing w:after="160"/>
      </w:pPr>
      <w:r>
        <w:rPr>
          <w:rFonts w:ascii="Arial" w:cs="Arial" w:eastAsia="Arial" w:hAnsi="Arial"/>
          <w:sz w:val="24"/>
          <w:szCs w:val="24"/>
        </w:rPr>
        <w:t xml:space="preserve">MMM is best understood as a structured way to synthesise prior knowledge and observed data, not as a ground truth machine. The distributions will be wrong in some ways — the question is whether they are wrong enough to reverse budget recommendations.</w:t>
      </w:r>
    </w:p>
    <w:p>
      <w:pPr>
        <w:spacing w:after="160"/>
      </w:pPr>
      <w:r>
        <w:rPr>
          <w:rFonts w:ascii="Arial" w:cs="Arial" w:eastAsia="Arial" w:hAnsi="Arial"/>
          <w:sz w:val="24"/>
          <w:szCs w:val="24"/>
        </w:rPr>
        <w:t xml:space="preserve">Models that go most wrong are those where analysts treat the output as a black box, do not interrogate the priors, skip external validation, and hand results directly to media buyers. The distribution choices are the least of the problem in those cases. The real risk is the absence of critical thinking around them.</w:t>
      </w:r>
    </w:p>
    <w:p>
      <w:r>
        <w:br w:type="page"/>
      </w:r>
    </w:p>
    <w:p>
      <w:pPr>
        <w:pStyle w:val="Heading1"/>
      </w:pPr>
      <w:r>
        <w:t xml:space="preserve">Appendix: Full Distribution Reference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1800"/>
        <w:gridCol w:w="2100"/>
        <w:gridCol w:w="2100"/>
      </w:tblGrid>
      <w:tr>
        <w:trPr>
          <w:tblHeader/>
        </w:trP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Distribution</w:t>
            </w:r>
          </w:p>
        </w:tc>
        <w:tc>
          <w:tcPr>
            <w:tcW w:type="dxa" w:w="21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Support</w:t>
            </w:r>
          </w:p>
        </w:tc>
        <w:tc>
          <w:tcPr>
            <w:tcW w:type="dxa" w:w="21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Property</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Base</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α₀</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Gamma or HalfNormal</w:t>
            </w:r>
          </w:p>
        </w:tc>
        <w:tc>
          <w:tcPr>
            <w:tcW w:type="dxa" w:w="2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(0, ∞)</w:t>
            </w:r>
          </w:p>
        </w:tc>
        <w:tc>
          <w:tcPr>
            <w:tcW w:type="dxa" w:w="2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Max entropy for positive values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External (positive)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γⱼ</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Gamma</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Right-skewed; sign-constrained</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External (signed)</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γⱼ</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Normal</w:t>
            </w:r>
          </w:p>
        </w:tc>
        <w:tc>
          <w:tcPr>
            <w:tcW w:type="dxa" w:w="2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 +∞)</w:t>
            </w:r>
          </w:p>
        </w:tc>
        <w:tc>
          <w:tcPr>
            <w:tcW w:type="dxa" w:w="2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Symmetric; allows positive/negative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Adstock decay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λ</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Beta(α, β)</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Conjugate prior for probability</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Adstock carryover</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x*(t)</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Geometric sum</w:t>
            </w:r>
          </w:p>
        </w:tc>
        <w:tc>
          <w:tcPr>
            <w:tcW w:type="dxa" w:w="2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n/a</w:t>
            </w:r>
          </w:p>
        </w:tc>
        <w:tc>
          <w:tcPr>
            <w:tcW w:type="dxa" w:w="2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Memoryless decay structure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Saturation steepness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Gamma</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Positive; unbounded above</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Saturation inflection</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K or x₀</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Gamma</w:t>
            </w:r>
          </w:p>
        </w:tc>
        <w:tc>
          <w:tcPr>
            <w:tcW w:type="dxa" w:w="2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(0, ∞)</w:t>
            </w:r>
          </w:p>
        </w:tc>
        <w:tc>
          <w:tcPr>
            <w:tcW w:type="dxa" w:w="2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Positive spend threshold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Saturation as proportion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efficiency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Beta</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reparameterised as proportion</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Channel coefficient</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βᵢ</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HalfNormal or Gamma</w:t>
            </w:r>
          </w:p>
        </w:tc>
        <w:tc>
          <w:tcPr>
            <w:tcW w:type="dxa" w:w="2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(0, ∞)</w:t>
            </w:r>
          </w:p>
        </w:tc>
        <w:tc>
          <w:tcPr>
            <w:tcW w:type="dxa" w:w="2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Spend must produce positive effect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Fourier coefficients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aₙ, bₙ</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Normal(0, σ)</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Bidirectional seasonality</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Seasonality amplitude</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σ</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HalfNormal or Gamma</w:t>
            </w:r>
          </w:p>
        </w:tc>
        <w:tc>
          <w:tcPr>
            <w:tcW w:type="dxa" w:w="2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(0, ∞)</w:t>
            </w:r>
          </w:p>
        </w:tc>
        <w:tc>
          <w:tcPr>
            <w:tcW w:type="dxa" w:w="2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Positive scale parameter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F5C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2026-05-06T04:41:49.112Z</dcterms:created>
  <dcterms:modified xsi:type="dcterms:W3CDTF">2026-05-06T04:41:49.112Z</dcterms:modified>
</cp:coreProperties>
</file>

<file path=docProps/custom.xml><?xml version="1.0" encoding="utf-8"?>
<Properties xmlns="http://schemas.openxmlformats.org/officeDocument/2006/custom-properties" xmlns:vt="http://schemas.openxmlformats.org/officeDocument/2006/docPropsVTypes"/>
</file>