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B27C" w14:textId="77777777"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14:paraId="6151264C" w14:textId="77777777"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14:paraId="01371724" w14:textId="77777777" w:rsidR="00D7522C" w:rsidRDefault="00D7522C" w:rsidP="003B4E04">
      <w:pPr>
        <w:pStyle w:val="Author"/>
        <w:spacing w:before="100" w:beforeAutospacing="1" w:after="100" w:afterAutospacing="1" w:line="120" w:lineRule="auto"/>
        <w:rPr>
          <w:sz w:val="16"/>
          <w:szCs w:val="16"/>
        </w:rPr>
      </w:pPr>
    </w:p>
    <w:p w14:paraId="397F784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6A35F81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37C37F1"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F7AF65D"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B4A1125"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3809D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82AB27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90CC4A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9E0796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39E5C9A" w14:textId="77777777" w:rsidR="009303D9" w:rsidRPr="002A7A6D" w:rsidRDefault="009303D9" w:rsidP="00963DAD">
      <w:pPr>
        <w:pStyle w:val="Heading1"/>
        <w:spacing w:line="276" w:lineRule="auto"/>
      </w:pPr>
      <w:r w:rsidRPr="002A7A6D">
        <w:t>Introduction (</w:t>
      </w:r>
      <w:r w:rsidR="005B0344" w:rsidRPr="002A7A6D">
        <w:rPr>
          <w:rFonts w:eastAsia="MS Mincho"/>
          <w:i/>
        </w:rPr>
        <w:t>Heading 1</w:t>
      </w:r>
      <w:r w:rsidRPr="002A7A6D">
        <w:t>)</w:t>
      </w:r>
    </w:p>
    <w:p w14:paraId="4D536745" w14:textId="77777777" w:rsidR="009303D9" w:rsidRPr="002A7A6D" w:rsidRDefault="009303D9" w:rsidP="00963DAD">
      <w:pPr>
        <w:pStyle w:val="BodyText"/>
        <w:spacing w:line="276" w:lineRule="auto"/>
      </w:pPr>
      <w:r w:rsidRPr="002A7A6D">
        <w:t xml:space="preserve">This template, </w:t>
      </w:r>
      <w:r w:rsidR="005B520E" w:rsidRPr="002A7A6D">
        <w:t>modified</w:t>
      </w:r>
      <w:r w:rsidRPr="002A7A6D">
        <w:t xml:space="preserve"> in MS Word 200</w:t>
      </w:r>
      <w:r w:rsidR="00ED0149" w:rsidRPr="002A7A6D">
        <w:rPr>
          <w:lang w:val="en-US"/>
        </w:rPr>
        <w:t>7</w:t>
      </w:r>
      <w:r w:rsidRPr="002A7A6D">
        <w:t xml:space="preserve"> and saved as </w:t>
      </w:r>
      <w:r w:rsidR="00ED0149" w:rsidRPr="002A7A6D">
        <w:rPr>
          <w:lang w:val="en-US"/>
        </w:rPr>
        <w:t xml:space="preserve">a </w:t>
      </w:r>
      <w:r w:rsidRPr="002A7A6D">
        <w:t>“Word 97-200</w:t>
      </w:r>
      <w:r w:rsidR="00B11A60" w:rsidRPr="002A7A6D">
        <w:t>3</w:t>
      </w:r>
      <w:r w:rsidRPr="002A7A6D">
        <w:t xml:space="preserve"> </w:t>
      </w:r>
      <w:r w:rsidR="00ED0149" w:rsidRPr="002A7A6D">
        <w:rPr>
          <w:lang w:val="en-US"/>
        </w:rPr>
        <w:t>Document</w:t>
      </w:r>
      <w:r w:rsidRPr="002A7A6D">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ADAE6A" w14:textId="77777777" w:rsidR="009303D9" w:rsidRPr="002A7A6D" w:rsidRDefault="009303D9" w:rsidP="00963DAD">
      <w:pPr>
        <w:pStyle w:val="Heading1"/>
        <w:spacing w:line="276" w:lineRule="auto"/>
      </w:pPr>
      <w:r w:rsidRPr="002A7A6D">
        <w:t>Ease of Use</w:t>
      </w:r>
    </w:p>
    <w:p w14:paraId="0908E503" w14:textId="77777777" w:rsidR="009303D9" w:rsidRPr="002A7A6D" w:rsidRDefault="009303D9" w:rsidP="00963DAD">
      <w:pPr>
        <w:pStyle w:val="Heading2"/>
        <w:spacing w:line="276" w:lineRule="auto"/>
      </w:pPr>
      <w:r w:rsidRPr="002A7A6D">
        <w:t>Selecting a Template (Heading 2)</w:t>
      </w:r>
    </w:p>
    <w:p w14:paraId="35466906" w14:textId="77777777" w:rsidR="009303D9" w:rsidRPr="002A7A6D" w:rsidRDefault="009303D9" w:rsidP="00963DAD">
      <w:pPr>
        <w:pStyle w:val="BodyText"/>
        <w:spacing w:line="276" w:lineRule="auto"/>
      </w:pPr>
      <w:r w:rsidRPr="002A7A6D">
        <w:t xml:space="preserve">First, confirm that you have the correct template for your paper size. This template has been tailored for output on the </w:t>
      </w:r>
      <w:r w:rsidR="003B4E04" w:rsidRPr="002A7A6D">
        <w:rPr>
          <w:lang w:val="en-US"/>
        </w:rPr>
        <w:t>A4</w:t>
      </w:r>
      <w:r w:rsidRPr="002A7A6D">
        <w:t xml:space="preserve"> paper size. If you are using </w:t>
      </w:r>
      <w:r w:rsidR="003B4E04" w:rsidRPr="002A7A6D">
        <w:rPr>
          <w:lang w:val="en-US"/>
        </w:rPr>
        <w:t>US letter</w:t>
      </w:r>
      <w:r w:rsidRPr="002A7A6D">
        <w:t>-sized paper, please close this</w:t>
      </w:r>
      <w:r w:rsidR="003B4E04" w:rsidRPr="002A7A6D">
        <w:t xml:space="preserve"> file and download the </w:t>
      </w:r>
      <w:r w:rsidR="003B4E04" w:rsidRPr="002A7A6D">
        <w:rPr>
          <w:lang w:val="en-US"/>
        </w:rPr>
        <w:t xml:space="preserve">Microsoft Word, Letter </w:t>
      </w:r>
      <w:r w:rsidR="003B4E04" w:rsidRPr="002A7A6D">
        <w:t>file</w:t>
      </w:r>
      <w:r w:rsidRPr="002A7A6D">
        <w:t>.</w:t>
      </w:r>
    </w:p>
    <w:p w14:paraId="6937E936" w14:textId="77777777" w:rsidR="009303D9" w:rsidRPr="002A7A6D" w:rsidRDefault="009303D9" w:rsidP="00963DAD">
      <w:pPr>
        <w:pStyle w:val="Heading2"/>
        <w:spacing w:line="276" w:lineRule="auto"/>
      </w:pPr>
      <w:r w:rsidRPr="002A7A6D">
        <w:t>Maintaining the Integrity of the Specifications</w:t>
      </w:r>
    </w:p>
    <w:p w14:paraId="20FABB40" w14:textId="77777777" w:rsidR="009303D9" w:rsidRPr="002A7A6D" w:rsidRDefault="009303D9" w:rsidP="00963DAD">
      <w:pPr>
        <w:pStyle w:val="BodyText"/>
        <w:spacing w:line="276" w:lineRule="auto"/>
      </w:pPr>
      <w:r w:rsidRPr="002A7A6D">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DEE38AD" w14:textId="77777777" w:rsidR="009303D9" w:rsidRPr="002A7A6D" w:rsidRDefault="009303D9" w:rsidP="00963DAD">
      <w:pPr>
        <w:pStyle w:val="Heading1"/>
        <w:spacing w:line="276" w:lineRule="auto"/>
      </w:pPr>
      <w:r w:rsidRPr="002A7A6D">
        <w:t>Prepare Your Paper Before Styling</w:t>
      </w:r>
    </w:p>
    <w:p w14:paraId="4701280D" w14:textId="77777777" w:rsidR="00D7522C" w:rsidRPr="002A7A6D" w:rsidRDefault="009303D9" w:rsidP="00963DAD">
      <w:pPr>
        <w:pStyle w:val="BodyText"/>
        <w:spacing w:line="276" w:lineRule="auto"/>
        <w:rPr>
          <w:lang w:val="en-US"/>
        </w:rPr>
      </w:pPr>
      <w:r w:rsidRPr="002A7A6D">
        <w:t xml:space="preserve">Before you begin to format your paper, first write and save the content as a separate text file. </w:t>
      </w:r>
      <w:r w:rsidR="00D7522C" w:rsidRPr="002A7A6D">
        <w:rPr>
          <w:lang w:val="en-US"/>
        </w:rPr>
        <w:t>Complete all content and organizational editing before formatting. Please note sections A-D below for more information on proofreading, spelling and grammar.</w:t>
      </w:r>
    </w:p>
    <w:p w14:paraId="126A6772" w14:textId="77777777" w:rsidR="009303D9" w:rsidRPr="002A7A6D" w:rsidRDefault="009303D9" w:rsidP="00963DAD">
      <w:pPr>
        <w:pStyle w:val="BodyText"/>
        <w:spacing w:line="276" w:lineRule="auto"/>
      </w:pPr>
      <w:r w:rsidRPr="002A7A6D">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70F4966" w14:textId="77777777" w:rsidR="009303D9" w:rsidRPr="002A7A6D" w:rsidRDefault="009303D9" w:rsidP="00963DAD">
      <w:pPr>
        <w:pStyle w:val="Heading2"/>
        <w:spacing w:line="276" w:lineRule="auto"/>
      </w:pPr>
      <w:r w:rsidRPr="002A7A6D">
        <w:t>Abbreviations and Acronyms</w:t>
      </w:r>
    </w:p>
    <w:p w14:paraId="407F7E62" w14:textId="77777777" w:rsidR="009303D9" w:rsidRPr="002A7A6D" w:rsidRDefault="009303D9" w:rsidP="00963DAD">
      <w:pPr>
        <w:pStyle w:val="BodyText"/>
        <w:spacing w:line="276" w:lineRule="auto"/>
      </w:pPr>
      <w:r w:rsidRPr="002A7A6D">
        <w:t xml:space="preserve">Define abbreviations and acronyms the first time they are used in the text, even after they have been defined in the abstract. Abbreviations such as IEEE, SI, MKS, CGS, </w:t>
      </w:r>
      <w:proofErr w:type="spellStart"/>
      <w:r w:rsidRPr="002A7A6D">
        <w:t>sc</w:t>
      </w:r>
      <w:proofErr w:type="spellEnd"/>
      <w:r w:rsidRPr="002A7A6D">
        <w:t>, dc, and rms do not have to be defined. Do not use abbreviations in the title or heads unless they are unavoidable.</w:t>
      </w:r>
    </w:p>
    <w:p w14:paraId="76205582" w14:textId="77777777" w:rsidR="009303D9" w:rsidRPr="002A7A6D" w:rsidRDefault="009303D9" w:rsidP="00963DAD">
      <w:pPr>
        <w:pStyle w:val="Heading2"/>
        <w:spacing w:line="276" w:lineRule="auto"/>
      </w:pPr>
      <w:r w:rsidRPr="002A7A6D">
        <w:t>Units</w:t>
      </w:r>
    </w:p>
    <w:p w14:paraId="517D493F" w14:textId="77777777" w:rsidR="009303D9" w:rsidRPr="002A7A6D" w:rsidRDefault="009303D9" w:rsidP="00963DAD">
      <w:pPr>
        <w:pStyle w:val="bulletlist"/>
        <w:spacing w:line="276" w:lineRule="auto"/>
      </w:pPr>
      <w:r w:rsidRPr="002A7A6D">
        <w:t xml:space="preserve">Use either SI (MKS) or CGS as primary units. (SI units are encouraged.) English units may be used as secondary units (in parentheses). An exception would </w:t>
      </w:r>
      <w:r w:rsidRPr="002A7A6D">
        <w:lastRenderedPageBreak/>
        <w:t>be the use of English units as identifiers in trade, such as “3.5-inch disk drive”.</w:t>
      </w:r>
    </w:p>
    <w:p w14:paraId="4E6FDAD1" w14:textId="77777777" w:rsidR="009303D9" w:rsidRPr="002A7A6D" w:rsidRDefault="009303D9" w:rsidP="00963DAD">
      <w:pPr>
        <w:pStyle w:val="bulletlist"/>
        <w:spacing w:line="276" w:lineRule="auto"/>
      </w:pPr>
      <w:r w:rsidRPr="002A7A6D">
        <w:t xml:space="preserve">Avoid combining SI and CGS units, such as current in amperes and magnetic field in </w:t>
      </w:r>
      <w:proofErr w:type="spellStart"/>
      <w:r w:rsidRPr="002A7A6D">
        <w:t>oersteds</w:t>
      </w:r>
      <w:proofErr w:type="spellEnd"/>
      <w:r w:rsidRPr="002A7A6D">
        <w:t>. This often leads to confusion because equations do not balance dimensionally. If you must use mixed units, clearly state the units for each quantity that you use in an equation.</w:t>
      </w:r>
    </w:p>
    <w:p w14:paraId="342A511A" w14:textId="77777777" w:rsidR="009303D9" w:rsidRPr="002A7A6D" w:rsidRDefault="009303D9" w:rsidP="00963DAD">
      <w:pPr>
        <w:pStyle w:val="bulletlist"/>
        <w:spacing w:line="276" w:lineRule="auto"/>
      </w:pPr>
      <w:r w:rsidRPr="002A7A6D">
        <w:t>Do not mix complete spellings and abbreviations of units: “Wb/m2” or “</w:t>
      </w:r>
      <w:proofErr w:type="spellStart"/>
      <w:r w:rsidRPr="002A7A6D">
        <w:t>webers</w:t>
      </w:r>
      <w:proofErr w:type="spellEnd"/>
      <w:r w:rsidRPr="002A7A6D">
        <w:t xml:space="preserve"> per square meter”, not “</w:t>
      </w:r>
      <w:proofErr w:type="spellStart"/>
      <w:r w:rsidRPr="002A7A6D">
        <w:t>webers</w:t>
      </w:r>
      <w:proofErr w:type="spellEnd"/>
      <w:r w:rsidRPr="002A7A6D">
        <w:t xml:space="preserve">/m2”.  Spell out units when they appear in text: “. . . a few </w:t>
      </w:r>
      <w:proofErr w:type="spellStart"/>
      <w:r w:rsidRPr="002A7A6D">
        <w:t>henries</w:t>
      </w:r>
      <w:proofErr w:type="spellEnd"/>
      <w:r w:rsidRPr="002A7A6D">
        <w:t>”, not “. . . a few H”.</w:t>
      </w:r>
    </w:p>
    <w:p w14:paraId="56762FBB" w14:textId="77777777" w:rsidR="003B4E04" w:rsidRPr="002A7A6D" w:rsidRDefault="003B4E04" w:rsidP="00963DAD">
      <w:pPr>
        <w:pStyle w:val="sponsors"/>
        <w:framePr w:wrap="auto" w:vAnchor="page" w:hAnchor="page" w:x="918" w:y="15121"/>
        <w:spacing w:line="276" w:lineRule="auto"/>
        <w:ind w:firstLine="289"/>
        <w:rPr>
          <w:sz w:val="20"/>
          <w:szCs w:val="20"/>
        </w:rPr>
      </w:pPr>
      <w:r w:rsidRPr="002A7A6D">
        <w:rPr>
          <w:sz w:val="20"/>
          <w:szCs w:val="20"/>
        </w:rPr>
        <w:t xml:space="preserve">Identify applicable funding agency here. </w:t>
      </w:r>
      <w:r w:rsidRPr="002A7A6D">
        <w:rPr>
          <w:iCs/>
          <w:sz w:val="20"/>
          <w:szCs w:val="20"/>
        </w:rPr>
        <w:t>If none, delete this text box.</w:t>
      </w:r>
    </w:p>
    <w:p w14:paraId="0F11F83F" w14:textId="77777777" w:rsidR="009303D9" w:rsidRPr="002A7A6D" w:rsidRDefault="009303D9" w:rsidP="00963DAD">
      <w:pPr>
        <w:pStyle w:val="bulletlist"/>
        <w:spacing w:line="276" w:lineRule="auto"/>
      </w:pPr>
      <w:r w:rsidRPr="002A7A6D">
        <w:t>Use a zero before decimal points: “0.25”, not “.25”. Use “cm3”, not “cc”. (</w:t>
      </w:r>
      <w:r w:rsidRPr="002A7A6D">
        <w:rPr>
          <w:i/>
          <w:iCs/>
        </w:rPr>
        <w:t>bullet list</w:t>
      </w:r>
      <w:r w:rsidRPr="002A7A6D">
        <w:t>)</w:t>
      </w:r>
    </w:p>
    <w:p w14:paraId="3F6D3E29" w14:textId="77777777" w:rsidR="009303D9" w:rsidRPr="002A7A6D" w:rsidRDefault="009303D9" w:rsidP="00963DAD">
      <w:pPr>
        <w:pStyle w:val="Heading2"/>
        <w:spacing w:line="276" w:lineRule="auto"/>
      </w:pPr>
      <w:r w:rsidRPr="002A7A6D">
        <w:t>Equations</w:t>
      </w:r>
    </w:p>
    <w:p w14:paraId="5CF68A5A" w14:textId="77777777" w:rsidR="009303D9" w:rsidRPr="002A7A6D" w:rsidRDefault="009303D9" w:rsidP="00963DAD">
      <w:pPr>
        <w:pStyle w:val="BodyText"/>
        <w:spacing w:line="276" w:lineRule="auto"/>
      </w:pPr>
      <w:r w:rsidRPr="002A7A6D">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9268844" w14:textId="77777777" w:rsidR="009303D9" w:rsidRPr="002A7A6D" w:rsidRDefault="009303D9" w:rsidP="00963DAD">
      <w:pPr>
        <w:pStyle w:val="BodyText"/>
        <w:spacing w:line="276" w:lineRule="auto"/>
        <w:rPr>
          <w:lang w:val="en-US"/>
        </w:rPr>
      </w:pPr>
      <w:r w:rsidRPr="002A7A6D">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2A7A6D">
        <w:rPr>
          <w:lang w:val="en-US"/>
        </w:rPr>
        <w:t>:</w:t>
      </w:r>
    </w:p>
    <w:p w14:paraId="56469648" w14:textId="77777777" w:rsidR="009303D9" w:rsidRPr="002A7A6D" w:rsidRDefault="009303D9" w:rsidP="00963DAD">
      <w:pPr>
        <w:pStyle w:val="equation"/>
        <w:spacing w:line="276" w:lineRule="auto"/>
        <w:rPr>
          <w:rFonts w:hint="eastAsia"/>
        </w:rPr>
      </w:pPr>
      <w:r w:rsidRPr="002A7A6D">
        <w:tab/>
      </w:r>
      <w:r w:rsidR="008A2C7D" w:rsidRPr="002A7A6D">
        <w:rPr>
          <w:rFonts w:ascii="Times New Roman" w:hAnsi="Times New Roman" w:cs="Times New Roman"/>
          <w:i/>
        </w:rPr>
        <w:t>a</w:t>
      </w:r>
      <w:r w:rsidR="008A2C7D" w:rsidRPr="002A7A6D">
        <w:t></w:t>
      </w:r>
      <w:r w:rsidR="008A2C7D" w:rsidRPr="002A7A6D">
        <w:t></w:t>
      </w:r>
      <w:r w:rsidR="008A2C7D" w:rsidRPr="002A7A6D">
        <w:t></w:t>
      </w:r>
      <w:r w:rsidR="008A2C7D" w:rsidRPr="002A7A6D">
        <w:rPr>
          <w:rFonts w:ascii="Times New Roman" w:hAnsi="Times New Roman" w:cs="Times New Roman"/>
          <w:i/>
        </w:rPr>
        <w:t>b</w:t>
      </w:r>
      <w:r w:rsidR="008A2C7D" w:rsidRPr="002A7A6D">
        <w:t></w:t>
      </w:r>
      <w:r w:rsidR="008A2C7D" w:rsidRPr="002A7A6D">
        <w:t></w:t>
      </w:r>
      <w:r w:rsidR="008A2C7D" w:rsidRPr="002A7A6D">
        <w:t></w:t>
      </w:r>
      <w:r w:rsidR="008A2C7D" w:rsidRPr="002A7A6D">
        <w:t></w:t>
      </w:r>
      <w:r w:rsidR="008A2C7D" w:rsidRPr="002A7A6D">
        <w:t></w:t>
      </w:r>
      <w:r w:rsidR="008A2C7D" w:rsidRPr="002A7A6D">
        <w:tab/>
      </w:r>
      <w:r w:rsidR="008A2C7D" w:rsidRPr="002A7A6D">
        <w:t></w:t>
      </w:r>
      <w:r w:rsidR="008A2C7D" w:rsidRPr="002A7A6D">
        <w:t></w:t>
      </w:r>
      <w:r w:rsidR="008A2C7D" w:rsidRPr="002A7A6D">
        <w:t></w:t>
      </w:r>
    </w:p>
    <w:p w14:paraId="6D00327A" w14:textId="77777777" w:rsidR="009303D9" w:rsidRPr="002A7A6D" w:rsidRDefault="009303D9" w:rsidP="00963DAD">
      <w:pPr>
        <w:pStyle w:val="BodyText"/>
        <w:spacing w:line="276" w:lineRule="auto"/>
      </w:pPr>
      <w:r w:rsidRPr="002A7A6D">
        <w:t>Note that the equation is centered using a center tab stop. Be sure that the symbols in your equation have been defined before or immediately following the equation. Use “(1)”, not “Eq. (1)” or “equation (1)”, except at the beginning of a sentence: “Equation (1) is . . .”</w:t>
      </w:r>
    </w:p>
    <w:p w14:paraId="3B9D68DC" w14:textId="77777777" w:rsidR="009303D9" w:rsidRPr="002A7A6D" w:rsidRDefault="009303D9" w:rsidP="00963DAD">
      <w:pPr>
        <w:pStyle w:val="Heading2"/>
        <w:spacing w:line="276" w:lineRule="auto"/>
      </w:pPr>
      <w:r w:rsidRPr="002A7A6D">
        <w:t>Some Common Mistakes</w:t>
      </w:r>
    </w:p>
    <w:p w14:paraId="20CC8130" w14:textId="77777777" w:rsidR="009303D9" w:rsidRPr="002A7A6D" w:rsidRDefault="009303D9" w:rsidP="00963DAD">
      <w:pPr>
        <w:pStyle w:val="bulletlist"/>
        <w:spacing w:line="276" w:lineRule="auto"/>
      </w:pPr>
      <w:r w:rsidRPr="002A7A6D">
        <w:t>The word “data” is plural, not singular.</w:t>
      </w:r>
    </w:p>
    <w:p w14:paraId="6084C9EE" w14:textId="77777777" w:rsidR="009303D9" w:rsidRPr="002A7A6D" w:rsidRDefault="009303D9" w:rsidP="00963DAD">
      <w:pPr>
        <w:pStyle w:val="bulletlist"/>
        <w:spacing w:line="276" w:lineRule="auto"/>
      </w:pPr>
      <w:r w:rsidRPr="002A7A6D">
        <w:t xml:space="preserve">The subscript for the permeability of vacuum </w:t>
      </w:r>
      <w:r w:rsidRPr="002A7A6D">
        <w:rPr>
          <w:rFonts w:ascii="Symbol" w:hAnsi="Symbol" w:cs="Symbol"/>
          <w:i/>
          <w:iCs/>
          <w:snapToGrid w:val="0"/>
        </w:rPr>
        <w:t></w:t>
      </w:r>
      <w:r w:rsidRPr="002A7A6D">
        <w:rPr>
          <w:vertAlign w:val="subscript"/>
        </w:rPr>
        <w:t>0</w:t>
      </w:r>
      <w:r w:rsidRPr="002A7A6D">
        <w:t>, and other common scientific constants, is zero with subscript formatting, not a lowercase letter “o”.</w:t>
      </w:r>
    </w:p>
    <w:p w14:paraId="614391D7" w14:textId="77777777" w:rsidR="009303D9" w:rsidRPr="002A7A6D" w:rsidRDefault="009303D9" w:rsidP="00963DAD">
      <w:pPr>
        <w:pStyle w:val="bulletlist"/>
        <w:spacing w:line="276" w:lineRule="auto"/>
      </w:pPr>
      <w:r w:rsidRPr="002A7A6D">
        <w:t xml:space="preserve">In American </w:t>
      </w:r>
      <w:r w:rsidR="002850E3" w:rsidRPr="002A7A6D">
        <w:t>English, commas, semi</w:t>
      </w:r>
      <w:r w:rsidRPr="002A7A6D">
        <w:t xml:space="preserve">colons, periods, question and exclamation marks are located within quotation marks only when a complete thought or name is cited, such as a title or full quotation. When </w:t>
      </w:r>
      <w:r w:rsidRPr="002A7A6D">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3ED1E6" w14:textId="77777777" w:rsidR="009303D9" w:rsidRPr="002A7A6D" w:rsidRDefault="009303D9" w:rsidP="00963DAD">
      <w:pPr>
        <w:pStyle w:val="bulletlist"/>
        <w:spacing w:line="276" w:lineRule="auto"/>
      </w:pPr>
      <w:r w:rsidRPr="002A7A6D">
        <w:t>A graph within a graph is an “inset”, not an “insert”. The word alternatively is preferred to the word “alternately” (unless you really mean something that alternates).</w:t>
      </w:r>
    </w:p>
    <w:p w14:paraId="1D075ADE" w14:textId="77777777" w:rsidR="009303D9" w:rsidRPr="002A7A6D" w:rsidRDefault="009303D9" w:rsidP="00963DAD">
      <w:pPr>
        <w:pStyle w:val="bulletlist"/>
        <w:spacing w:line="276" w:lineRule="auto"/>
      </w:pPr>
      <w:r w:rsidRPr="002A7A6D">
        <w:t>Do not use the word “essentially” to mean “approximately” or “effectively”.</w:t>
      </w:r>
    </w:p>
    <w:p w14:paraId="3E35C94B" w14:textId="77777777" w:rsidR="009303D9" w:rsidRPr="002A7A6D" w:rsidRDefault="009303D9" w:rsidP="00963DAD">
      <w:pPr>
        <w:pStyle w:val="bulletlist"/>
        <w:spacing w:line="276" w:lineRule="auto"/>
      </w:pPr>
      <w:r w:rsidRPr="002A7A6D">
        <w:t>In your paper title, if the words “that uses” can accurately replace the word “using”, capitalize the “u”; if not, keep using lower-cased.</w:t>
      </w:r>
    </w:p>
    <w:p w14:paraId="30782980" w14:textId="77777777" w:rsidR="009303D9" w:rsidRPr="002A7A6D" w:rsidRDefault="009303D9" w:rsidP="00963DAD">
      <w:pPr>
        <w:pStyle w:val="bulletlist"/>
        <w:spacing w:line="276" w:lineRule="auto"/>
      </w:pPr>
      <w:r w:rsidRPr="002A7A6D">
        <w:t>Be aware of the different meanings of the homophones “affect” and “effect”, “complement” and “compliment”, “discreet” and “discrete”, “principal” and “principle”.</w:t>
      </w:r>
    </w:p>
    <w:p w14:paraId="0CDCD285" w14:textId="77777777" w:rsidR="009303D9" w:rsidRPr="002A7A6D" w:rsidRDefault="009303D9" w:rsidP="00963DAD">
      <w:pPr>
        <w:pStyle w:val="bulletlist"/>
        <w:spacing w:line="276" w:lineRule="auto"/>
      </w:pPr>
      <w:r w:rsidRPr="002A7A6D">
        <w:t>Do not confuse “imply” and “infer”.</w:t>
      </w:r>
    </w:p>
    <w:p w14:paraId="0E84E294" w14:textId="77777777" w:rsidR="009303D9" w:rsidRPr="002A7A6D" w:rsidRDefault="009303D9" w:rsidP="00963DAD">
      <w:pPr>
        <w:pStyle w:val="bulletlist"/>
        <w:spacing w:line="276" w:lineRule="auto"/>
      </w:pPr>
      <w:r w:rsidRPr="002A7A6D">
        <w:t>The prefix “non” is not a word; it should be joined to the word it modifies, usually without a hyphen.</w:t>
      </w:r>
    </w:p>
    <w:p w14:paraId="1AF50C54" w14:textId="77777777" w:rsidR="009303D9" w:rsidRPr="002A7A6D" w:rsidRDefault="009303D9" w:rsidP="00963DAD">
      <w:pPr>
        <w:pStyle w:val="bulletlist"/>
        <w:spacing w:line="276" w:lineRule="auto"/>
      </w:pPr>
      <w:r w:rsidRPr="002A7A6D">
        <w:t>There is no period after the “et” in the Latin abbreviation “et al.”.</w:t>
      </w:r>
    </w:p>
    <w:p w14:paraId="45E6ADB5" w14:textId="77777777" w:rsidR="009303D9" w:rsidRPr="002A7A6D" w:rsidRDefault="009303D9" w:rsidP="00963DAD">
      <w:pPr>
        <w:pStyle w:val="bulletlist"/>
        <w:spacing w:line="276" w:lineRule="auto"/>
      </w:pPr>
      <w:r w:rsidRPr="002A7A6D">
        <w:t>The abbreviation “i.e.” means “that is”, and the abbreviation “e.g.” means “for example”.</w:t>
      </w:r>
    </w:p>
    <w:p w14:paraId="3DA2E5A0" w14:textId="77777777" w:rsidR="009303D9" w:rsidRPr="002A7A6D" w:rsidRDefault="009303D9" w:rsidP="00963DAD">
      <w:pPr>
        <w:pStyle w:val="BodyText"/>
        <w:spacing w:line="276" w:lineRule="auto"/>
      </w:pPr>
      <w:r w:rsidRPr="002A7A6D">
        <w:t>An excellent style manual for science writers is [7].</w:t>
      </w:r>
    </w:p>
    <w:p w14:paraId="2D50020B" w14:textId="77777777" w:rsidR="009303D9" w:rsidRPr="002A7A6D" w:rsidRDefault="009303D9" w:rsidP="00963DAD">
      <w:pPr>
        <w:pStyle w:val="Heading1"/>
        <w:spacing w:line="276" w:lineRule="auto"/>
      </w:pPr>
      <w:r w:rsidRPr="002A7A6D">
        <w:t>Using the Template</w:t>
      </w:r>
    </w:p>
    <w:p w14:paraId="716B2E71" w14:textId="77777777" w:rsidR="009303D9" w:rsidRPr="002A7A6D" w:rsidRDefault="009303D9" w:rsidP="00963DAD">
      <w:pPr>
        <w:pStyle w:val="BodyText"/>
        <w:spacing w:line="276" w:lineRule="auto"/>
      </w:pPr>
      <w:r w:rsidRPr="002A7A6D">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7E1AC13" w14:textId="77777777" w:rsidR="009303D9" w:rsidRPr="002A7A6D" w:rsidRDefault="009303D9" w:rsidP="00963DAD">
      <w:pPr>
        <w:pStyle w:val="Heading2"/>
        <w:spacing w:line="276" w:lineRule="auto"/>
      </w:pPr>
      <w:r w:rsidRPr="002A7A6D">
        <w:t>Authors and Affiliations</w:t>
      </w:r>
    </w:p>
    <w:p w14:paraId="679314AA" w14:textId="77777777" w:rsidR="009303D9" w:rsidRPr="002A7A6D" w:rsidRDefault="009303D9" w:rsidP="00963DAD">
      <w:pPr>
        <w:pStyle w:val="BodyText"/>
        <w:spacing w:line="276" w:lineRule="auto"/>
      </w:pPr>
      <w:r w:rsidRPr="002A7A6D">
        <w:rPr>
          <w:b/>
        </w:rPr>
        <w:t xml:space="preserve">The template is </w:t>
      </w:r>
      <w:r w:rsidR="007D6232" w:rsidRPr="002A7A6D">
        <w:rPr>
          <w:b/>
        </w:rPr>
        <w:t>designed</w:t>
      </w:r>
      <w:r w:rsidR="00D76668" w:rsidRPr="002A7A6D">
        <w:rPr>
          <w:b/>
          <w:lang w:val="en-US"/>
        </w:rPr>
        <w:t xml:space="preserve"> for,</w:t>
      </w:r>
      <w:r w:rsidR="007D6232" w:rsidRPr="002A7A6D">
        <w:rPr>
          <w:b/>
        </w:rPr>
        <w:t xml:space="preserve"> but not limited to</w:t>
      </w:r>
      <w:r w:rsidR="00D76668" w:rsidRPr="002A7A6D">
        <w:rPr>
          <w:b/>
          <w:lang w:val="en-US"/>
        </w:rPr>
        <w:t>,</w:t>
      </w:r>
      <w:r w:rsidR="00354FCF" w:rsidRPr="002A7A6D">
        <w:rPr>
          <w:b/>
          <w:lang w:val="en-US"/>
        </w:rPr>
        <w:t xml:space="preserve"> </w:t>
      </w:r>
      <w:r w:rsidR="002850E3" w:rsidRPr="002A7A6D">
        <w:rPr>
          <w:b/>
          <w:lang w:val="en-US"/>
        </w:rPr>
        <w:t>six</w:t>
      </w:r>
      <w:r w:rsidR="00354FCF" w:rsidRPr="002A7A6D">
        <w:rPr>
          <w:b/>
          <w:lang w:val="en-US"/>
        </w:rPr>
        <w:t xml:space="preserve"> authors.</w:t>
      </w:r>
      <w:r w:rsidR="00354FCF" w:rsidRPr="002A7A6D">
        <w:rPr>
          <w:lang w:val="en-US"/>
        </w:rPr>
        <w:t xml:space="preserve"> </w:t>
      </w:r>
      <w:r w:rsidR="007D6232" w:rsidRPr="002A7A6D">
        <w:rPr>
          <w:lang w:val="en-US"/>
        </w:rPr>
        <w:t xml:space="preserve">A minimum of one author is required for all conference articles. </w:t>
      </w:r>
      <w:r w:rsidR="00D7522C" w:rsidRPr="002A7A6D">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2A7A6D">
        <w:rPr>
          <w:lang w:val="en-US"/>
        </w:rPr>
        <w:t xml:space="preserve"> </w:t>
      </w:r>
      <w:r w:rsidRPr="002A7A6D">
        <w:t>Please keep your affiliations as succinct as possible (for example, do not differentiate among departments of the same organization).</w:t>
      </w:r>
    </w:p>
    <w:p w14:paraId="108CADB4" w14:textId="77777777" w:rsidR="002850E3" w:rsidRPr="002A7A6D" w:rsidRDefault="002850E3" w:rsidP="00963DAD">
      <w:pPr>
        <w:pStyle w:val="Heading3"/>
        <w:spacing w:line="276" w:lineRule="auto"/>
      </w:pPr>
      <w:r w:rsidRPr="002A7A6D">
        <w:lastRenderedPageBreak/>
        <w:t xml:space="preserve">For papers with more than six authors: </w:t>
      </w:r>
      <w:r w:rsidRPr="002A7A6D">
        <w:rPr>
          <w:i w:val="0"/>
        </w:rPr>
        <w:t>Add author names horizontally, moving to a third row if needed for more than 8 authors.</w:t>
      </w:r>
    </w:p>
    <w:p w14:paraId="7FF09419" w14:textId="77777777" w:rsidR="009303D9" w:rsidRPr="002A7A6D" w:rsidRDefault="009303D9" w:rsidP="00963DAD">
      <w:pPr>
        <w:pStyle w:val="Heading3"/>
        <w:spacing w:line="276" w:lineRule="auto"/>
      </w:pPr>
      <w:r w:rsidRPr="002A7A6D">
        <w:t xml:space="preserve">For </w:t>
      </w:r>
      <w:r w:rsidR="00354FCF" w:rsidRPr="002A7A6D">
        <w:t xml:space="preserve">papers with less than </w:t>
      </w:r>
      <w:r w:rsidR="002850E3" w:rsidRPr="002A7A6D">
        <w:t>six</w:t>
      </w:r>
      <w:r w:rsidR="00354FCF" w:rsidRPr="002A7A6D">
        <w:t xml:space="preserve"> authors</w:t>
      </w:r>
      <w:r w:rsidRPr="002A7A6D">
        <w:t xml:space="preserve">: </w:t>
      </w:r>
      <w:r w:rsidRPr="002A7A6D">
        <w:rPr>
          <w:i w:val="0"/>
        </w:rPr>
        <w:t>To change the default, adjust the template as follows.</w:t>
      </w:r>
    </w:p>
    <w:p w14:paraId="4B6E8EBF" w14:textId="77777777" w:rsidR="009303D9" w:rsidRPr="002A7A6D" w:rsidRDefault="009303D9" w:rsidP="00963DAD">
      <w:pPr>
        <w:pStyle w:val="Heading4"/>
        <w:spacing w:line="276" w:lineRule="auto"/>
      </w:pPr>
      <w:r w:rsidRPr="002A7A6D">
        <w:t xml:space="preserve">Selection: </w:t>
      </w:r>
      <w:r w:rsidRPr="002A7A6D">
        <w:rPr>
          <w:i w:val="0"/>
        </w:rPr>
        <w:t>Highlight all author and affiliation lines.</w:t>
      </w:r>
    </w:p>
    <w:p w14:paraId="6B672567" w14:textId="77777777" w:rsidR="009303D9" w:rsidRPr="002A7A6D" w:rsidRDefault="009303D9" w:rsidP="00963DAD">
      <w:pPr>
        <w:pStyle w:val="Heading4"/>
        <w:spacing w:line="276" w:lineRule="auto"/>
      </w:pPr>
      <w:r w:rsidRPr="002A7A6D">
        <w:t xml:space="preserve">Change number of columns: </w:t>
      </w:r>
      <w:r w:rsidRPr="002A7A6D">
        <w:rPr>
          <w:i w:val="0"/>
        </w:rPr>
        <w:t xml:space="preserve">Select the Columns icon from the MS Word Standard toolbar and then select </w:t>
      </w:r>
      <w:r w:rsidR="00354FCF" w:rsidRPr="002A7A6D">
        <w:rPr>
          <w:i w:val="0"/>
        </w:rPr>
        <w:t>the correct number of columns</w:t>
      </w:r>
      <w:r w:rsidRPr="002A7A6D">
        <w:rPr>
          <w:i w:val="0"/>
        </w:rPr>
        <w:t xml:space="preserve"> from the selection palette.</w:t>
      </w:r>
    </w:p>
    <w:p w14:paraId="6F12CF76" w14:textId="77777777" w:rsidR="007D6232" w:rsidRPr="002A7A6D" w:rsidRDefault="009303D9" w:rsidP="00963DAD">
      <w:pPr>
        <w:pStyle w:val="Heading4"/>
        <w:spacing w:line="276" w:lineRule="auto"/>
        <w:rPr>
          <w:i w:val="0"/>
        </w:rPr>
      </w:pPr>
      <w:r w:rsidRPr="002A7A6D">
        <w:t xml:space="preserve">Deletion: </w:t>
      </w:r>
      <w:r w:rsidRPr="002A7A6D">
        <w:rPr>
          <w:i w:val="0"/>
        </w:rPr>
        <w:t xml:space="preserve">Delete the author and affiliation lines for the </w:t>
      </w:r>
      <w:r w:rsidR="00354FCF" w:rsidRPr="002A7A6D">
        <w:rPr>
          <w:i w:val="0"/>
        </w:rPr>
        <w:t>extra authors.</w:t>
      </w:r>
    </w:p>
    <w:p w14:paraId="3FADC333" w14:textId="77777777" w:rsidR="006F6D3D" w:rsidRPr="002A7A6D" w:rsidRDefault="006F6D3D" w:rsidP="00963DAD">
      <w:pPr>
        <w:spacing w:line="276" w:lineRule="auto"/>
        <w:jc w:val="left"/>
        <w:rPr>
          <w:i/>
          <w:iCs/>
          <w:noProof/>
        </w:rPr>
      </w:pPr>
    </w:p>
    <w:p w14:paraId="08265392" w14:textId="77777777" w:rsidR="009303D9" w:rsidRPr="002A7A6D" w:rsidRDefault="009303D9" w:rsidP="00963DAD">
      <w:pPr>
        <w:pStyle w:val="Heading2"/>
        <w:spacing w:line="276" w:lineRule="auto"/>
      </w:pPr>
      <w:r w:rsidRPr="002A7A6D">
        <w:t>Identify the Headings</w:t>
      </w:r>
    </w:p>
    <w:p w14:paraId="4160CBED" w14:textId="77777777" w:rsidR="009303D9" w:rsidRPr="002A7A6D" w:rsidRDefault="009303D9" w:rsidP="00963DAD">
      <w:pPr>
        <w:pStyle w:val="BodyText"/>
        <w:spacing w:line="276" w:lineRule="auto"/>
      </w:pPr>
      <w:r w:rsidRPr="002A7A6D">
        <w:t>Headings, or heads, are organizational devices that guide the reader through your paper. There are two types: component heads and text heads.</w:t>
      </w:r>
    </w:p>
    <w:p w14:paraId="397C0C4E" w14:textId="77777777" w:rsidR="009303D9" w:rsidRPr="002A7A6D" w:rsidRDefault="009303D9" w:rsidP="00963DAD">
      <w:pPr>
        <w:pStyle w:val="BodyText"/>
        <w:spacing w:line="276" w:lineRule="auto"/>
      </w:pPr>
      <w:r w:rsidRPr="002A7A6D">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6F0D191" w14:textId="77777777" w:rsidR="009303D9" w:rsidRPr="002A7A6D" w:rsidRDefault="009303D9" w:rsidP="00963DAD">
      <w:pPr>
        <w:pStyle w:val="BodyText"/>
        <w:spacing w:line="276" w:lineRule="auto"/>
      </w:pPr>
      <w:r w:rsidRPr="002A7A6D">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FA4A196" w14:textId="77777777" w:rsidR="009303D9" w:rsidRPr="002A7A6D" w:rsidRDefault="009303D9" w:rsidP="00963DAD">
      <w:pPr>
        <w:pStyle w:val="Heading2"/>
        <w:spacing w:line="276" w:lineRule="auto"/>
      </w:pPr>
      <w:r w:rsidRPr="002A7A6D">
        <w:t>Figures and Tables</w:t>
      </w:r>
    </w:p>
    <w:p w14:paraId="29D7BF46" w14:textId="46BADFA3" w:rsidR="009303D9" w:rsidRPr="002A7A6D" w:rsidRDefault="0004781E" w:rsidP="00963DAD">
      <w:pPr>
        <w:pStyle w:val="Heading4"/>
        <w:spacing w:line="276" w:lineRule="auto"/>
        <w:rPr>
          <w:i w:val="0"/>
        </w:rPr>
      </w:pPr>
      <w:r w:rsidRPr="002A7A6D">
        <w:t xml:space="preserve"> </w:t>
      </w:r>
      <w:r w:rsidR="009303D9" w:rsidRPr="002A7A6D">
        <w:t xml:space="preserve">Positioning Figures and Tables: </w:t>
      </w:r>
      <w:r w:rsidR="009303D9" w:rsidRPr="002A7A6D">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2254D9" w14:textId="6249B9DA" w:rsidR="00BA041C" w:rsidRPr="002A7A6D" w:rsidRDefault="00BA041C" w:rsidP="00963DAD">
      <w:pPr>
        <w:spacing w:line="276" w:lineRule="auto"/>
        <w:jc w:val="both"/>
        <w:rPr>
          <w:iCs/>
          <w:noProof/>
        </w:rPr>
      </w:pPr>
      <w:r w:rsidRPr="002A7A6D">
        <w:rPr>
          <w:iCs/>
          <w:noProof/>
        </w:rPr>
        <w:t>Note that the table has been added using the insert table functionality within Word, rather than being an image pasted into the document. Because this is created using Word and is fully editable, it is fine to include in the manuscript itself.</w:t>
      </w:r>
    </w:p>
    <w:p w14:paraId="54D1BAB8" w14:textId="77777777" w:rsidR="009303D9" w:rsidRPr="002A7A6D" w:rsidRDefault="009303D9" w:rsidP="00963DAD">
      <w:pPr>
        <w:pStyle w:val="tablehead"/>
        <w:spacing w:line="276" w:lineRule="auto"/>
        <w:rPr>
          <w:iCs/>
          <w:smallCaps w:val="0"/>
          <w:sz w:val="20"/>
          <w:szCs w:val="20"/>
        </w:rPr>
      </w:pPr>
      <w:r w:rsidRPr="002A7A6D">
        <w:rPr>
          <w:iCs/>
          <w:smallCaps w:val="0"/>
          <w:sz w:val="20"/>
          <w:szCs w:val="2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2A7A6D" w14:paraId="2E74A82A" w14:textId="77777777">
        <w:trPr>
          <w:cantSplit/>
          <w:trHeight w:val="240"/>
          <w:tblHeader/>
          <w:jc w:val="center"/>
        </w:trPr>
        <w:tc>
          <w:tcPr>
            <w:tcW w:w="720" w:type="dxa"/>
            <w:vMerge w:val="restart"/>
            <w:vAlign w:val="center"/>
          </w:tcPr>
          <w:p w14:paraId="0CF4F9F7" w14:textId="77777777" w:rsidR="009303D9" w:rsidRPr="002A7A6D" w:rsidRDefault="009303D9" w:rsidP="00963DAD">
            <w:pPr>
              <w:pStyle w:val="tablecolhead"/>
              <w:spacing w:line="276" w:lineRule="auto"/>
              <w:rPr>
                <w:sz w:val="20"/>
                <w:szCs w:val="20"/>
              </w:rPr>
            </w:pPr>
            <w:r w:rsidRPr="002A7A6D">
              <w:rPr>
                <w:sz w:val="20"/>
                <w:szCs w:val="20"/>
              </w:rPr>
              <w:t>Table Head</w:t>
            </w:r>
          </w:p>
        </w:tc>
        <w:tc>
          <w:tcPr>
            <w:tcW w:w="4140" w:type="dxa"/>
            <w:gridSpan w:val="3"/>
            <w:vAlign w:val="center"/>
          </w:tcPr>
          <w:p w14:paraId="2D263965" w14:textId="77777777" w:rsidR="009303D9" w:rsidRPr="002A7A6D" w:rsidRDefault="009303D9" w:rsidP="00963DAD">
            <w:pPr>
              <w:pStyle w:val="tablecolhead"/>
              <w:spacing w:line="276" w:lineRule="auto"/>
              <w:rPr>
                <w:sz w:val="20"/>
                <w:szCs w:val="20"/>
              </w:rPr>
            </w:pPr>
            <w:r w:rsidRPr="002A7A6D">
              <w:rPr>
                <w:sz w:val="20"/>
                <w:szCs w:val="20"/>
              </w:rPr>
              <w:t>Table Column Head</w:t>
            </w:r>
          </w:p>
        </w:tc>
      </w:tr>
      <w:tr w:rsidR="009303D9" w:rsidRPr="002A7A6D" w14:paraId="6A4584C1" w14:textId="77777777">
        <w:trPr>
          <w:cantSplit/>
          <w:trHeight w:val="240"/>
          <w:tblHeader/>
          <w:jc w:val="center"/>
        </w:trPr>
        <w:tc>
          <w:tcPr>
            <w:tcW w:w="720" w:type="dxa"/>
            <w:vMerge/>
          </w:tcPr>
          <w:p w14:paraId="4C64303E" w14:textId="77777777" w:rsidR="009303D9" w:rsidRPr="002A7A6D" w:rsidRDefault="009303D9" w:rsidP="00963DAD">
            <w:pPr>
              <w:spacing w:line="276" w:lineRule="auto"/>
            </w:pPr>
          </w:p>
        </w:tc>
        <w:tc>
          <w:tcPr>
            <w:tcW w:w="2340" w:type="dxa"/>
            <w:vAlign w:val="center"/>
          </w:tcPr>
          <w:p w14:paraId="3A9BA453" w14:textId="77777777" w:rsidR="009303D9" w:rsidRPr="002A7A6D" w:rsidRDefault="009303D9" w:rsidP="00963DAD">
            <w:pPr>
              <w:pStyle w:val="tablecolsubhead"/>
              <w:spacing w:line="276" w:lineRule="auto"/>
              <w:rPr>
                <w:sz w:val="20"/>
                <w:szCs w:val="20"/>
              </w:rPr>
            </w:pPr>
            <w:r w:rsidRPr="002A7A6D">
              <w:rPr>
                <w:sz w:val="20"/>
                <w:szCs w:val="20"/>
              </w:rPr>
              <w:t>Table column subhead</w:t>
            </w:r>
          </w:p>
        </w:tc>
        <w:tc>
          <w:tcPr>
            <w:tcW w:w="900" w:type="dxa"/>
            <w:vAlign w:val="center"/>
          </w:tcPr>
          <w:p w14:paraId="7FFBC9E8" w14:textId="77777777" w:rsidR="009303D9" w:rsidRPr="002A7A6D" w:rsidRDefault="009303D9" w:rsidP="00963DAD">
            <w:pPr>
              <w:pStyle w:val="tablecolsubhead"/>
              <w:spacing w:line="276" w:lineRule="auto"/>
              <w:rPr>
                <w:sz w:val="20"/>
                <w:szCs w:val="20"/>
              </w:rPr>
            </w:pPr>
            <w:r w:rsidRPr="002A7A6D">
              <w:rPr>
                <w:sz w:val="20"/>
                <w:szCs w:val="20"/>
              </w:rPr>
              <w:t>Subhead</w:t>
            </w:r>
          </w:p>
        </w:tc>
        <w:tc>
          <w:tcPr>
            <w:tcW w:w="900" w:type="dxa"/>
            <w:vAlign w:val="center"/>
          </w:tcPr>
          <w:p w14:paraId="797DCD9A" w14:textId="77777777" w:rsidR="009303D9" w:rsidRPr="002A7A6D" w:rsidRDefault="009303D9" w:rsidP="00963DAD">
            <w:pPr>
              <w:pStyle w:val="tablecolsubhead"/>
              <w:spacing w:line="276" w:lineRule="auto"/>
              <w:rPr>
                <w:sz w:val="20"/>
                <w:szCs w:val="20"/>
              </w:rPr>
            </w:pPr>
            <w:r w:rsidRPr="002A7A6D">
              <w:rPr>
                <w:sz w:val="20"/>
                <w:szCs w:val="20"/>
              </w:rPr>
              <w:t>Subhead</w:t>
            </w:r>
          </w:p>
        </w:tc>
      </w:tr>
      <w:tr w:rsidR="009303D9" w:rsidRPr="002A7A6D" w14:paraId="4321FAE7" w14:textId="77777777">
        <w:trPr>
          <w:trHeight w:val="320"/>
          <w:jc w:val="center"/>
        </w:trPr>
        <w:tc>
          <w:tcPr>
            <w:tcW w:w="720" w:type="dxa"/>
            <w:vAlign w:val="center"/>
          </w:tcPr>
          <w:p w14:paraId="0802CB0A" w14:textId="77777777" w:rsidR="009303D9" w:rsidRPr="002A7A6D" w:rsidRDefault="009303D9" w:rsidP="00963DAD">
            <w:pPr>
              <w:pStyle w:val="tablecopy"/>
              <w:spacing w:line="276" w:lineRule="auto"/>
              <w:rPr>
                <w:sz w:val="20"/>
                <w:szCs w:val="20"/>
              </w:rPr>
            </w:pPr>
            <w:r w:rsidRPr="002A7A6D">
              <w:rPr>
                <w:sz w:val="20"/>
                <w:szCs w:val="20"/>
              </w:rPr>
              <w:t>copy</w:t>
            </w:r>
          </w:p>
        </w:tc>
        <w:tc>
          <w:tcPr>
            <w:tcW w:w="2340" w:type="dxa"/>
            <w:vAlign w:val="center"/>
          </w:tcPr>
          <w:p w14:paraId="6E33F9D3" w14:textId="77777777" w:rsidR="009303D9" w:rsidRPr="002A7A6D" w:rsidRDefault="009303D9" w:rsidP="00963DAD">
            <w:pPr>
              <w:pStyle w:val="tablecopy"/>
              <w:spacing w:line="276" w:lineRule="auto"/>
              <w:rPr>
                <w:sz w:val="20"/>
                <w:szCs w:val="20"/>
              </w:rPr>
            </w:pPr>
            <w:r w:rsidRPr="002A7A6D">
              <w:rPr>
                <w:sz w:val="20"/>
                <w:szCs w:val="20"/>
              </w:rPr>
              <w:t>More table copy</w:t>
            </w:r>
            <w:r w:rsidRPr="002A7A6D">
              <w:rPr>
                <w:sz w:val="20"/>
                <w:szCs w:val="20"/>
                <w:vertAlign w:val="superscript"/>
              </w:rPr>
              <w:t>a</w:t>
            </w:r>
          </w:p>
        </w:tc>
        <w:tc>
          <w:tcPr>
            <w:tcW w:w="900" w:type="dxa"/>
            <w:vAlign w:val="center"/>
          </w:tcPr>
          <w:p w14:paraId="5B040086" w14:textId="77777777" w:rsidR="009303D9" w:rsidRPr="002A7A6D" w:rsidRDefault="009303D9" w:rsidP="00963DAD">
            <w:pPr>
              <w:spacing w:line="276" w:lineRule="auto"/>
            </w:pPr>
          </w:p>
        </w:tc>
        <w:tc>
          <w:tcPr>
            <w:tcW w:w="900" w:type="dxa"/>
            <w:vAlign w:val="center"/>
          </w:tcPr>
          <w:p w14:paraId="4394EBAC" w14:textId="77777777" w:rsidR="009303D9" w:rsidRPr="002A7A6D" w:rsidRDefault="009303D9" w:rsidP="00963DAD">
            <w:pPr>
              <w:spacing w:line="276" w:lineRule="auto"/>
            </w:pPr>
          </w:p>
        </w:tc>
      </w:tr>
    </w:tbl>
    <w:p w14:paraId="09A34C75" w14:textId="77777777" w:rsidR="009303D9" w:rsidRPr="002A7A6D" w:rsidRDefault="009303D9" w:rsidP="00963DAD">
      <w:pPr>
        <w:pStyle w:val="tablefootnote"/>
        <w:spacing w:line="276" w:lineRule="auto"/>
        <w:rPr>
          <w:sz w:val="20"/>
          <w:szCs w:val="20"/>
        </w:rPr>
      </w:pPr>
      <w:r w:rsidRPr="002A7A6D">
        <w:rPr>
          <w:sz w:val="20"/>
          <w:szCs w:val="20"/>
        </w:rPr>
        <w:t>Sample of a Table footnote. (</w:t>
      </w:r>
      <w:r w:rsidRPr="002A7A6D">
        <w:rPr>
          <w:i/>
          <w:sz w:val="20"/>
          <w:szCs w:val="20"/>
        </w:rPr>
        <w:t>Table footnote</w:t>
      </w:r>
      <w:r w:rsidRPr="002A7A6D">
        <w:rPr>
          <w:sz w:val="20"/>
          <w:szCs w:val="20"/>
        </w:rPr>
        <w:t>)</w:t>
      </w:r>
    </w:p>
    <w:p w14:paraId="58B8E47E" w14:textId="77777777" w:rsidR="005B0344" w:rsidRPr="002A7A6D" w:rsidRDefault="005B0344" w:rsidP="00963DAD">
      <w:pPr>
        <w:pStyle w:val="figurecaption"/>
        <w:spacing w:line="276" w:lineRule="auto"/>
        <w:rPr>
          <w:sz w:val="20"/>
          <w:szCs w:val="20"/>
        </w:rPr>
      </w:pPr>
      <w:r w:rsidRPr="002A7A6D">
        <w:rPr>
          <w:sz w:val="20"/>
          <w:szCs w:val="20"/>
        </w:rPr>
        <w:t xml:space="preserve">Example of a figure caption. </w:t>
      </w:r>
      <w:r w:rsidRPr="002A7A6D">
        <w:rPr>
          <w:iCs/>
          <w:sz w:val="20"/>
          <w:szCs w:val="20"/>
        </w:rPr>
        <w:t>(</w:t>
      </w:r>
      <w:r w:rsidRPr="002A7A6D">
        <w:rPr>
          <w:i/>
          <w:iCs/>
          <w:sz w:val="20"/>
          <w:szCs w:val="20"/>
        </w:rPr>
        <w:t>figure caption</w:t>
      </w:r>
      <w:r w:rsidRPr="002A7A6D">
        <w:rPr>
          <w:iCs/>
          <w:sz w:val="20"/>
          <w:szCs w:val="20"/>
        </w:rPr>
        <w:t>)</w:t>
      </w:r>
    </w:p>
    <w:p w14:paraId="48229442" w14:textId="77777777" w:rsidR="0080791D" w:rsidRPr="002A7A6D" w:rsidRDefault="009303D9" w:rsidP="00963DAD">
      <w:pPr>
        <w:pStyle w:val="BodyText"/>
        <w:spacing w:line="276" w:lineRule="auto"/>
      </w:pPr>
      <w:r w:rsidRPr="002A7A6D">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2A7A6D">
        <w:t xml:space="preserve"> with a ratio of quantities and units. For example, write “Temperature (K)”, not “Temperature/K”.</w:t>
      </w:r>
    </w:p>
    <w:p w14:paraId="719E83B0" w14:textId="77777777" w:rsidR="0080791D" w:rsidRPr="002A7A6D" w:rsidRDefault="0080791D" w:rsidP="00963DAD">
      <w:pPr>
        <w:pStyle w:val="Heading5"/>
        <w:spacing w:line="276" w:lineRule="auto"/>
      </w:pPr>
      <w:r w:rsidRPr="002A7A6D">
        <w:t xml:space="preserve">Acknowledgment </w:t>
      </w:r>
      <w:r w:rsidRPr="002A7A6D">
        <w:rPr>
          <w:i/>
          <w:iCs/>
        </w:rPr>
        <w:t>(</w:t>
      </w:r>
      <w:r w:rsidRPr="002A7A6D">
        <w:rPr>
          <w:i/>
          <w:iCs/>
          <w:smallCaps w:val="0"/>
        </w:rPr>
        <w:t>Heading 5</w:t>
      </w:r>
      <w:r w:rsidRPr="002A7A6D">
        <w:rPr>
          <w:i/>
          <w:iCs/>
        </w:rPr>
        <w:t>)</w:t>
      </w:r>
    </w:p>
    <w:p w14:paraId="692EDD5D" w14:textId="77777777" w:rsidR="00575BCA" w:rsidRPr="002A7A6D" w:rsidRDefault="0080791D" w:rsidP="00963DAD">
      <w:pPr>
        <w:pStyle w:val="BodyText"/>
        <w:spacing w:line="276" w:lineRule="auto"/>
      </w:pPr>
      <w:r w:rsidRPr="002A7A6D">
        <w:t>The preferred spelling of the word “acknowledgment” in America is without an “e” after the “g</w:t>
      </w:r>
      <w:r w:rsidR="00AE3409" w:rsidRPr="002A7A6D">
        <w:t>”. Avoid the stilted expression “</w:t>
      </w:r>
      <w:proofErr w:type="spellStart"/>
      <w:r w:rsidR="00AE3409" w:rsidRPr="002A7A6D">
        <w:rPr>
          <w:lang w:val="en-US"/>
        </w:rPr>
        <w:t>o</w:t>
      </w:r>
      <w:r w:rsidRPr="002A7A6D">
        <w:t>ne</w:t>
      </w:r>
      <w:proofErr w:type="spellEnd"/>
      <w:r w:rsidRPr="002A7A6D">
        <w:t xml:space="preserve"> of us (R. B. G.) thanks </w:t>
      </w:r>
      <w:r w:rsidR="00AE3409" w:rsidRPr="002A7A6D">
        <w:t>...</w:t>
      </w:r>
      <w:r w:rsidR="00AE3409" w:rsidRPr="002A7A6D">
        <w:rPr>
          <w:lang w:val="en-US"/>
        </w:rPr>
        <w:t xml:space="preserve">”.  </w:t>
      </w:r>
      <w:r w:rsidRPr="002A7A6D">
        <w:t>Instead, try “R. B. G. thanks</w:t>
      </w:r>
      <w:r w:rsidR="00AE3409" w:rsidRPr="002A7A6D">
        <w:t>...</w:t>
      </w:r>
      <w:r w:rsidRPr="002A7A6D">
        <w:t>”.</w:t>
      </w:r>
      <w:r w:rsidR="00F03103" w:rsidRPr="002A7A6D">
        <w:rPr>
          <w:lang w:val="en-US"/>
        </w:rPr>
        <w:t xml:space="preserve"> </w:t>
      </w:r>
      <w:r w:rsidRPr="002A7A6D">
        <w:t>Put spons</w:t>
      </w:r>
      <w:r w:rsidR="00794804" w:rsidRPr="002A7A6D">
        <w:t>or acknowledgments in the unnum</w:t>
      </w:r>
      <w:r w:rsidRPr="002A7A6D">
        <w:t>bered footnote on the first page.</w:t>
      </w:r>
    </w:p>
    <w:p w14:paraId="45EF1E50" w14:textId="77777777" w:rsidR="009303D9" w:rsidRPr="002A7A6D" w:rsidRDefault="009303D9" w:rsidP="00963DAD">
      <w:pPr>
        <w:pStyle w:val="Heading5"/>
        <w:spacing w:line="276" w:lineRule="auto"/>
      </w:pPr>
      <w:r w:rsidRPr="002A7A6D">
        <w:t>References</w:t>
      </w:r>
    </w:p>
    <w:p w14:paraId="386E19D2" w14:textId="324F9771" w:rsidR="000B2167" w:rsidRPr="002A7A6D" w:rsidRDefault="000B2167" w:rsidP="00963DAD">
      <w:pPr>
        <w:pStyle w:val="BodyText"/>
        <w:spacing w:before="120" w:line="276" w:lineRule="auto"/>
        <w:ind w:left="139" w:right="194"/>
      </w:pPr>
      <w:r w:rsidRPr="002A7A6D">
        <w:t xml:space="preserve">CRC Press/Taylor &amp; Francis follows </w:t>
      </w:r>
      <w:r w:rsidRPr="002A7A6D">
        <w:rPr>
          <w:i/>
        </w:rPr>
        <w:t>Chicago Manual of Style, 16</w:t>
      </w:r>
      <w:r w:rsidRPr="002A7A6D">
        <w:rPr>
          <w:i/>
          <w:vertAlign w:val="superscript"/>
        </w:rPr>
        <w:t>th</w:t>
      </w:r>
      <w:r w:rsidRPr="002A7A6D">
        <w:rPr>
          <w:i/>
        </w:rPr>
        <w:t xml:space="preserve"> edition </w:t>
      </w:r>
      <w:r w:rsidRPr="002A7A6D">
        <w:t>for reference style. However, as long as consistent style is maintained within any one work, logical variations are acceptable (please notify us if you are using a style other than Chicago Manual of Style, 16</w:t>
      </w:r>
      <w:r w:rsidRPr="002A7A6D">
        <w:rPr>
          <w:vertAlign w:val="superscript"/>
        </w:rPr>
        <w:t>th</w:t>
      </w:r>
      <w:r w:rsidRPr="002A7A6D">
        <w:t xml:space="preserve"> edition so we can ensure it is retained).</w:t>
      </w:r>
    </w:p>
    <w:p w14:paraId="72E154D8" w14:textId="77777777" w:rsidR="000B2167" w:rsidRPr="002A7A6D" w:rsidRDefault="000B2167" w:rsidP="00963DAD">
      <w:pPr>
        <w:pStyle w:val="BodyText"/>
        <w:spacing w:line="276" w:lineRule="auto"/>
        <w:ind w:left="139" w:right="460"/>
      </w:pPr>
      <w:r w:rsidRPr="002A7A6D">
        <w:t>Common reference uses for the Chicago Manual of Style, 16</w:t>
      </w:r>
      <w:r w:rsidRPr="002A7A6D">
        <w:rPr>
          <w:vertAlign w:val="superscript"/>
        </w:rPr>
        <w:t>th</w:t>
      </w:r>
      <w:r w:rsidRPr="002A7A6D">
        <w:t xml:space="preserve"> Edition are below. If you require information on a different style, please contact your Project Coordinator.</w:t>
      </w:r>
    </w:p>
    <w:p w14:paraId="1629249F" w14:textId="77777777" w:rsidR="009303D9" w:rsidRPr="002A7A6D" w:rsidRDefault="009303D9" w:rsidP="00963DAD">
      <w:pPr>
        <w:spacing w:line="276" w:lineRule="auto"/>
      </w:pPr>
    </w:p>
    <w:p w14:paraId="7DFE055A" w14:textId="77777777" w:rsidR="000B2167" w:rsidRPr="002A7A6D" w:rsidRDefault="000B2167" w:rsidP="00963DAD">
      <w:pPr>
        <w:pStyle w:val="references"/>
        <w:spacing w:line="276" w:lineRule="auto"/>
        <w:rPr>
          <w:sz w:val="20"/>
          <w:szCs w:val="20"/>
        </w:rPr>
      </w:pPr>
      <w:r w:rsidRPr="002A7A6D">
        <w:rPr>
          <w:b/>
          <w:i/>
          <w:sz w:val="20"/>
          <w:szCs w:val="20"/>
        </w:rPr>
        <w:t xml:space="preserve">Authored book: </w:t>
      </w:r>
      <w:r w:rsidRPr="002A7A6D">
        <w:rPr>
          <w:sz w:val="20"/>
          <w:szCs w:val="20"/>
        </w:rPr>
        <w:t xml:space="preserve">Woods, D. D. and E. Hollnagel. 2012. </w:t>
      </w:r>
      <w:r w:rsidRPr="002A7A6D">
        <w:rPr>
          <w:i/>
          <w:sz w:val="20"/>
          <w:szCs w:val="20"/>
        </w:rPr>
        <w:t>Joint cognitive systems</w:t>
      </w:r>
      <w:r w:rsidRPr="002A7A6D">
        <w:rPr>
          <w:sz w:val="20"/>
          <w:szCs w:val="20"/>
        </w:rPr>
        <w:t>. Boca Raton: CRC Press/Taylor &amp; Francis.</w:t>
      </w:r>
    </w:p>
    <w:p w14:paraId="437921C5" w14:textId="77777777" w:rsidR="000B2167" w:rsidRPr="002A7A6D" w:rsidRDefault="000B2167" w:rsidP="00963DAD">
      <w:pPr>
        <w:pStyle w:val="references"/>
        <w:numPr>
          <w:ilvl w:val="0"/>
          <w:numId w:val="0"/>
        </w:numPr>
        <w:spacing w:line="276" w:lineRule="auto"/>
        <w:ind w:left="360"/>
        <w:rPr>
          <w:i/>
          <w:sz w:val="20"/>
          <w:szCs w:val="20"/>
        </w:rPr>
      </w:pPr>
    </w:p>
    <w:p w14:paraId="13AF7E6D" w14:textId="035087DF" w:rsidR="000B2167" w:rsidRPr="002A7A6D" w:rsidRDefault="000B2167" w:rsidP="00963DAD">
      <w:pPr>
        <w:pStyle w:val="references"/>
        <w:numPr>
          <w:ilvl w:val="0"/>
          <w:numId w:val="0"/>
        </w:numPr>
        <w:spacing w:line="276" w:lineRule="auto"/>
        <w:ind w:left="360"/>
        <w:rPr>
          <w:sz w:val="20"/>
          <w:szCs w:val="20"/>
        </w:rPr>
      </w:pPr>
      <w:r w:rsidRPr="002A7A6D">
        <w:rPr>
          <w:i/>
          <w:sz w:val="20"/>
          <w:szCs w:val="20"/>
        </w:rPr>
        <w:t xml:space="preserve">In text: </w:t>
      </w:r>
      <w:r w:rsidRPr="002A7A6D">
        <w:rPr>
          <w:sz w:val="20"/>
          <w:szCs w:val="20"/>
        </w:rPr>
        <w:t>(Woods and Hollnagel 2012)</w:t>
      </w:r>
    </w:p>
    <w:p w14:paraId="3238B540" w14:textId="77777777" w:rsidR="000B2167" w:rsidRPr="002A7A6D" w:rsidRDefault="000B2167" w:rsidP="00963DAD">
      <w:pPr>
        <w:pStyle w:val="references"/>
        <w:numPr>
          <w:ilvl w:val="0"/>
          <w:numId w:val="0"/>
        </w:numPr>
        <w:spacing w:line="276" w:lineRule="auto"/>
        <w:ind w:left="360"/>
        <w:rPr>
          <w:sz w:val="20"/>
          <w:szCs w:val="20"/>
        </w:rPr>
      </w:pPr>
    </w:p>
    <w:p w14:paraId="6A7EFD4D" w14:textId="1A112024" w:rsidR="000B2167" w:rsidRPr="002A7A6D" w:rsidRDefault="000B2167" w:rsidP="00963DAD">
      <w:pPr>
        <w:pStyle w:val="references"/>
        <w:spacing w:line="276" w:lineRule="auto"/>
        <w:rPr>
          <w:sz w:val="20"/>
          <w:szCs w:val="20"/>
        </w:rPr>
      </w:pPr>
      <w:r w:rsidRPr="002A7A6D">
        <w:rPr>
          <w:b/>
          <w:i/>
          <w:sz w:val="20"/>
          <w:szCs w:val="20"/>
        </w:rPr>
        <w:t xml:space="preserve">Chapter in multi authored book: </w:t>
      </w:r>
      <w:r w:rsidRPr="002A7A6D">
        <w:rPr>
          <w:sz w:val="20"/>
          <w:szCs w:val="20"/>
        </w:rPr>
        <w:t xml:space="preserve">Wiens, J. A. 2005. Avian community ecology: An iconoclastic view. In </w:t>
      </w:r>
      <w:r w:rsidRPr="002A7A6D">
        <w:rPr>
          <w:i/>
          <w:sz w:val="20"/>
          <w:szCs w:val="20"/>
        </w:rPr>
        <w:t>Perspectives in ornithology</w:t>
      </w:r>
      <w:r w:rsidRPr="002A7A6D">
        <w:rPr>
          <w:sz w:val="20"/>
          <w:szCs w:val="20"/>
        </w:rPr>
        <w:t>, ed. A. H. Brush, and G. A. Clark, 355–403. Cambridge: Cambridge Univ. Press.</w:t>
      </w:r>
    </w:p>
    <w:p w14:paraId="42243D4D" w14:textId="77777777" w:rsidR="000B2167" w:rsidRPr="002A7A6D" w:rsidRDefault="000B2167" w:rsidP="00963DAD">
      <w:pPr>
        <w:pStyle w:val="references"/>
        <w:numPr>
          <w:ilvl w:val="0"/>
          <w:numId w:val="0"/>
        </w:numPr>
        <w:spacing w:line="276" w:lineRule="auto"/>
        <w:ind w:left="360"/>
        <w:rPr>
          <w:i/>
          <w:sz w:val="20"/>
          <w:szCs w:val="20"/>
        </w:rPr>
      </w:pPr>
    </w:p>
    <w:p w14:paraId="36B2B125" w14:textId="2F008612" w:rsidR="000B2167" w:rsidRPr="002A7A6D" w:rsidRDefault="000B2167" w:rsidP="00963DAD">
      <w:pPr>
        <w:pStyle w:val="references"/>
        <w:numPr>
          <w:ilvl w:val="0"/>
          <w:numId w:val="0"/>
        </w:numPr>
        <w:spacing w:line="276" w:lineRule="auto"/>
        <w:ind w:left="360"/>
        <w:rPr>
          <w:sz w:val="20"/>
          <w:szCs w:val="20"/>
        </w:rPr>
      </w:pPr>
      <w:r w:rsidRPr="002A7A6D">
        <w:rPr>
          <w:i/>
          <w:sz w:val="20"/>
          <w:szCs w:val="20"/>
        </w:rPr>
        <w:lastRenderedPageBreak/>
        <w:t xml:space="preserve">Note: </w:t>
      </w:r>
      <w:r w:rsidRPr="002A7A6D">
        <w:rPr>
          <w:sz w:val="20"/>
          <w:szCs w:val="20"/>
        </w:rPr>
        <w:t>In Reference section, when there are more than six authors, first three are listed, followed by et al. In text, first author listed followed by et al.</w:t>
      </w:r>
    </w:p>
    <w:p w14:paraId="47E312E0" w14:textId="77777777" w:rsidR="000B2167" w:rsidRPr="002A7A6D" w:rsidRDefault="000B2167" w:rsidP="00963DAD">
      <w:pPr>
        <w:pStyle w:val="references"/>
        <w:numPr>
          <w:ilvl w:val="0"/>
          <w:numId w:val="0"/>
        </w:numPr>
        <w:spacing w:line="276" w:lineRule="auto"/>
        <w:ind w:left="360"/>
        <w:rPr>
          <w:sz w:val="20"/>
          <w:szCs w:val="20"/>
        </w:rPr>
      </w:pPr>
    </w:p>
    <w:p w14:paraId="64476669" w14:textId="77777777" w:rsidR="000B2167" w:rsidRPr="002A7A6D" w:rsidRDefault="000B2167" w:rsidP="00963DAD">
      <w:pPr>
        <w:pStyle w:val="references"/>
        <w:spacing w:line="276" w:lineRule="auto"/>
        <w:rPr>
          <w:sz w:val="20"/>
          <w:szCs w:val="20"/>
        </w:rPr>
      </w:pPr>
      <w:r w:rsidRPr="002A7A6D">
        <w:rPr>
          <w:b/>
          <w:sz w:val="20"/>
          <w:szCs w:val="20"/>
        </w:rPr>
        <w:t xml:space="preserve">Journals: </w:t>
      </w:r>
      <w:r w:rsidRPr="002A7A6D">
        <w:rPr>
          <w:sz w:val="20"/>
          <w:szCs w:val="20"/>
        </w:rPr>
        <w:t xml:space="preserve">Terborgh, J. 2009. Preservation of natural diversity. </w:t>
      </w:r>
      <w:r w:rsidRPr="002A7A6D">
        <w:rPr>
          <w:i/>
          <w:sz w:val="20"/>
          <w:szCs w:val="20"/>
        </w:rPr>
        <w:t xml:space="preserve">BioScience </w:t>
      </w:r>
      <w:r w:rsidRPr="002A7A6D">
        <w:rPr>
          <w:sz w:val="20"/>
          <w:szCs w:val="20"/>
        </w:rPr>
        <w:t>24:715-22.</w:t>
      </w:r>
    </w:p>
    <w:p w14:paraId="48FD0DA0" w14:textId="77777777" w:rsidR="000B2167" w:rsidRPr="002A7A6D" w:rsidRDefault="000B2167" w:rsidP="00963DAD">
      <w:pPr>
        <w:pStyle w:val="references"/>
        <w:numPr>
          <w:ilvl w:val="0"/>
          <w:numId w:val="0"/>
        </w:numPr>
        <w:spacing w:line="276" w:lineRule="auto"/>
        <w:ind w:left="360"/>
        <w:rPr>
          <w:b/>
          <w:i/>
          <w:sz w:val="20"/>
          <w:szCs w:val="20"/>
        </w:rPr>
      </w:pPr>
    </w:p>
    <w:p w14:paraId="40743C2F" w14:textId="5808143B" w:rsidR="000B2167" w:rsidRPr="002A7A6D" w:rsidRDefault="000B2167" w:rsidP="00963DAD">
      <w:pPr>
        <w:pStyle w:val="references"/>
        <w:numPr>
          <w:ilvl w:val="0"/>
          <w:numId w:val="0"/>
        </w:numPr>
        <w:spacing w:line="276" w:lineRule="auto"/>
        <w:ind w:left="360"/>
        <w:rPr>
          <w:sz w:val="20"/>
          <w:szCs w:val="20"/>
        </w:rPr>
      </w:pPr>
      <w:r w:rsidRPr="002A7A6D">
        <w:rPr>
          <w:b/>
          <w:i/>
          <w:sz w:val="20"/>
          <w:szCs w:val="20"/>
        </w:rPr>
        <w:t xml:space="preserve">Electronic journal: </w:t>
      </w:r>
      <w:r w:rsidRPr="002A7A6D">
        <w:rPr>
          <w:sz w:val="20"/>
          <w:szCs w:val="20"/>
        </w:rPr>
        <w:t xml:space="preserve">Testa, B., and L. B. Kier. 2013. Emergence and dissolvence in the self-organisation of complex systems. </w:t>
      </w:r>
      <w:r w:rsidRPr="002A7A6D">
        <w:rPr>
          <w:i/>
          <w:sz w:val="20"/>
          <w:szCs w:val="20"/>
        </w:rPr>
        <w:t xml:space="preserve">Entropy </w:t>
      </w:r>
      <w:r w:rsidRPr="002A7A6D">
        <w:rPr>
          <w:sz w:val="20"/>
          <w:szCs w:val="20"/>
        </w:rPr>
        <w:t xml:space="preserve">2, no. 1 (March): 1-25. </w:t>
      </w:r>
      <w:hyperlink r:id="rId14">
        <w:r w:rsidRPr="002A7A6D">
          <w:rPr>
            <w:sz w:val="20"/>
            <w:szCs w:val="20"/>
          </w:rPr>
          <w:t>http://www.mdpi.org/entropy/papers/e2010001.pdf.</w:t>
        </w:r>
      </w:hyperlink>
    </w:p>
    <w:p w14:paraId="568628A1" w14:textId="77777777" w:rsidR="000B2167" w:rsidRPr="002A7A6D" w:rsidRDefault="000B2167" w:rsidP="00963DAD">
      <w:pPr>
        <w:pStyle w:val="references"/>
        <w:numPr>
          <w:ilvl w:val="0"/>
          <w:numId w:val="0"/>
        </w:numPr>
        <w:spacing w:line="276" w:lineRule="auto"/>
        <w:ind w:left="360"/>
        <w:rPr>
          <w:sz w:val="20"/>
          <w:szCs w:val="20"/>
        </w:rPr>
      </w:pPr>
    </w:p>
    <w:p w14:paraId="28CACB9B" w14:textId="77777777" w:rsidR="000B2167" w:rsidRPr="002A7A6D" w:rsidRDefault="000B2167" w:rsidP="00963DAD">
      <w:pPr>
        <w:pStyle w:val="references"/>
        <w:spacing w:line="276" w:lineRule="auto"/>
        <w:rPr>
          <w:i/>
          <w:iCs/>
          <w:sz w:val="20"/>
          <w:szCs w:val="20"/>
        </w:rPr>
      </w:pPr>
      <w:r w:rsidRPr="002A7A6D">
        <w:rPr>
          <w:b/>
          <w:bCs/>
          <w:sz w:val="20"/>
          <w:szCs w:val="20"/>
        </w:rPr>
        <w:t xml:space="preserve"> Unpublished Documents</w:t>
      </w:r>
      <w:r w:rsidRPr="002A7A6D">
        <w:rPr>
          <w:i/>
          <w:iCs/>
          <w:sz w:val="20"/>
          <w:szCs w:val="20"/>
        </w:rPr>
        <w:t>:</w:t>
      </w:r>
      <w:r w:rsidRPr="002A7A6D">
        <w:rPr>
          <w:sz w:val="20"/>
          <w:szCs w:val="20"/>
        </w:rPr>
        <w:t>Schwartz, G. J. 2012. Multiwavelength analyses of classical carbon-oxygen novae. PhD diss., Arizona State Univ.</w:t>
      </w:r>
    </w:p>
    <w:p w14:paraId="18D5AAD9" w14:textId="77777777" w:rsidR="000B2167" w:rsidRPr="002A7A6D" w:rsidRDefault="000B2167" w:rsidP="00963DAD">
      <w:pPr>
        <w:pStyle w:val="references"/>
        <w:numPr>
          <w:ilvl w:val="0"/>
          <w:numId w:val="0"/>
        </w:numPr>
        <w:spacing w:line="276" w:lineRule="auto"/>
        <w:ind w:left="360"/>
        <w:rPr>
          <w:sz w:val="20"/>
          <w:szCs w:val="20"/>
        </w:rPr>
      </w:pPr>
    </w:p>
    <w:p w14:paraId="7F19F133" w14:textId="16BE2D1F" w:rsidR="000B2167" w:rsidRPr="002A7A6D" w:rsidRDefault="000B2167" w:rsidP="00963DAD">
      <w:pPr>
        <w:pStyle w:val="references"/>
        <w:numPr>
          <w:ilvl w:val="0"/>
          <w:numId w:val="0"/>
        </w:numPr>
        <w:spacing w:line="276" w:lineRule="auto"/>
        <w:ind w:left="360"/>
        <w:rPr>
          <w:sz w:val="20"/>
          <w:szCs w:val="20"/>
        </w:rPr>
      </w:pPr>
      <w:r w:rsidRPr="002A7A6D">
        <w:rPr>
          <w:sz w:val="20"/>
          <w:szCs w:val="20"/>
        </w:rPr>
        <w:t>O’Guinn, T. C. 2014. Touching greatness. Paper presented at the annual meeting of the American Psychological Association, New York.</w:t>
      </w:r>
    </w:p>
    <w:p w14:paraId="01C8FDD3" w14:textId="77777777" w:rsidR="000B2167" w:rsidRPr="002A7A6D" w:rsidRDefault="000B2167" w:rsidP="00963DAD">
      <w:pPr>
        <w:pStyle w:val="references"/>
        <w:numPr>
          <w:ilvl w:val="0"/>
          <w:numId w:val="0"/>
        </w:numPr>
        <w:spacing w:line="276" w:lineRule="auto"/>
        <w:ind w:left="360"/>
        <w:rPr>
          <w:i/>
          <w:iCs/>
          <w:sz w:val="20"/>
          <w:szCs w:val="20"/>
        </w:rPr>
      </w:pPr>
    </w:p>
    <w:p w14:paraId="72F79822" w14:textId="439419BE" w:rsidR="000B2167" w:rsidRPr="002A7A6D" w:rsidRDefault="000B2167" w:rsidP="00963DAD">
      <w:pPr>
        <w:pStyle w:val="references"/>
        <w:spacing w:line="276" w:lineRule="auto"/>
        <w:jc w:val="left"/>
        <w:rPr>
          <w:sz w:val="20"/>
          <w:szCs w:val="20"/>
        </w:rPr>
      </w:pPr>
      <w:r w:rsidRPr="002A7A6D">
        <w:rPr>
          <w:sz w:val="20"/>
          <w:szCs w:val="20"/>
        </w:rPr>
        <w:t xml:space="preserve"> </w:t>
      </w:r>
      <w:r w:rsidRPr="002A7A6D">
        <w:rPr>
          <w:b/>
          <w:bCs/>
          <w:sz w:val="20"/>
          <w:szCs w:val="20"/>
        </w:rPr>
        <w:t>Online Documents</w:t>
      </w:r>
      <w:r w:rsidRPr="002A7A6D">
        <w:rPr>
          <w:sz w:val="20"/>
          <w:szCs w:val="20"/>
        </w:rPr>
        <w:t xml:space="preserve">: Adamic, L. A., and B. A. Huberman. 2006. The nature of markets in the World Wide Web. Working paper, Xerox Palo Alto Research Center. </w:t>
      </w:r>
      <w:hyperlink r:id="rId15" w:history="1">
        <w:r w:rsidRPr="002A7A6D">
          <w:rPr>
            <w:rStyle w:val="Hyperlink"/>
            <w:sz w:val="20"/>
            <w:szCs w:val="20"/>
          </w:rPr>
          <w:t xml:space="preserve">http://www.parc.xerox.com/istl/groups/iea/www/webmarkets.html </w:t>
        </w:r>
      </w:hyperlink>
      <w:r w:rsidRPr="002A7A6D">
        <w:rPr>
          <w:sz w:val="20"/>
          <w:szCs w:val="20"/>
        </w:rPr>
        <w:t>(accessed March 12, 2014).</w:t>
      </w:r>
    </w:p>
    <w:p w14:paraId="165F1AB8" w14:textId="77777777" w:rsidR="000B2167" w:rsidRPr="002A7A6D" w:rsidRDefault="000B2167" w:rsidP="00963DAD">
      <w:pPr>
        <w:spacing w:line="276" w:lineRule="auto"/>
      </w:pPr>
    </w:p>
    <w:p w14:paraId="6521ABE3" w14:textId="736F8812" w:rsidR="000B2167" w:rsidRPr="002A7A6D" w:rsidRDefault="000B2167" w:rsidP="00963DAD">
      <w:pPr>
        <w:pStyle w:val="Heading2"/>
        <w:numPr>
          <w:ilvl w:val="0"/>
          <w:numId w:val="0"/>
        </w:numPr>
        <w:spacing w:before="1" w:line="276" w:lineRule="auto"/>
        <w:ind w:left="288"/>
        <w:rPr>
          <w:rFonts w:eastAsia="MS Mincho"/>
          <w:i w:val="0"/>
          <w:iCs w:val="0"/>
        </w:rPr>
      </w:pPr>
      <w:r w:rsidRPr="002A7A6D">
        <w:rPr>
          <w:rFonts w:eastAsia="MS Mincho"/>
          <w:i w:val="0"/>
          <w:iCs w:val="0"/>
        </w:rPr>
        <w:t xml:space="preserve">U.S. Census Bureau. 2013. Health insurance coverage status and type of coverage by sex, race, and Hispanic origin. Health Insurance Historical Table1. </w:t>
      </w:r>
      <w:hyperlink r:id="rId16" w:history="1">
        <w:r w:rsidRPr="002A7A6D">
          <w:rPr>
            <w:rStyle w:val="Hyperlink"/>
            <w:rFonts w:eastAsia="MS Mincho"/>
            <w:i w:val="0"/>
            <w:iCs w:val="0"/>
          </w:rPr>
          <w:t>http://www.census.gov/hhes/hlthins/historic/hihisttl.html.</w:t>
        </w:r>
      </w:hyperlink>
    </w:p>
    <w:p w14:paraId="18C4199F" w14:textId="77777777" w:rsidR="000B2167" w:rsidRPr="002A7A6D" w:rsidRDefault="000B2167" w:rsidP="00963DAD">
      <w:pPr>
        <w:spacing w:line="276" w:lineRule="auto"/>
      </w:pPr>
    </w:p>
    <w:p w14:paraId="14B15B1B" w14:textId="76C3DD96" w:rsidR="00836367" w:rsidRPr="002A7A6D" w:rsidRDefault="00836367" w:rsidP="000B2167">
      <w:pPr>
        <w:pStyle w:val="references"/>
        <w:ind w:left="354" w:hanging="354"/>
        <w:rPr>
          <w:sz w:val="20"/>
          <w:szCs w:val="20"/>
        </w:rPr>
        <w:sectPr w:rsidR="00836367" w:rsidRPr="002A7A6D" w:rsidSect="003B4E04">
          <w:type w:val="continuous"/>
          <w:pgSz w:w="11906" w:h="16838" w:code="9"/>
          <w:pgMar w:top="1080" w:right="907" w:bottom="1440" w:left="907" w:header="720" w:footer="720" w:gutter="0"/>
          <w:cols w:num="2" w:space="360"/>
          <w:docGrid w:linePitch="360"/>
        </w:sectPr>
      </w:pPr>
    </w:p>
    <w:p w14:paraId="7300C836" w14:textId="77777777" w:rsidR="009303D9" w:rsidRDefault="000C442B" w:rsidP="000B2167">
      <w:pPr>
        <w:jc w:val="both"/>
      </w:pPr>
      <w:r>
        <w:rPr>
          <w:noProof/>
        </w:rPr>
        <mc:AlternateContent>
          <mc:Choice Requires="wps">
            <w:drawing>
              <wp:anchor distT="0" distB="0" distL="114300" distR="114300" simplePos="0" relativeHeight="251657728" behindDoc="1" locked="0" layoutInCell="1" allowOverlap="1" wp14:anchorId="000DC2AC" wp14:editId="3E160D98">
                <wp:simplePos x="0" y="0"/>
                <wp:positionH relativeFrom="margin">
                  <wp:align>left</wp:align>
                </wp:positionH>
                <wp:positionV relativeFrom="paragraph">
                  <wp:posOffset>251460</wp:posOffset>
                </wp:positionV>
                <wp:extent cx="4838700" cy="1447800"/>
                <wp:effectExtent l="0" t="0" r="19050" b="19050"/>
                <wp:wrapTight wrapText="bothSides">
                  <wp:wrapPolygon edited="0">
                    <wp:start x="0" y="0"/>
                    <wp:lineTo x="0" y="21600"/>
                    <wp:lineTo x="21600" y="21600"/>
                    <wp:lineTo x="21600" y="0"/>
                    <wp:lineTo x="0" y="0"/>
                  </wp:wrapPolygon>
                </wp:wrapTight>
                <wp:docPr id="1"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38700" cy="1447800"/>
                        </a:xfrm>
                        <a:prstGeom prst="rect">
                          <a:avLst/>
                        </a:prstGeom>
                        <a:solidFill>
                          <a:srgbClr val="FFFFFF"/>
                        </a:solidFill>
                        <a:ln w="9525">
                          <a:solidFill>
                            <a:srgbClr val="000000"/>
                          </a:solidFill>
                          <a:miter lim="800000"/>
                          <a:headEnd/>
                          <a:tailEnd/>
                        </a:ln>
                      </wps:spPr>
                      <wps:txbx>
                        <w:txbxContent>
                          <w:p w14:paraId="649EBA8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865BB3C" w14:textId="06010B99" w:rsidR="0080791D" w:rsidRDefault="0080791D" w:rsidP="00E7596C">
                            <w:pPr>
                              <w:pStyle w:val="BodyText"/>
                            </w:pPr>
                            <w:r>
                              <w:t>To have non-visible rules on your frame, use the MSWord “Format” pull-down menu, select Text Box &gt; Colors and Lines to choose No Fill and No Line.</w:t>
                            </w:r>
                          </w:p>
                          <w:p w14:paraId="795CFEDD" w14:textId="599A8CBE" w:rsidR="003113BD" w:rsidRPr="009E004C" w:rsidRDefault="003113BD" w:rsidP="003113BD">
                            <w:pPr>
                              <w:pStyle w:val="BodyText"/>
                              <w:ind w:firstLine="0"/>
                              <w:rPr>
                                <w:b/>
                                <w:bCs/>
                                <w:lang w:val="en-US"/>
                              </w:rPr>
                            </w:pPr>
                            <w:r w:rsidRPr="009E004C">
                              <w:rPr>
                                <w:b/>
                                <w:bCs/>
                                <w:lang w:val="en-US"/>
                              </w:rPr>
                              <w:t>Font- Times New Roman, 10</w:t>
                            </w:r>
                            <w:r w:rsidR="00BC49E1">
                              <w:rPr>
                                <w:b/>
                                <w:bCs/>
                                <w:lang w:val="en-US"/>
                              </w:rPr>
                              <w:t>/12</w:t>
                            </w:r>
                            <w:r w:rsidRPr="009E004C">
                              <w:rPr>
                                <w:b/>
                                <w:bCs/>
                                <w:lang w:val="en-US"/>
                              </w:rPr>
                              <w:t xml:space="preserve"> pts</w:t>
                            </w:r>
                          </w:p>
                          <w:p w14:paraId="22BEAFFD" w14:textId="13BAAC84" w:rsidR="003113BD" w:rsidRPr="009E004C" w:rsidRDefault="003113BD" w:rsidP="003113BD">
                            <w:pPr>
                              <w:pStyle w:val="BodyText"/>
                              <w:ind w:firstLine="0"/>
                              <w:rPr>
                                <w:b/>
                                <w:bCs/>
                                <w:lang w:val="en-US"/>
                              </w:rPr>
                            </w:pPr>
                            <w:r w:rsidRPr="009E004C">
                              <w:rPr>
                                <w:b/>
                                <w:bCs/>
                                <w:lang w:val="en-US"/>
                              </w:rPr>
                              <w:t>Line spacing-1.</w:t>
                            </w:r>
                            <w:r w:rsidR="00D10B06">
                              <w:rPr>
                                <w:b/>
                                <w:bCs/>
                                <w:lang w:val="en-US"/>
                              </w:rPr>
                              <w:t>2</w:t>
                            </w:r>
                          </w:p>
                          <w:p w14:paraId="472E5D89" w14:textId="77777777" w:rsidR="003113BD" w:rsidRDefault="003113BD" w:rsidP="00E7596C">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C2AC" id="_x0000_t202" coordsize="21600,21600" o:spt="202" path="m,l,21600r21600,l21600,xe">
                <v:stroke joinstyle="miter"/>
                <v:path gradientshapeok="t" o:connecttype="rect"/>
              </v:shapetype>
              <v:shape id=" 8" o:spid="_x0000_s1026" type="#_x0000_t202" style="position:absolute;left:0;text-align:left;margin-left:0;margin-top:19.8pt;width:381pt;height:114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">
                <v:path arrowok="t"/>
                <v:textbox>
                  <w:txbxContent>
                    <w:p w14:paraId="649EBA8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865BB3C" w14:textId="06010B99" w:rsidR="0080791D" w:rsidRDefault="0080791D" w:rsidP="00E7596C">
                      <w:pPr>
                        <w:pStyle w:val="BodyText"/>
                      </w:pPr>
                      <w:r>
                        <w:t>To have non-visible rules on your frame, use the MSWord “Format” pull-down menu, select Text Box &gt; Colors and Lines to choose No Fill and No Line.</w:t>
                      </w:r>
                    </w:p>
                    <w:p w14:paraId="795CFEDD" w14:textId="599A8CBE" w:rsidR="003113BD" w:rsidRPr="009E004C" w:rsidRDefault="003113BD" w:rsidP="003113BD">
                      <w:pPr>
                        <w:pStyle w:val="BodyText"/>
                        <w:ind w:firstLine="0"/>
                        <w:rPr>
                          <w:b/>
                          <w:bCs/>
                          <w:lang w:val="en-US"/>
                        </w:rPr>
                      </w:pPr>
                      <w:r w:rsidRPr="009E004C">
                        <w:rPr>
                          <w:b/>
                          <w:bCs/>
                          <w:lang w:val="en-US"/>
                        </w:rPr>
                        <w:t>Font- Times New Roman, 10</w:t>
                      </w:r>
                      <w:r w:rsidR="00BC49E1">
                        <w:rPr>
                          <w:b/>
                          <w:bCs/>
                          <w:lang w:val="en-US"/>
                        </w:rPr>
                        <w:t>/12</w:t>
                      </w:r>
                      <w:r w:rsidRPr="009E004C">
                        <w:rPr>
                          <w:b/>
                          <w:bCs/>
                          <w:lang w:val="en-US"/>
                        </w:rPr>
                        <w:t xml:space="preserve"> pts</w:t>
                      </w:r>
                    </w:p>
                    <w:p w14:paraId="22BEAFFD" w14:textId="13BAAC84" w:rsidR="003113BD" w:rsidRPr="009E004C" w:rsidRDefault="003113BD" w:rsidP="003113BD">
                      <w:pPr>
                        <w:pStyle w:val="BodyText"/>
                        <w:ind w:firstLine="0"/>
                        <w:rPr>
                          <w:b/>
                          <w:bCs/>
                          <w:lang w:val="en-US"/>
                        </w:rPr>
                      </w:pPr>
                      <w:r w:rsidRPr="009E004C">
                        <w:rPr>
                          <w:b/>
                          <w:bCs/>
                          <w:lang w:val="en-US"/>
                        </w:rPr>
                        <w:t>Line spacing-1.</w:t>
                      </w:r>
                      <w:r w:rsidR="00D10B06">
                        <w:rPr>
                          <w:b/>
                          <w:bCs/>
                          <w:lang w:val="en-US"/>
                        </w:rPr>
                        <w:t>2</w:t>
                      </w:r>
                    </w:p>
                    <w:p w14:paraId="472E5D89" w14:textId="77777777" w:rsidR="003113BD" w:rsidRDefault="003113BD" w:rsidP="00E7596C">
                      <w:pPr>
                        <w:pStyle w:val="BodyText"/>
                      </w:pP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CD88E" w14:textId="77777777" w:rsidR="00486DC3" w:rsidRDefault="00486DC3" w:rsidP="001A3B3D">
      <w:r>
        <w:separator/>
      </w:r>
    </w:p>
  </w:endnote>
  <w:endnote w:type="continuationSeparator" w:id="0">
    <w:p w14:paraId="08724C4F" w14:textId="77777777" w:rsidR="00486DC3" w:rsidRDefault="00486DC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D1CE" w14:textId="77777777" w:rsidR="000B2167" w:rsidRDefault="000B2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5285" w14:textId="35AD6FE5" w:rsidR="00E010E3" w:rsidRDefault="00E010E3">
    <w:pPr>
      <w:pStyle w:val="Footer"/>
    </w:pPr>
    <w:r>
      <w:rPr>
        <w:noProof/>
      </w:rPr>
      <mc:AlternateContent>
        <mc:Choice Requires="wps">
          <w:drawing>
            <wp:anchor distT="0" distB="0" distL="114300" distR="114300" simplePos="0" relativeHeight="251659264" behindDoc="0" locked="0" layoutInCell="0" allowOverlap="1" wp14:anchorId="59AA727D" wp14:editId="27A7E84B">
              <wp:simplePos x="0" y="0"/>
              <wp:positionH relativeFrom="page">
                <wp:posOffset>0</wp:posOffset>
              </wp:positionH>
              <wp:positionV relativeFrom="page">
                <wp:posOffset>10234930</wp:posOffset>
              </wp:positionV>
              <wp:extent cx="7560310" cy="266700"/>
              <wp:effectExtent l="0" t="0" r="0" b="0"/>
              <wp:wrapNone/>
              <wp:docPr id="2" name="MSIPCM32df4bdfae9fc5512bdc8e9d" descr="{&quot;HashCode&quot;:-13484030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7BBC59" w14:textId="44753360" w:rsidR="00E010E3" w:rsidRPr="00E010E3" w:rsidRDefault="00E010E3" w:rsidP="00E010E3">
                          <w:pPr>
                            <w:jc w:val="left"/>
                            <w:rPr>
                              <w:rFonts w:ascii="Rockwell" w:hAnsi="Rockwell"/>
                              <w:color w:val="0078D7"/>
                              <w:sz w:val="18"/>
                            </w:rPr>
                          </w:pPr>
                          <w:r w:rsidRPr="00E010E3">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9AA727D" id="_x0000_t202" coordsize="21600,21600" o:spt="202" path="m,l,21600r21600,l21600,xe">
              <v:stroke joinstyle="miter"/>
              <v:path gradientshapeok="t" o:connecttype="rect"/>
            </v:shapetype>
            <v:shape id="MSIPCM32df4bdfae9fc5512bdc8e9d" o:spid="_x0000_s1027" type="#_x0000_t202" alt="{&quot;HashCode&quot;:-1348403003,&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757BBC59" w14:textId="44753360" w:rsidR="00E010E3" w:rsidRPr="00E010E3" w:rsidRDefault="00E010E3" w:rsidP="00E010E3">
                    <w:pPr>
                      <w:jc w:val="left"/>
                      <w:rPr>
                        <w:rFonts w:ascii="Rockwell" w:hAnsi="Rockwell"/>
                        <w:color w:val="0078D7"/>
                        <w:sz w:val="18"/>
                      </w:rPr>
                    </w:pPr>
                    <w:r w:rsidRPr="00E010E3">
                      <w:rPr>
                        <w:rFonts w:ascii="Rockwell" w:hAnsi="Rockwell"/>
                        <w:color w:val="0078D7"/>
                        <w:sz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40AF" w14:textId="34246586" w:rsidR="001A3B3D" w:rsidRPr="006F6D3D" w:rsidRDefault="00E010E3" w:rsidP="0056610F">
    <w:pPr>
      <w:pStyle w:val="Footer"/>
      <w:jc w:val="left"/>
      <w:rPr>
        <w:sz w:val="16"/>
        <w:szCs w:val="16"/>
      </w:rPr>
    </w:pPr>
    <w:r>
      <w:rPr>
        <w:noProof/>
        <w:sz w:val="16"/>
        <w:szCs w:val="16"/>
      </w:rPr>
      <mc:AlternateContent>
        <mc:Choice Requires="wps">
          <w:drawing>
            <wp:anchor distT="0" distB="0" distL="114300" distR="114300" simplePos="0" relativeHeight="251660288" behindDoc="0" locked="0" layoutInCell="0" allowOverlap="1" wp14:anchorId="73579061" wp14:editId="19BC9908">
              <wp:simplePos x="0" y="0"/>
              <wp:positionH relativeFrom="page">
                <wp:posOffset>0</wp:posOffset>
              </wp:positionH>
              <wp:positionV relativeFrom="page">
                <wp:posOffset>10234930</wp:posOffset>
              </wp:positionV>
              <wp:extent cx="7560310" cy="266700"/>
              <wp:effectExtent l="0" t="0" r="0" b="0"/>
              <wp:wrapNone/>
              <wp:docPr id="3" name="MSIPCM19f54959ba542ccbd2b4bbb8" descr="{&quot;HashCode&quot;:-134840300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EAF83E" w14:textId="019D1ED4" w:rsidR="00E010E3" w:rsidRPr="00E010E3" w:rsidRDefault="00E010E3" w:rsidP="00E010E3">
                          <w:pPr>
                            <w:jc w:val="left"/>
                            <w:rPr>
                              <w:rFonts w:ascii="Rockwell" w:hAnsi="Rockwell"/>
                              <w:color w:val="0078D7"/>
                              <w:sz w:val="18"/>
                            </w:rPr>
                          </w:pPr>
                          <w:r w:rsidRPr="00E010E3">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3579061" id="_x0000_t202" coordsize="21600,21600" o:spt="202" path="m,l,21600r21600,l21600,xe">
              <v:stroke joinstyle="miter"/>
              <v:path gradientshapeok="t" o:connecttype="rect"/>
            </v:shapetype>
            <v:shape id="MSIPCM19f54959ba542ccbd2b4bbb8" o:spid="_x0000_s1028" type="#_x0000_t202" alt="{&quot;HashCode&quot;:-1348403003,&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" o:allowincell="f" filled="f" stroked="f" strokeweight=".5pt">
              <v:textbox inset="20pt,0,,0">
                <w:txbxContent>
                  <w:p w14:paraId="27EAF83E" w14:textId="019D1ED4" w:rsidR="00E010E3" w:rsidRPr="00E010E3" w:rsidRDefault="00E010E3" w:rsidP="00E010E3">
                    <w:pPr>
                      <w:jc w:val="left"/>
                      <w:rPr>
                        <w:rFonts w:ascii="Rockwell" w:hAnsi="Rockwell"/>
                        <w:color w:val="0078D7"/>
                        <w:sz w:val="18"/>
                      </w:rPr>
                    </w:pPr>
                    <w:r w:rsidRPr="00E010E3">
                      <w:rPr>
                        <w:rFonts w:ascii="Rockwell" w:hAnsi="Rockwell"/>
                        <w:color w:val="0078D7"/>
                        <w:sz w:val="18"/>
                      </w:rPr>
                      <w:t>Information Classification: General</w:t>
                    </w:r>
                  </w:p>
                </w:txbxContent>
              </v:textbox>
              <w10:wrap anchorx="page" anchory="page"/>
            </v:shape>
          </w:pict>
        </mc:Fallback>
      </mc:AlternateContent>
    </w:r>
    <w:r w:rsidR="001A3B3D"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09318" w14:textId="77777777" w:rsidR="00486DC3" w:rsidRDefault="00486DC3" w:rsidP="001A3B3D">
      <w:r>
        <w:separator/>
      </w:r>
    </w:p>
  </w:footnote>
  <w:footnote w:type="continuationSeparator" w:id="0">
    <w:p w14:paraId="5EFA4E8F" w14:textId="77777777" w:rsidR="00486DC3" w:rsidRDefault="00486DC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B718" w14:textId="77777777" w:rsidR="000B2167" w:rsidRDefault="000B2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D6F6" w14:textId="77777777" w:rsidR="000B2167" w:rsidRDefault="000B21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749F" w14:textId="77777777" w:rsidR="000B2167" w:rsidRDefault="000B2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691358"/>
    <w:multiLevelType w:val="hybridMultilevel"/>
    <w:tmpl w:val="900C8216"/>
    <w:lvl w:ilvl="0" w:tplc="E334D352">
      <w:numFmt w:val="bullet"/>
      <w:lvlText w:val="•"/>
      <w:lvlJc w:val="left"/>
      <w:pPr>
        <w:ind w:left="591" w:hanging="360"/>
      </w:pPr>
      <w:rPr>
        <w:rFonts w:ascii="Arial" w:eastAsia="Arial" w:hAnsi="Arial" w:cs="Arial" w:hint="default"/>
        <w:w w:val="99"/>
        <w:sz w:val="20"/>
        <w:szCs w:val="20"/>
        <w:lang w:val="en-US" w:eastAsia="en-US" w:bidi="ar-SA"/>
      </w:rPr>
    </w:lvl>
    <w:lvl w:ilvl="1" w:tplc="981AA48A">
      <w:numFmt w:val="bullet"/>
      <w:lvlText w:val="•"/>
      <w:lvlJc w:val="left"/>
      <w:pPr>
        <w:ind w:left="1504" w:hanging="360"/>
      </w:pPr>
      <w:rPr>
        <w:rFonts w:hint="default"/>
        <w:lang w:val="en-US" w:eastAsia="en-US" w:bidi="ar-SA"/>
      </w:rPr>
    </w:lvl>
    <w:lvl w:ilvl="2" w:tplc="E312CE30">
      <w:numFmt w:val="bullet"/>
      <w:lvlText w:val="•"/>
      <w:lvlJc w:val="left"/>
      <w:pPr>
        <w:ind w:left="2408" w:hanging="360"/>
      </w:pPr>
      <w:rPr>
        <w:rFonts w:hint="default"/>
        <w:lang w:val="en-US" w:eastAsia="en-US" w:bidi="ar-SA"/>
      </w:rPr>
    </w:lvl>
    <w:lvl w:ilvl="3" w:tplc="81D2BACE">
      <w:numFmt w:val="bullet"/>
      <w:lvlText w:val="•"/>
      <w:lvlJc w:val="left"/>
      <w:pPr>
        <w:ind w:left="3312" w:hanging="360"/>
      </w:pPr>
      <w:rPr>
        <w:rFonts w:hint="default"/>
        <w:lang w:val="en-US" w:eastAsia="en-US" w:bidi="ar-SA"/>
      </w:rPr>
    </w:lvl>
    <w:lvl w:ilvl="4" w:tplc="E7ECDBB0">
      <w:numFmt w:val="bullet"/>
      <w:lvlText w:val="•"/>
      <w:lvlJc w:val="left"/>
      <w:pPr>
        <w:ind w:left="4216" w:hanging="360"/>
      </w:pPr>
      <w:rPr>
        <w:rFonts w:hint="default"/>
        <w:lang w:val="en-US" w:eastAsia="en-US" w:bidi="ar-SA"/>
      </w:rPr>
    </w:lvl>
    <w:lvl w:ilvl="5" w:tplc="6D889C1E">
      <w:numFmt w:val="bullet"/>
      <w:lvlText w:val="•"/>
      <w:lvlJc w:val="left"/>
      <w:pPr>
        <w:ind w:left="5120" w:hanging="360"/>
      </w:pPr>
      <w:rPr>
        <w:rFonts w:hint="default"/>
        <w:lang w:val="en-US" w:eastAsia="en-US" w:bidi="ar-SA"/>
      </w:rPr>
    </w:lvl>
    <w:lvl w:ilvl="6" w:tplc="954E5A08">
      <w:numFmt w:val="bullet"/>
      <w:lvlText w:val="•"/>
      <w:lvlJc w:val="left"/>
      <w:pPr>
        <w:ind w:left="6024" w:hanging="360"/>
      </w:pPr>
      <w:rPr>
        <w:rFonts w:hint="default"/>
        <w:lang w:val="en-US" w:eastAsia="en-US" w:bidi="ar-SA"/>
      </w:rPr>
    </w:lvl>
    <w:lvl w:ilvl="7" w:tplc="81E4A3A4">
      <w:numFmt w:val="bullet"/>
      <w:lvlText w:val="•"/>
      <w:lvlJc w:val="left"/>
      <w:pPr>
        <w:ind w:left="6928" w:hanging="360"/>
      </w:pPr>
      <w:rPr>
        <w:rFonts w:hint="default"/>
        <w:lang w:val="en-US" w:eastAsia="en-US" w:bidi="ar-SA"/>
      </w:rPr>
    </w:lvl>
    <w:lvl w:ilvl="8" w:tplc="78EC85F6">
      <w:numFmt w:val="bullet"/>
      <w:lvlText w:val="•"/>
      <w:lvlJc w:val="left"/>
      <w:pPr>
        <w:ind w:left="7832" w:hanging="360"/>
      </w:pPr>
      <w:rPr>
        <w:rFonts w:hint="default"/>
        <w:lang w:val="en-US" w:eastAsia="en-US" w:bidi="ar-SA"/>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9"/>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MrCwNDMzMzQ0NjFT0lEKTi0uzszPAykwqwUAo4LXFSwAAAA="/>
  </w:docVars>
  <w:rsids>
    <w:rsidRoot w:val="009303D9"/>
    <w:rsid w:val="00031095"/>
    <w:rsid w:val="0004781E"/>
    <w:rsid w:val="0008758A"/>
    <w:rsid w:val="000B2167"/>
    <w:rsid w:val="000C1E68"/>
    <w:rsid w:val="000C442B"/>
    <w:rsid w:val="001A2EFD"/>
    <w:rsid w:val="001A3B3D"/>
    <w:rsid w:val="001B67DC"/>
    <w:rsid w:val="002254A9"/>
    <w:rsid w:val="00233D97"/>
    <w:rsid w:val="002347A2"/>
    <w:rsid w:val="00261532"/>
    <w:rsid w:val="002850E3"/>
    <w:rsid w:val="002A7A6D"/>
    <w:rsid w:val="0030037C"/>
    <w:rsid w:val="003113BD"/>
    <w:rsid w:val="00354FCF"/>
    <w:rsid w:val="003A19E2"/>
    <w:rsid w:val="003B4E04"/>
    <w:rsid w:val="003F5A08"/>
    <w:rsid w:val="00420716"/>
    <w:rsid w:val="004325FB"/>
    <w:rsid w:val="004432BA"/>
    <w:rsid w:val="0044407E"/>
    <w:rsid w:val="00447BB9"/>
    <w:rsid w:val="0046031D"/>
    <w:rsid w:val="00486DC3"/>
    <w:rsid w:val="004D72B5"/>
    <w:rsid w:val="00551B7F"/>
    <w:rsid w:val="0056610F"/>
    <w:rsid w:val="005754ED"/>
    <w:rsid w:val="00575BCA"/>
    <w:rsid w:val="005B0344"/>
    <w:rsid w:val="005B520E"/>
    <w:rsid w:val="005E2800"/>
    <w:rsid w:val="005E7452"/>
    <w:rsid w:val="00605825"/>
    <w:rsid w:val="00633A19"/>
    <w:rsid w:val="00645D22"/>
    <w:rsid w:val="00651A08"/>
    <w:rsid w:val="00654204"/>
    <w:rsid w:val="006573E7"/>
    <w:rsid w:val="00670434"/>
    <w:rsid w:val="006B6B66"/>
    <w:rsid w:val="006F6D3D"/>
    <w:rsid w:val="00715BEA"/>
    <w:rsid w:val="00740EEA"/>
    <w:rsid w:val="00794804"/>
    <w:rsid w:val="007B33F1"/>
    <w:rsid w:val="007B6DDA"/>
    <w:rsid w:val="007C0308"/>
    <w:rsid w:val="007C2FF2"/>
    <w:rsid w:val="007D6232"/>
    <w:rsid w:val="007E11A1"/>
    <w:rsid w:val="007F1F99"/>
    <w:rsid w:val="007F768F"/>
    <w:rsid w:val="0080791D"/>
    <w:rsid w:val="00821463"/>
    <w:rsid w:val="00836367"/>
    <w:rsid w:val="00873603"/>
    <w:rsid w:val="008A2C7D"/>
    <w:rsid w:val="008C4B23"/>
    <w:rsid w:val="008F6E2C"/>
    <w:rsid w:val="009303D9"/>
    <w:rsid w:val="00933C64"/>
    <w:rsid w:val="00963DAD"/>
    <w:rsid w:val="00972203"/>
    <w:rsid w:val="009E004C"/>
    <w:rsid w:val="009F1D79"/>
    <w:rsid w:val="00A059B3"/>
    <w:rsid w:val="00A36F7C"/>
    <w:rsid w:val="00AE3409"/>
    <w:rsid w:val="00B11A60"/>
    <w:rsid w:val="00B22613"/>
    <w:rsid w:val="00B6237C"/>
    <w:rsid w:val="00B70F9E"/>
    <w:rsid w:val="00B768D1"/>
    <w:rsid w:val="00B94B13"/>
    <w:rsid w:val="00BA041C"/>
    <w:rsid w:val="00BA1025"/>
    <w:rsid w:val="00BC3420"/>
    <w:rsid w:val="00BC49E1"/>
    <w:rsid w:val="00BD670B"/>
    <w:rsid w:val="00BE7D3C"/>
    <w:rsid w:val="00BF5FF6"/>
    <w:rsid w:val="00C0207F"/>
    <w:rsid w:val="00C16117"/>
    <w:rsid w:val="00C3075A"/>
    <w:rsid w:val="00C919A4"/>
    <w:rsid w:val="00CA4392"/>
    <w:rsid w:val="00CB4D4F"/>
    <w:rsid w:val="00CC393F"/>
    <w:rsid w:val="00D10B06"/>
    <w:rsid w:val="00D2176E"/>
    <w:rsid w:val="00D632BE"/>
    <w:rsid w:val="00D72D06"/>
    <w:rsid w:val="00D7522C"/>
    <w:rsid w:val="00D7536F"/>
    <w:rsid w:val="00D76668"/>
    <w:rsid w:val="00D97DA9"/>
    <w:rsid w:val="00E010E3"/>
    <w:rsid w:val="00E07383"/>
    <w:rsid w:val="00E165BC"/>
    <w:rsid w:val="00E61E12"/>
    <w:rsid w:val="00E7596C"/>
    <w:rsid w:val="00E878F2"/>
    <w:rsid w:val="00ED0149"/>
    <w:rsid w:val="00EF7DE3"/>
    <w:rsid w:val="00F03103"/>
    <w:rsid w:val="00F271DE"/>
    <w:rsid w:val="00F5389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91A3B8"/>
  <w15:chartTrackingRefBased/>
  <w15:docId w15:val="{B90F419C-9F3A-4944-8389-EF8CCC59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B2167"/>
    <w:rPr>
      <w:color w:val="0563C1" w:themeColor="hyperlink"/>
      <w:u w:val="single"/>
    </w:rPr>
  </w:style>
  <w:style w:type="character" w:styleId="UnresolvedMention">
    <w:name w:val="Unresolved Mention"/>
    <w:basedOn w:val="DefaultParagraphFont"/>
    <w:uiPriority w:val="99"/>
    <w:semiHidden/>
    <w:unhideWhenUsed/>
    <w:rsid w:val="000B2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ensus.gov/hhes/hlthins/historic/hihistt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arc.xerox.com/istl/groups/iea/www/webmarkets.html%2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dpi.org/entropy/papers/e2010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3131-45F1-4110-A6DC-E84F10D6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 Brijesh Mishra</cp:lastModifiedBy>
  <cp:revision>2</cp:revision>
  <dcterms:created xsi:type="dcterms:W3CDTF">2022-02-25T14:32:00Z</dcterms:created>
  <dcterms:modified xsi:type="dcterms:W3CDTF">2022-02-25T14:32:00Z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1c070e-054b-4d1c-ba4c-fc70b099192e_Enabled">
    <vt:lpwstr>True</vt:lpwstr>
  </property>
  <property fmtid="{D5CDD505-2E9C-101B-9397-08002B2CF9AE}" pid="3" name="MSIP_Label_181c070e-054b-4d1c-ba4c-fc70b099192e_SiteId">
    <vt:lpwstr>2567d566-604c-408a-8a60-55d0dc9d9d6b</vt:lpwstr>
  </property>
  <property fmtid="{D5CDD505-2E9C-101B-9397-08002B2CF9AE}" pid="4" name="MSIP_Label_181c070e-054b-4d1c-ba4c-fc70b099192e_Owner">
    <vt:lpwstr>Aafreen.Ayub@informa.com</vt:lpwstr>
  </property>
  <property fmtid="{D5CDD505-2E9C-101B-9397-08002B2CF9AE}" pid="5" name="MSIP_Label_181c070e-054b-4d1c-ba4c-fc70b099192e_SetDate">
    <vt:lpwstr>2021-03-04T08:42:48.2269927Z</vt:lpwstr>
  </property>
  <property fmtid="{D5CDD505-2E9C-101B-9397-08002B2CF9AE}" pid="6" name="MSIP_Label_181c070e-054b-4d1c-ba4c-fc70b099192e_Name">
    <vt:lpwstr>General</vt:lpwstr>
  </property>
  <property fmtid="{D5CDD505-2E9C-101B-9397-08002B2CF9AE}" pid="7" name="MSIP_Label_181c070e-054b-4d1c-ba4c-fc70b099192e_Application">
    <vt:lpwstr>Microsoft Azure Information Protection</vt:lpwstr>
  </property>
  <property fmtid="{D5CDD505-2E9C-101B-9397-08002B2CF9AE}" pid="8" name="MSIP_Label_181c070e-054b-4d1c-ba4c-fc70b099192e_ActionId">
    <vt:lpwstr>f425a3dd-f8e8-44c9-89bb-8df9a41334a7</vt:lpwstr>
  </property>
  <property fmtid="{D5CDD505-2E9C-101B-9397-08002B2CF9AE}" pid="9" name="MSIP_Label_181c070e-054b-4d1c-ba4c-fc70b099192e_Extended_MSFT_Method">
    <vt:lpwstr>Automatic</vt:lpwstr>
  </property>
  <property fmtid="{D5CDD505-2E9C-101B-9397-08002B2CF9AE}" pid="10" name="MSIP_Label_2bbab825-a111-45e4-86a1-18cee0005896_Enabled">
    <vt:lpwstr>True</vt:lpwstr>
  </property>
  <property fmtid="{D5CDD505-2E9C-101B-9397-08002B2CF9AE}" pid="11" name="MSIP_Label_2bbab825-a111-45e4-86a1-18cee0005896_SiteId">
    <vt:lpwstr>2567d566-604c-408a-8a60-55d0dc9d9d6b</vt:lpwstr>
  </property>
  <property fmtid="{D5CDD505-2E9C-101B-9397-08002B2CF9AE}" pid="12" name="MSIP_Label_2bbab825-a111-45e4-86a1-18cee0005896_Owner">
    <vt:lpwstr>Aafreen.Ayub@informa.com</vt:lpwstr>
  </property>
  <property fmtid="{D5CDD505-2E9C-101B-9397-08002B2CF9AE}" pid="13" name="MSIP_Label_2bbab825-a111-45e4-86a1-18cee0005896_SetDate">
    <vt:lpwstr>2021-03-04T08:42:48.2269927Z</vt:lpwstr>
  </property>
  <property fmtid="{D5CDD505-2E9C-101B-9397-08002B2CF9AE}" pid="14" name="MSIP_Label_2bbab825-a111-45e4-86a1-18cee0005896_Name">
    <vt:lpwstr>Un-restricted</vt:lpwstr>
  </property>
  <property fmtid="{D5CDD505-2E9C-101B-9397-08002B2CF9AE}" pid="15" name="MSIP_Label_2bbab825-a111-45e4-86a1-18cee0005896_Application">
    <vt:lpwstr>Microsoft Azure Information Protection</vt:lpwstr>
  </property>
  <property fmtid="{D5CDD505-2E9C-101B-9397-08002B2CF9AE}" pid="16" name="MSIP_Label_2bbab825-a111-45e4-86a1-18cee0005896_ActionId">
    <vt:lpwstr>f425a3dd-f8e8-44c9-89bb-8df9a41334a7</vt:lpwstr>
  </property>
  <property fmtid="{D5CDD505-2E9C-101B-9397-08002B2CF9AE}" pid="17" name="MSIP_Label_2bbab825-a111-45e4-86a1-18cee0005896_Parent">
    <vt:lpwstr>181c070e-054b-4d1c-ba4c-fc70b099192e</vt:lpwstr>
  </property>
  <property fmtid="{D5CDD505-2E9C-101B-9397-08002B2CF9AE}" pid="18" name="MSIP_Label_2bbab825-a111-45e4-86a1-18cee0005896_Extended_MSFT_Method">
    <vt:lpwstr>Automatic</vt:lpwstr>
  </property>
  <property fmtid="{D5CDD505-2E9C-101B-9397-08002B2CF9AE}" pid="19" name="Sensitivity">
    <vt:lpwstr>General Un-restricted</vt:lpwstr>
  </property>
</Properties>
</file>