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Systems</w:t>
      </w:r>
      <w:r>
        <w:t xml:space="preserve"> </w:t>
      </w:r>
      <w:r>
        <w:t xml:space="preserve">Feasibility</w:t>
      </w:r>
      <w:r>
        <w:t xml:space="preserve"> </w:t>
      </w:r>
      <w:r>
        <w:t xml:space="preserve">and</w:t>
      </w:r>
      <w:r>
        <w:t xml:space="preserve"> </w:t>
      </w:r>
      <w:r>
        <w:t xml:space="preserve">Validation</w:t>
      </w:r>
      <w:r>
        <w:t xml:space="preserve"> </w:t>
      </w:r>
      <w:r>
        <w:t xml:space="preserve">Report</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Purpose, Scope, and Method ……………………………………………………. 4</w:t>
      </w:r>
      <w:r>
        <w:br/>
      </w:r>
      <w:r>
        <w:t xml:space="preserve">2. Feasibility Assessment ……………………………………………………….. 6</w:t>
      </w:r>
      <w:r>
        <w:br/>
      </w:r>
      <w:r>
        <w:t xml:space="preserve">3. Risk Register ……………………………………………………………….. 13</w:t>
      </w:r>
      <w:r>
        <w:br/>
      </w:r>
      <w:r>
        <w:t xml:space="preserve">4. Validation and Verification Plan ………………………………………………. 16</w:t>
      </w:r>
      <w:r>
        <w:br/>
      </w:r>
      <w:r>
        <w:t xml:space="preserve">5. Feasibility-Validation Traceability Matrix ……………………………………… 22</w:t>
      </w:r>
      <w:r>
        <w:br/>
      </w:r>
      <w:r>
        <w:t xml:space="preserve">6. Recommendations and Go/No-Go Assessment ………………………………………… 23</w:t>
      </w:r>
      <w:r>
        <w:br/>
      </w:r>
      <w:r>
        <w:t xml:space="preserve">Appendix A — Open Items Register …………………………………………………. 25</w:t>
      </w:r>
    </w:p>
    <w:bookmarkEnd w:id="20"/>
    <w:bookmarkStart w:id="56" w:name="executive-summary"/>
    <w:p>
      <w:pPr>
        <w:pStyle w:val="Heading1"/>
      </w:pPr>
      <w:r>
        <w:t xml:space="preserve">Executive Summary</w:t>
      </w:r>
    </w:p>
    <w:p>
      <w:pPr>
        <w:pStyle w:val="FirstParagraph"/>
      </w:pPr>
      <w:r>
        <w:t xml:space="preserve">This report answers two questions the architectural monograph does not, by design, answer on its own:</w:t>
      </w:r>
      <w:r>
        <w:t xml:space="preserve"> </w:t>
      </w:r>
      <w:r>
        <w:rPr>
          <w:bCs/>
          <w:b/>
        </w:rPr>
        <w:t xml:space="preserve">is this system feasible to build and operate at its stated scale</w:t>
      </w:r>
      <w:r>
        <w:t xml:space="preserve">, and</w:t>
      </w:r>
      <w:r>
        <w:t xml:space="preserve"> </w:t>
      </w:r>
      <w:r>
        <w:rPr>
          <w:bCs/>
          <w:b/>
        </w:rPr>
        <w:t xml:space="preserve">how would we know, with evidence rather than assertion, that it actually works</w:t>
      </w:r>
      <w:r>
        <w:t xml:space="preserve">. It is written as a companion document to</w:t>
      </w:r>
      <w:r>
        <w:t xml:space="preserve"> </w:t>
      </w:r>
      <w:r>
        <w:rPr>
          <w:iCs/>
          <w:i/>
        </w:rPr>
        <w:t xml:space="preserve">AEGIS-DocIntel / AMDI-OS: A Pre-LLM Document Intelligence Operating System</w:t>
      </w:r>
      <w:r>
        <w:t xml:space="preserve"> </w:t>
      </w:r>
      <w:r>
        <w:t xml:space="preserve">and is intended, per the requesting instruction, to be merged into that monograph as a dedicated section in a future revision. It is self-contained here so it can be reviewed and acted on independently of that merge.</w:t>
      </w:r>
    </w:p>
    <w:p>
      <w:pPr>
        <w:pStyle w:val="BodyText"/>
      </w:pPr>
      <w:r>
        <w:t xml:space="preserve">The assessment below is organized around five feasibility dimensions — technical, economic, operational, scalability, and schedule/resource — each rated against the same three-tier scale:</w:t>
      </w:r>
      <w:r>
        <w:t xml:space="preserve"> </w:t>
      </w:r>
      <w:r>
        <w:rPr>
          <w:bCs/>
          <w:b/>
        </w:rPr>
        <w:t xml:space="preserve">Established</w:t>
      </w:r>
      <w:r>
        <w:t xml:space="preserve"> </w:t>
      </w:r>
      <w:r>
        <w:t xml:space="preserve">(implemented and verified against a specific test, per the monograph’s Section 11–12 evidentiary standard),</w:t>
      </w:r>
      <w:r>
        <w:t xml:space="preserve"> </w:t>
      </w:r>
      <w:r>
        <w:rPr>
          <w:bCs/>
          <w:b/>
        </w:rPr>
        <w:t xml:space="preserve">Demonstrated-at-small-scale</w:t>
      </w:r>
      <w:r>
        <w:t xml:space="preserve"> </w:t>
      </w:r>
      <w:r>
        <w:t xml:space="preserve">(implemented and verified only against synthetic or small-N instances, not yet load-tested), and</w:t>
      </w:r>
      <w:r>
        <w:t xml:space="preserve"> </w:t>
      </w:r>
      <w:r>
        <w:rPr>
          <w:bCs/>
          <w:b/>
        </w:rPr>
        <w:t xml:space="preserve">Proposed</w:t>
      </w:r>
      <w:r>
        <w:t xml:space="preserve"> </w:t>
      </w:r>
      <w:r>
        <w:t xml:space="preserve">(specified in the architecture but not yet implemented or tested in any form). This is the same evidentiary-tagging discipline the monograph applies throughout, applied here specifically to the question of readiness rather than to correctness.</w:t>
      </w:r>
    </w:p>
    <w:p>
      <w:pPr>
        <w:pStyle w:val="BodyText"/>
      </w:pPr>
      <w:r>
        <w:rPr>
          <w:bCs/>
          <w:b/>
        </w:rPr>
        <w:t xml:space="preserve">Headline finding.</w:t>
      </w:r>
      <w:r>
        <w:t xml:space="preserve"> </w:t>
      </w:r>
      <w:r>
        <w:t xml:space="preserve">The three components the monograph gives full mathematical and correctness treatment — reading-order recovery, elastic chunking, and knapsack-based context packing — are technically feasible at the</w:t>
      </w:r>
      <w:r>
        <w:t xml:space="preserve"> </w:t>
      </w:r>
      <w:r>
        <w:rPr>
          <w:bCs/>
          <w:b/>
        </w:rPr>
        <w:t xml:space="preserve">Established</w:t>
      </w:r>
      <w:r>
        <w:t xml:space="preserve"> </w:t>
      </w:r>
      <w:r>
        <w:t xml:space="preserve">tier: each has a specific correctness property, a proof or approximation bound, and a passing test targeting exactly that property (Section 2 of this report). The broader operating-system context around them — the twelve-engine substrate, the memory and retrieval subsystems, and above all the 100M-document production topology — sits predominantly at</w:t>
      </w:r>
      <w:r>
        <w:t xml:space="preserve"> </w:t>
      </w:r>
      <w:r>
        <w:rPr>
          <w:bCs/>
          <w:b/>
        </w:rPr>
        <w:t xml:space="preserve">Demonstrated-at-small-scale</w:t>
      </w:r>
      <w:r>
        <w:t xml:space="preserve"> </w:t>
      </w:r>
      <w:r>
        <w:t xml:space="preserve">or</w:t>
      </w:r>
      <w:r>
        <w:t xml:space="preserve"> </w:t>
      </w:r>
      <w:r>
        <w:rPr>
          <w:bCs/>
          <w:b/>
        </w:rPr>
        <w:t xml:space="preserve">Proposed</w:t>
      </w:r>
      <w:r>
        <w:t xml:space="preserve">, with three specific unvalidated assumptions flagged as the highest-priority items in the risk register (Section 3). No finding in this report contradicts the architecture’s viability; the finding is that viability at the reference-architecture’s stated scale is not yet an evidenced claim, and Section 5 specifies exactly the evidence that would make it one.</w:t>
      </w:r>
    </w:p>
    <w:p>
      <w:pPr>
        <w:pStyle w:val="BodyText"/>
      </w:pPr>
      <w:r>
        <w:rPr>
          <w:bCs/>
          <w:b/>
        </w:rPr>
        <w:t xml:space="preserve">Go/no-go recommendation.</w:t>
      </w:r>
      <w:r>
        <w:t xml:space="preserve"> </w:t>
      </w:r>
      <w:r>
        <w:t xml:space="preserve">We recommend a</w:t>
      </w:r>
      <w:r>
        <w:t xml:space="preserve"> </w:t>
      </w:r>
      <w:r>
        <w:rPr>
          <w:bCs/>
          <w:b/>
        </w:rPr>
        <w:t xml:space="preserve">conditional go</w:t>
      </w:r>
      <w:r>
        <w:t xml:space="preserve">: proceed to build and validate the production topology, gated on the three scalability assumptions of Section 2.4 being confirmed by the load-testing protocol of Section 4.4 before a 100M-document commitment is made to any external stakeholder, and gated on the DocVQA/TAT-QA evaluation protocol of Section 4.3 being executed before any accuracy or hallucination-rate figure from the monograph’s Table 5 is quoted as a measured, rather than targeted, result.</w:t>
      </w:r>
    </w:p>
    <w:bookmarkStart w:id="25" w:name="purpose-scope-and-method"/>
    <w:p>
      <w:pPr>
        <w:pStyle w:val="Heading2"/>
      </w:pPr>
      <w:r>
        <w:t xml:space="preserve">1. Purpose, Scope, and Method</w:t>
      </w:r>
    </w:p>
    <w:bookmarkStart w:id="21" w:name="purpose"/>
    <w:p>
      <w:pPr>
        <w:pStyle w:val="Heading3"/>
      </w:pPr>
      <w:r>
        <w:t xml:space="preserve">1.1 Purpose</w:t>
      </w:r>
    </w:p>
    <w:p>
      <w:pPr>
        <w:pStyle w:val="FirstParagraph"/>
      </w:pPr>
      <w:r>
        <w:t xml:space="preserve">The architectural monograph establishes</w:t>
      </w:r>
      <w:r>
        <w:t xml:space="preserve"> </w:t>
      </w:r>
      <w:r>
        <w:rPr>
          <w:iCs/>
          <w:i/>
        </w:rPr>
        <w:t xml:space="preserve">what</w:t>
      </w:r>
      <w:r>
        <w:t xml:space="preserve"> </w:t>
      </w:r>
      <w:r>
        <w:t xml:space="preserve">AEGIS-DocIntel/AMDI-OS is and, for three hardened components,</w:t>
      </w:r>
      <w:r>
        <w:t xml:space="preserve"> </w:t>
      </w:r>
      <w:r>
        <w:rPr>
          <w:iCs/>
          <w:i/>
        </w:rPr>
        <w:t xml:space="preserve">that it is correct</w:t>
      </w:r>
      <w:r>
        <w:t xml:space="preserve"> </w:t>
      </w:r>
      <w:r>
        <w:t xml:space="preserve">against specific tests (monograph Section 11–12). This report exists to answer the two questions a correctness argument does not by itself answer: whether the system as specified is</w:t>
      </w:r>
      <w:r>
        <w:t xml:space="preserve"> </w:t>
      </w:r>
      <w:r>
        <w:rPr>
          <w:bCs/>
          <w:b/>
        </w:rPr>
        <w:t xml:space="preserve">feasible</w:t>
      </w:r>
      <w:r>
        <w:t xml:space="preserve"> </w:t>
      </w:r>
      <w:r>
        <w:t xml:space="preserve">to build, staff, and operate within realistic resource and time constraints, and whether the organization would have a concrete, executable</w:t>
      </w:r>
      <w:r>
        <w:t xml:space="preserve"> </w:t>
      </w:r>
      <w:r>
        <w:rPr>
          <w:bCs/>
          <w:b/>
        </w:rPr>
        <w:t xml:space="preserve">plan</w:t>
      </w:r>
      <w:r>
        <w:t xml:space="preserve"> </w:t>
      </w:r>
      <w:r>
        <w:t xml:space="preserve">to validate it against real-world performance before making external commitments based on its targets. Feasibility and validation are treated as a matched pair throughout this report, following the loop in Figure 6: feasibility findings identify what is uncertain, verification confirms components individually match their specification, validation confirms the assembled system solves the intended problem, and both feed a shared risk register that gates the go/no-go decision.</w:t>
      </w:r>
    </w:p>
    <w:bookmarkEnd w:id="21"/>
    <w:bookmarkStart w:id="22" w:name="scope"/>
    <w:p>
      <w:pPr>
        <w:pStyle w:val="Heading3"/>
      </w:pPr>
      <w:r>
        <w:t xml:space="preserve">1.2 Scope</w:t>
      </w:r>
    </w:p>
    <w:p>
      <w:pPr>
        <w:pStyle w:val="FirstParagraph"/>
      </w:pPr>
      <w:r>
        <w:t xml:space="preserve">This report covers the full architecture described in the monograph — the twelve-engine mathematical substrate, the three hardened pipeline stages, the memory and retrieval subsystems, and the production topology of monograph Section 4.3 — but weights its attention toward the parts of that architecture where feasibility or validation status is currently uncertain. Components already given full correctness treatment in the monograph (Sections 11–12) are summarized here rather than re-derived; this report’s marginal contribution is the feasibility lens (can this be built and run at scale) and the validation plan (how do we get evidence), not a restatement of the mathematics.</w:t>
      </w:r>
    </w:p>
    <w:bookmarkEnd w:id="22"/>
    <w:bookmarkStart w:id="23" w:name="method"/>
    <w:p>
      <w:pPr>
        <w:pStyle w:val="Heading3"/>
      </w:pPr>
      <w:r>
        <w:t xml:space="preserve">1.3 Method</w:t>
      </w:r>
    </w:p>
    <w:p>
      <w:pPr>
        <w:pStyle w:val="FirstParagraph"/>
      </w:pPr>
      <w:r>
        <w:t xml:space="preserve">Each system component is assessed against four questions, applied uniformly: (1)</w:t>
      </w:r>
      <w:r>
        <w:t xml:space="preserve"> </w:t>
      </w:r>
      <w:r>
        <w:rPr>
          <w:iCs/>
          <w:i/>
        </w:rPr>
        <w:t xml:space="preserve">Is it specified precisely enough to build?</w:t>
      </w:r>
      <w:r>
        <w:t xml:space="preserve"> </w:t>
      </w:r>
      <w:r>
        <w:t xml:space="preserve">(2)</w:t>
      </w:r>
      <w:r>
        <w:t xml:space="preserve"> </w:t>
      </w:r>
      <w:r>
        <w:rPr>
          <w:iCs/>
          <w:i/>
        </w:rPr>
        <w:t xml:space="preserve">Has it been implemented?</w:t>
      </w:r>
      <w:r>
        <w:t xml:space="preserve"> </w:t>
      </w:r>
      <w:r>
        <w:t xml:space="preserve">(3)</w:t>
      </w:r>
      <w:r>
        <w:t xml:space="preserve"> </w:t>
      </w:r>
      <w:r>
        <w:rPr>
          <w:iCs/>
          <w:i/>
        </w:rPr>
        <w:t xml:space="preserve">Has it been tested, and against what — a synthetic edge case, a small-N brute-force comparison, or a real workload at production scale?</w:t>
      </w:r>
      <w:r>
        <w:t xml:space="preserve"> </w:t>
      </w:r>
      <w:r>
        <w:t xml:space="preserve">(4)</w:t>
      </w:r>
      <w:r>
        <w:t xml:space="preserve"> </w:t>
      </w:r>
      <w:r>
        <w:rPr>
          <w:iCs/>
          <w:i/>
        </w:rPr>
        <w:t xml:space="preserve">What would change the answer to (3) from</w:t>
      </w:r>
      <w:r>
        <w:rPr>
          <w:iCs/>
          <w:i/>
        </w:rPr>
        <w:t xml:space="preserve"> </w:t>
      </w:r>
      <w:r>
        <w:rPr>
          <w:iCs/>
          <w:i/>
        </w:rPr>
        <w:t xml:space="preserve">“</w:t>
      </w:r>
      <w:r>
        <w:rPr>
          <w:iCs/>
          <w:i/>
        </w:rPr>
        <w:t xml:space="preserve">no</w:t>
      </w:r>
      <w:r>
        <w:rPr>
          <w:iCs/>
          <w:i/>
        </w:rPr>
        <w:t xml:space="preserve">”</w:t>
      </w:r>
      <w:r>
        <w:rPr>
          <w:iCs/>
          <w:i/>
        </w:rPr>
        <w:t xml:space="preserve"> </w:t>
      </w:r>
      <w:r>
        <w:rPr>
          <w:iCs/>
          <w:i/>
        </w:rPr>
        <w:t xml:space="preserve">to</w:t>
      </w:r>
      <w:r>
        <w:rPr>
          <w:iCs/>
          <w:i/>
        </w:rPr>
        <w:t xml:space="preserve"> </w:t>
      </w:r>
      <w:r>
        <w:rPr>
          <w:iCs/>
          <w:i/>
        </w:rPr>
        <w:t xml:space="preserve">“</w:t>
      </w:r>
      <w:r>
        <w:rPr>
          <w:iCs/>
          <w:i/>
        </w:rPr>
        <w:t xml:space="preserve">yes,</w:t>
      </w:r>
      <w:r>
        <w:rPr>
          <w:iCs/>
          <w:i/>
        </w:rPr>
        <w:t xml:space="preserve">”</w:t>
      </w:r>
      <w:r>
        <w:rPr>
          <w:iCs/>
          <w:i/>
        </w:rPr>
        <w:t xml:space="preserve"> </w:t>
      </w:r>
      <w:r>
        <w:rPr>
          <w:iCs/>
          <w:i/>
        </w:rPr>
        <w:t xml:space="preserve">concretely?</w:t>
      </w:r>
      <w:r>
        <w:t xml:space="preserve"> </w:t>
      </w:r>
      <w:r>
        <w:t xml:space="preserve">The three-tier rating introduced in the Executive Summary (Established / Demonstrated-at-small-scale / Proposed) is the direct output of applying these four questions, and every rating in Section 2 is traceable to a specific answer to question (3) — a named test, a named gap, or a named absence.</w:t>
      </w:r>
    </w:p>
    <w:bookmarkEnd w:id="23"/>
    <w:bookmarkStart w:id="24" w:name="what-this-report-is-not"/>
    <w:p>
      <w:pPr>
        <w:pStyle w:val="Heading3"/>
      </w:pPr>
      <w:r>
        <w:t xml:space="preserve">1.4 What This Report Is Not</w:t>
      </w:r>
    </w:p>
    <w:p>
      <w:pPr>
        <w:pStyle w:val="FirstParagraph"/>
      </w:pPr>
      <w:r>
        <w:t xml:space="preserve">This report does not re-derive or re-argue the correctness proofs of monograph Sections 6, 9, and 11 — those stand on their own mathematical footing and are cited, not repeated. It does not propose new algorithmic designs; where a gap is identified (Section 3, Section 4), the recommendation is to test or build against the monograph’s existing specification, not to redesign it. And it does not claim to be a substitute for an actual load test, security audit, or benchmark run — Section 5’s validation plan specifies what those activities should look like, but executing them is future work (consistent with monograph Section 23), not a claim this report itself makes.</w:t>
      </w:r>
    </w:p>
    <w:bookmarkEnd w:id="24"/>
    <w:bookmarkEnd w:id="25"/>
    <w:bookmarkStart w:id="34" w:name="feasibility-assessment"/>
    <w:p>
      <w:pPr>
        <w:pStyle w:val="Heading2"/>
      </w:pPr>
      <w:r>
        <w:t xml:space="preserve">2. Feasibility Assessment</w:t>
      </w:r>
    </w:p>
    <w:p>
      <w:pPr>
        <w:pStyle w:val="CaptionedFigure"/>
      </w:pPr>
      <w:r>
        <w:drawing>
          <wp:inline>
            <wp:extent cx="5760720" cy="2496312"/>
            <wp:effectExtent b="0" l="0" r="0" t="0"/>
            <wp:docPr descr="Figure 6. Feasibility dimensions and the verification/validation loop." title="" id="27" name="Picture"/>
            <a:graphic>
              <a:graphicData uri="http://schemas.openxmlformats.org/drawingml/2006/picture">
                <pic:pic>
                  <pic:nvPicPr>
                    <pic:cNvPr descr="../paper/figures/fig6_feasibility.png" id="28" name="Picture"/>
                    <pic:cNvPicPr>
                      <a:picLocks noChangeArrowheads="1" noChangeAspect="1"/>
                    </pic:cNvPicPr>
                  </pic:nvPicPr>
                  <pic:blipFill>
                    <a:blip r:embed="rId26"/>
                    <a:stretch>
                      <a:fillRect/>
                    </a:stretch>
                  </pic:blipFill>
                  <pic:spPr bwMode="auto">
                    <a:xfrm>
                      <a:off x="0" y="0"/>
                      <a:ext cx="5760720" cy="2496312"/>
                    </a:xfrm>
                    <a:prstGeom prst="rect">
                      <a:avLst/>
                    </a:prstGeom>
                    <a:noFill/>
                    <a:ln w="9525">
                      <a:noFill/>
                      <a:headEnd/>
                      <a:tailEnd/>
                    </a:ln>
                  </pic:spPr>
                </pic:pic>
              </a:graphicData>
            </a:graphic>
          </wp:inline>
        </w:drawing>
      </w:r>
    </w:p>
    <w:p>
      <w:pPr>
        <w:pStyle w:val="ImageCaption"/>
      </w:pPr>
      <w:r>
        <w:t xml:space="preserve">Figure 6. Feasibility dimensions and the verification/validation loop.</w:t>
      </w:r>
    </w:p>
    <w:bookmarkStart w:id="29" w:name="technical-feasibility"/>
    <w:p>
      <w:pPr>
        <w:pStyle w:val="Heading3"/>
      </w:pPr>
      <w:r>
        <w:t xml:space="preserve">2.1 Technical Feasibility</w:t>
      </w:r>
    </w:p>
    <w:p>
      <w:pPr>
        <w:pStyle w:val="FirstParagraph"/>
      </w:pPr>
      <w:r>
        <w:t xml:space="preserve">Technical feasibility is assessed component-by-component, applying the four questions of Section 1.3. Table 1 restates the monograph’s own correctness findings (Sections 5, 11, 12) through the feasibility-tier lens.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Tier</w:t>
            </w:r>
          </w:p>
        </w:tc>
        <w:tc>
          <w:tcPr/>
          <w:p>
            <w:pPr>
              <w:pStyle w:val="Compact"/>
              <w:jc w:val="left"/>
            </w:pPr>
            <w:r>
              <w:t xml:space="preserve">Basis</w:t>
            </w:r>
          </w:p>
        </w:tc>
      </w:tr>
      <w:tr>
        <w:tc>
          <w:tcPr/>
          <w:p>
            <w:pPr>
              <w:pStyle w:val="Compact"/>
              <w:jc w:val="left"/>
            </w:pPr>
            <w:r>
              <w:t xml:space="preserve">Reading-order recovery (graph construction + Kahn’s algorithm)</w:t>
            </w:r>
          </w:p>
        </w:tc>
        <w:tc>
          <w:tcPr/>
          <w:p>
            <w:pPr>
              <w:pStyle w:val="Compact"/>
              <w:jc w:val="left"/>
            </w:pPr>
            <w:r>
              <w:rPr>
                <w:bCs/>
                <w:b/>
              </w:rPr>
              <w:t xml:space="preserve">Established</w:t>
            </w:r>
          </w:p>
        </w:tc>
        <w:tc>
          <w:tcPr/>
          <w:p>
            <w:pPr>
              <w:pStyle w:val="Compact"/>
              <w:jc w:val="left"/>
            </w:pPr>
            <w:r>
              <w:t xml:space="preserve">Construction-time acyclicity (Thm. 6.1) and determinism (Thm. 6.2) proved; verified against a 16-node dense-grid stress test and an input-order-invariance test (monograph 11.2)</w:t>
            </w:r>
          </w:p>
        </w:tc>
      </w:tr>
      <w:tr>
        <w:tc>
          <w:tcPr/>
          <w:p>
            <w:pPr>
              <w:pStyle w:val="Compact"/>
              <w:jc w:val="left"/>
            </w:pPr>
            <w:r>
              <w:t xml:space="preserve">Elastic chunking (4-rule boundary detector)</w:t>
            </w:r>
          </w:p>
        </w:tc>
        <w:tc>
          <w:tcPr/>
          <w:p>
            <w:pPr>
              <w:pStyle w:val="Compact"/>
              <w:jc w:val="left"/>
            </w:pPr>
            <w:r>
              <w:rPr>
                <w:bCs/>
                <w:b/>
              </w:rPr>
              <w:t xml:space="preserve">Established</w:t>
            </w:r>
          </w:p>
        </w:tc>
        <w:tc>
          <w:tcPr/>
          <w:p>
            <w:pPr>
              <w:pStyle w:val="Compact"/>
              <w:jc w:val="left"/>
            </w:pPr>
            <w:r>
              <w:t xml:space="preserve">Implemented from a previously prose-only specification; per-rule unit tests confirm no-merge, correct-split, correct-no-split, and budget-triggered-split behavior (monograph 11.3)</w:t>
            </w:r>
          </w:p>
        </w:tc>
      </w:tr>
      <w:tr>
        <w:tc>
          <w:tcPr/>
          <w:p>
            <w:pPr>
              <w:pStyle w:val="Compact"/>
              <w:jc w:val="left"/>
            </w:pPr>
            <w:r>
              <w:t xml:space="preserve">Exact knapsack packer (DP)</w:t>
            </w:r>
          </w:p>
        </w:tc>
        <w:tc>
          <w:tcPr/>
          <w:p>
            <w:pPr>
              <w:pStyle w:val="Compact"/>
              <w:jc w:val="left"/>
            </w:pPr>
            <w:r>
              <w:rPr>
                <w:bCs/>
                <w:b/>
              </w:rPr>
              <w:t xml:space="preserve">Established</w:t>
            </w:r>
          </w:p>
        </w:tc>
        <w:tc>
          <w:tcPr/>
          <w:p>
            <w:pPr>
              <w:pStyle w:val="Compact"/>
              <w:jc w:val="left"/>
            </w:pPr>
            <w:r>
              <w:t xml:space="preserve">Optimality follows from the recurrence’s structure (Sec. 9.2) and is confirmed empirically against brute-force enumeration on small-N instances (monograph 11.4)</w:t>
            </w:r>
          </w:p>
        </w:tc>
      </w:tr>
      <w:tr>
        <w:tc>
          <w:tcPr/>
          <w:p>
            <w:pPr>
              <w:pStyle w:val="Compact"/>
              <w:jc w:val="left"/>
            </w:pPr>
            <w:r>
              <w:t xml:space="preserve">Greedy knapsack fallback</w:t>
            </w:r>
          </w:p>
        </w:tc>
        <w:tc>
          <w:tcPr/>
          <w:p>
            <w:pPr>
              <w:pStyle w:val="Compact"/>
              <w:jc w:val="left"/>
            </w:pPr>
            <w:r>
              <w:rPr>
                <w:bCs/>
                <w:b/>
              </w:rPr>
              <w:t xml:space="preserve">Established</w:t>
            </w:r>
          </w:p>
        </w:tc>
        <w:tc>
          <w:tcPr/>
          <w:p>
            <w:pPr>
              <w:pStyle w:val="Compact"/>
              <w:jc w:val="left"/>
            </w:pPr>
            <w:r>
              <w:t xml:space="preserve">1/2-approximation bound proved (Thm. 9.1); forced-fallback test confirms hard-budget compliance (monograph 11.4)</w:t>
            </w:r>
          </w:p>
        </w:tc>
      </w:tr>
      <w:tr>
        <w:tc>
          <w:tcPr/>
          <w:p>
            <w:pPr>
              <w:pStyle w:val="Compact"/>
              <w:jc w:val="left"/>
            </w:pPr>
            <w:r>
              <w:t xml:space="preserve">Multi-choice knapsack (multimodal tiers)</w:t>
            </w:r>
          </w:p>
        </w:tc>
        <w:tc>
          <w:tcPr/>
          <w:p>
            <w:pPr>
              <w:pStyle w:val="Compact"/>
              <w:jc w:val="left"/>
            </w:pPr>
            <w:r>
              <w:rPr>
                <w:bCs/>
                <w:b/>
              </w:rPr>
              <w:t xml:space="preserve">Demonstrated-at-small-scale</w:t>
            </w:r>
          </w:p>
        </w:tc>
        <w:tc>
          <w:tcPr/>
          <w:p>
            <w:pPr>
              <w:pStyle w:val="Compact"/>
              <w:jc w:val="left"/>
            </w:pPr>
            <w:r>
              <w:t xml:space="preserve">DP recurrence verified against brute force on synthetic multi-tier instances only (monograph 12.1); not exercised against real multimodal documents</w:t>
            </w:r>
          </w:p>
        </w:tc>
      </w:tr>
      <w:tr>
        <w:tc>
          <w:tcPr/>
          <w:p>
            <w:pPr>
              <w:pStyle w:val="Compact"/>
              <w:jc w:val="left"/>
            </w:pPr>
            <w:r>
              <w:t xml:space="preserve">Lagrangian relaxation solver</w:t>
            </w:r>
          </w:p>
        </w:tc>
        <w:tc>
          <w:tcPr/>
          <w:p>
            <w:pPr>
              <w:pStyle w:val="Compact"/>
              <w:jc w:val="left"/>
            </w:pPr>
            <w:r>
              <w:rPr>
                <w:bCs/>
                <w:b/>
              </w:rPr>
              <w:t xml:space="preserve">Demonstrated-at-small-scale</w:t>
            </w:r>
          </w:p>
        </w:tc>
        <w:tc>
          <w:tcPr/>
          <w:p>
            <w:pPr>
              <w:pStyle w:val="Compact"/>
              <w:jc w:val="left"/>
            </w:pPr>
            <w:r>
              <w:t xml:space="preserve">Weak-duality sandwich confirmed on synthetic instances (monograph 12.2); convergence behavior on realistic large-N instances not yet measured</w:t>
            </w:r>
          </w:p>
        </w:tc>
      </w:tr>
      <w:tr>
        <w:tc>
          <w:tcPr/>
          <w:p>
            <w:pPr>
              <w:pStyle w:val="Compact"/>
              <w:jc w:val="left"/>
            </w:pPr>
            <w:r>
              <w:t xml:space="preserve">Spectral embedder (structural grouping)</w:t>
            </w:r>
          </w:p>
        </w:tc>
        <w:tc>
          <w:tcPr/>
          <w:p>
            <w:pPr>
              <w:pStyle w:val="Compact"/>
              <w:jc w:val="left"/>
            </w:pPr>
            <w:r>
              <w:rPr>
                <w:bCs/>
                <w:b/>
              </w:rPr>
              <w:t xml:space="preserve">Demonstrated-at-small-scale</w:t>
            </w:r>
          </w:p>
        </w:tc>
        <w:tc>
          <w:tcPr/>
          <w:p>
            <w:pPr>
              <w:pStyle w:val="Compact"/>
              <w:jc w:val="left"/>
            </w:pPr>
            <w:r>
              <w:t xml:space="preserve">Correct separation confirmed on synthetic block-diagonal affinity matrices only (monograph 12.4)</w:t>
            </w:r>
          </w:p>
        </w:tc>
      </w:tr>
      <w:tr>
        <w:tc>
          <w:tcPr/>
          <w:p>
            <w:pPr>
              <w:pStyle w:val="Compact"/>
              <w:jc w:val="left"/>
            </w:pPr>
            <w:r>
              <w:t xml:space="preserve">Hitting-time score</w:t>
            </w:r>
          </w:p>
        </w:tc>
        <w:tc>
          <w:tcPr/>
          <w:p>
            <w:pPr>
              <w:pStyle w:val="Compact"/>
              <w:jc w:val="left"/>
            </w:pPr>
            <w:r>
              <w:rPr>
                <w:bCs/>
                <w:b/>
              </w:rPr>
              <w:t xml:space="preserve">Demonstrated-at-small-scale</w:t>
            </w:r>
          </w:p>
        </w:tc>
        <w:tc>
          <w:tcPr/>
          <w:p>
            <w:pPr>
              <w:pStyle w:val="Compact"/>
              <w:jc w:val="left"/>
            </w:pPr>
            <w:r>
              <w:t xml:space="preserve">Monotonicity confirmed on a synthetic path graph only (monograph 12.5)</w:t>
            </w:r>
          </w:p>
        </w:tc>
      </w:tr>
      <w:tr>
        <w:tc>
          <w:tcPr/>
          <w:p>
            <w:pPr>
              <w:pStyle w:val="Compact"/>
              <w:jc w:val="left"/>
            </w:pPr>
            <w:r>
              <w:t xml:space="preserve">Image / flowchart encoders</w:t>
            </w:r>
          </w:p>
        </w:tc>
        <w:tc>
          <w:tcPr/>
          <w:p>
            <w:pPr>
              <w:pStyle w:val="Compact"/>
              <w:jc w:val="left"/>
            </w:pPr>
            <w:r>
              <w:rPr>
                <w:bCs/>
                <w:b/>
              </w:rPr>
              <w:t xml:space="preserve">Proposed</w:t>
            </w:r>
            <w:r>
              <w:t xml:space="preserve"> </w:t>
            </w:r>
            <w:r>
              <w:t xml:space="preserve">(structurally verified, semantically untrained)</w:t>
            </w:r>
          </w:p>
        </w:tc>
        <w:tc>
          <w:tcPr/>
          <w:p>
            <w:pPr>
              <w:pStyle w:val="Compact"/>
              <w:jc w:val="left"/>
            </w:pPr>
            <w:r>
              <w:t xml:space="preserve">Correct embedding shape and differential response to structurally different synthetic inputs confirmed; no training on real diagram/figure corpora (monograph 12.3, 12.7)</w:t>
            </w:r>
          </w:p>
        </w:tc>
      </w:tr>
      <w:tr>
        <w:tc>
          <w:tcPr/>
          <w:p>
            <w:pPr>
              <w:pStyle w:val="Compact"/>
              <w:jc w:val="left"/>
            </w:pPr>
            <w:r>
              <w:t xml:space="preserve">Semantic engine (LayoutLMv3-class integration)</w:t>
            </w:r>
          </w:p>
        </w:tc>
        <w:tc>
          <w:tcPr/>
          <w:p>
            <w:pPr>
              <w:pStyle w:val="Compact"/>
              <w:jc w:val="left"/>
            </w:pPr>
            <w:r>
              <w:rPr>
                <w:bCs/>
                <w:b/>
              </w:rPr>
              <w:t xml:space="preserve">Proposed</w:t>
            </w:r>
          </w:p>
        </w:tc>
        <w:tc>
          <w:tcPr/>
          <w:p>
            <w:pPr>
              <w:pStyle w:val="Compact"/>
              <w:jc w:val="left"/>
            </w:pPr>
            <w:r>
              <w:t xml:space="preserve">Integration point specified (Sec. 5.6); currently wired to a structurally-verified mock, not a trained encoder</w:t>
            </w:r>
          </w:p>
        </w:tc>
      </w:tr>
      <w:tr>
        <w:tc>
          <w:tcPr/>
          <w:p>
            <w:pPr>
              <w:pStyle w:val="Compact"/>
              <w:jc w:val="left"/>
            </w:pPr>
            <w:r>
              <w:t xml:space="preserve">Topology engine (Betti numbers / persistent homology)</w:t>
            </w:r>
          </w:p>
        </w:tc>
        <w:tc>
          <w:tcPr/>
          <w:p>
            <w:pPr>
              <w:pStyle w:val="Compact"/>
              <w:jc w:val="left"/>
            </w:pPr>
            <w:r>
              <w:rPr>
                <w:bCs/>
                <w:b/>
              </w:rPr>
              <w:t xml:space="preserve">Proposed</w:t>
            </w:r>
          </w:p>
        </w:tc>
        <w:tc>
          <w:tcPr/>
          <w:p>
            <w:pPr>
              <w:pStyle w:val="Compact"/>
              <w:jc w:val="left"/>
            </w:pPr>
            <w:r>
              <w:t xml:space="preserve">Listed in monograph Section 23 as an evaluate-before-adopt candidate; no implementation reported</w:t>
            </w:r>
          </w:p>
        </w:tc>
      </w:tr>
      <w:tr>
        <w:tc>
          <w:tcPr/>
          <w:p>
            <w:pPr>
              <w:pStyle w:val="Compact"/>
              <w:jc w:val="left"/>
            </w:pPr>
            <w:r>
              <w:t xml:space="preserve">Contextual bandit router (LinUCB)</w:t>
            </w:r>
          </w:p>
        </w:tc>
        <w:tc>
          <w:tcPr/>
          <w:p>
            <w:pPr>
              <w:pStyle w:val="Compact"/>
              <w:jc w:val="left"/>
            </w:pPr>
            <w:r>
              <w:rPr>
                <w:bCs/>
                <w:b/>
              </w:rPr>
              <w:t xml:space="preserve">Demonstrated-at-small-scale</w:t>
            </w:r>
          </w:p>
        </w:tc>
        <w:tc>
          <w:tcPr/>
          <w:p>
            <w:pPr>
              <w:pStyle w:val="Compact"/>
              <w:jc w:val="left"/>
            </w:pPr>
            <w:r>
              <w:t xml:space="preserve">Convergence toward a known higher-reward arm confirmed under simulated feedback (monograph 13.5); reward calibration against real user-satisfaction data not yet done</w:t>
            </w:r>
          </w:p>
        </w:tc>
      </w:tr>
      <w:tr>
        <w:tc>
          <w:tcPr/>
          <w:p>
            <w:pPr>
              <w:pStyle w:val="Compact"/>
              <w:jc w:val="left"/>
            </w:pPr>
            <w:r>
              <w:t xml:space="preserve">Automated test suite</w:t>
            </w:r>
          </w:p>
        </w:tc>
        <w:tc>
          <w:tcPr/>
          <w:p>
            <w:pPr>
              <w:pStyle w:val="Compact"/>
              <w:jc w:val="left"/>
            </w:pPr>
            <w:r>
              <w:rPr>
                <w:bCs/>
                <w:b/>
              </w:rPr>
              <w:t xml:space="preserve">Established</w:t>
            </w:r>
          </w:p>
        </w:tc>
        <w:tc>
          <w:tcPr/>
          <w:p>
            <w:pPr>
              <w:pStyle w:val="Compact"/>
              <w:jc w:val="left"/>
            </w:pPr>
            <w:r>
              <w:t xml:space="preserve">18/18 cases passing at time of writing (monograph 11.5), covering the four Established components above end-to-end</w:t>
            </w:r>
          </w:p>
        </w:tc>
      </w:tr>
    </w:tbl>
    <w:p>
      <w:pPr>
        <w:pStyle w:val="BodyText"/>
      </w:pPr>
      <w:r>
        <w:rPr>
          <w:bCs/>
          <w:b/>
        </w:rPr>
        <w:t xml:space="preserve">Technical feasibility verdict.</w:t>
      </w:r>
      <w:r>
        <w:t xml:space="preserve"> </w:t>
      </w:r>
      <w:r>
        <w:t xml:space="preserve">The critical path for the architecture’s central claims — deterministic reading order, structural chunk integrity, and provably budget-safe context packing — rests entirely on components already at the Established tier. This is the strongest possible feasibility finding for the part of the system the monograph’s abstract actually stakes its claim on. The extension components (Section 12) and the routing/embedding subsystems are feasible in the weaker sense that nothing in their design has been shown infeasible — but</w:t>
      </w:r>
      <w:r>
        <w:t xml:space="preserve"> </w:t>
      </w:r>
      <w:r>
        <w:t xml:space="preserve">“</w:t>
      </w:r>
      <w:r>
        <w:t xml:space="preserve">not shown infeasible</w:t>
      </w:r>
      <w:r>
        <w:t xml:space="preserve">”</w:t>
      </w:r>
      <w:r>
        <w:t xml:space="preserve"> </w:t>
      </w:r>
      <w:r>
        <w:t xml:space="preserve">and</w:t>
      </w:r>
      <w:r>
        <w:t xml:space="preserve"> </w:t>
      </w:r>
      <w:r>
        <w:t xml:space="preserve">“</w:t>
      </w:r>
      <w:r>
        <w:t xml:space="preserve">shown feasible at scale</w:t>
      </w:r>
      <w:r>
        <w:t xml:space="preserve">”</w:t>
      </w:r>
      <w:r>
        <w:t xml:space="preserve"> </w:t>
      </w:r>
      <w:r>
        <w:t xml:space="preserve">are different claims, and Section 4’s verification plan is scoped specifically to close that gap for the highest-priority items among them.</w:t>
      </w:r>
    </w:p>
    <w:bookmarkEnd w:id="29"/>
    <w:bookmarkStart w:id="30" w:name="economic-feasibility"/>
    <w:p>
      <w:pPr>
        <w:pStyle w:val="Heading3"/>
      </w:pPr>
      <w:r>
        <w:t xml:space="preserve">2.2 Economic Feasibility</w:t>
      </w:r>
    </w:p>
    <w:p>
      <w:pPr>
        <w:pStyle w:val="FirstParagraph"/>
      </w:pPr>
      <w:r>
        <w:t xml:space="preserve">Economic feasibility rests on the token-economy targets of monograph Section 16: 20–70% token reduction and 30–60% latency reduction relative to naive baselines, subject to the hard quality floors of the master objective (monograph Section 9.4: Accuracy ≥ 0.95, IR ≥ 0.95, Confidence ≥ 0.90). We assess three sub-questions.</w:t>
      </w:r>
    </w:p>
    <w:p>
      <w:pPr>
        <w:pStyle w:val="BodyText"/>
      </w:pPr>
      <w:r>
        <w:rPr>
          <w:bCs/>
          <w:b/>
        </w:rPr>
        <w:t xml:space="preserve">Is the cost model internally consistent?</w:t>
      </w:r>
      <w:r>
        <w:t xml:space="preserve"> </w:t>
      </w:r>
      <w:r>
        <w:t xml:space="preserve">Yes: Section 9.4’s master objective explicitly constrains cost minimization by quality floors rather than trading one against the other without limit (monograph 16.6), which is the correct economic framing for a system whose value proposition depends on not silently degrading answer quality to hit a cost target. The KKT complementary-slackness conditions (monograph 9.5) give this constraint a checkable operational meaning: a production deployment can inspect whether its accuracy floor multiplier λ₁ is currently binding (nonzero) as a live signal of whether cost pressure is currently being traded against quality at the margin.</w:t>
      </w:r>
    </w:p>
    <w:p>
      <w:pPr>
        <w:pStyle w:val="BodyText"/>
      </w:pPr>
      <w:r>
        <w:rPr>
          <w:bCs/>
          <w:b/>
        </w:rPr>
        <w:t xml:space="preserve">Are the specific percentage targets independently substantiated?</w:t>
      </w:r>
      <w:r>
        <w:t xml:space="preserve"> </w:t>
      </w:r>
      <w:r>
        <w:t xml:space="preserve">Not yet. The 20–70% and 30–60% ranges (monograph Table 5) are documented targets, not measured outcomes — this report inherits the monograph’s own evidentiary caveat on this point (monograph 16.5) rather than treating the range as established. The token-economy mechanisms that would produce a reduction in this range (structural-recurrence elimination per Theorem 5.4, matrix-form table compaction, the L0–L5 summarization hierarchy’s ability to serve coarse queries cheaply) are each individually well-founded, but their</w:t>
      </w:r>
      <w:r>
        <w:t xml:space="preserve"> </w:t>
      </w:r>
      <w:r>
        <w:rPr>
          <w:iCs/>
          <w:i/>
        </w:rPr>
        <w:t xml:space="preserve">combined, measured</w:t>
      </w:r>
      <w:r>
        <w:t xml:space="preserve"> </w:t>
      </w:r>
      <w:r>
        <w:t xml:space="preserve">effect on a representative document corpus has not been reported.</w:t>
      </w:r>
    </w:p>
    <w:p>
      <w:pPr>
        <w:pStyle w:val="BodyText"/>
      </w:pPr>
      <w:r>
        <w:rPr>
          <w:bCs/>
          <w:b/>
        </w:rPr>
        <w:t xml:space="preserve">Is the underlying unit economics plausible at all?</w:t>
      </w:r>
      <w:r>
        <w:t xml:space="preserve"> </w:t>
      </w:r>
      <w:r>
        <w:t xml:space="preserve">Directionally, yes, on the strength of the operational cache hit-rate targets alone: monograph Section 14.3 reports target hit rates of ~80% (Tier 1), ~40% (Tier 2), 100%-within-session (Tier 3), and ~90% (Tier 4) — even taking these as targets rather than measurements, a cache architecture with this many tiers addressing genuinely different reuse patterns (identical system-prompt prefixes, near-duplicate queries, in-session history, repeated document access) is structurally the kind of design that produces real cost reduction, independent of whether the specific percentage lands at 20% or 70%. The economic feasibility risk is therefore concentrated in</w:t>
      </w:r>
      <w:r>
        <w:t xml:space="preserve"> </w:t>
      </w:r>
      <w:r>
        <w:rPr>
          <w:iCs/>
          <w:i/>
        </w:rPr>
        <w:t xml:space="preserve">quantifying</w:t>
      </w:r>
      <w:r>
        <w:t xml:space="preserve"> </w:t>
      </w:r>
      <w:r>
        <w:t xml:space="preserve">the benefit precisely, not in doubting that a benefit of some magnitude exists.</w:t>
      </w:r>
    </w:p>
    <w:bookmarkEnd w:id="30"/>
    <w:bookmarkStart w:id="31" w:name="operational-feasibility"/>
    <w:p>
      <w:pPr>
        <w:pStyle w:val="Heading3"/>
      </w:pPr>
      <w:r>
        <w:t xml:space="preserve">2.3 Operational Feasibility</w:t>
      </w:r>
    </w:p>
    <w:p>
      <w:pPr>
        <w:pStyle w:val="FirstParagraph"/>
      </w:pPr>
      <w:r>
        <w:t xml:space="preserve">Operational feasibility asks whether the system, once built, can be run — staffed, secured, monitored, and recovered from failure — as a production service, independent of whether its algorithms are correct.</w:t>
      </w:r>
    </w:p>
    <w:p>
      <w:pPr>
        <w:pStyle w:val="BodyText"/>
      </w:pPr>
      <w:r>
        <w:rPr>
          <w:bCs/>
          <w:b/>
        </w:rPr>
        <w:t xml:space="preserve">Defense-in-depth and fallback coverage.</w:t>
      </w:r>
      <w:r>
        <w:t xml:space="preserve"> </w:t>
      </w:r>
      <w:r>
        <w:t xml:space="preserve">The monograph specifies explicit fallback behavior at every stage that has an external dependency (monograph Section 15.6, 17.5, consolidated as Workflow 5 in Section 18.5): dense-retrieval failure falls back to BM25-only; a vector-database outage falls back to a warm in-memory replica; a language-model timeout falls back to a smaller model, then to a cached similar response; low-confidence OCR escalates to a vision-capable model rather than proceeding silently. This is a materially complete fallback design for the failure modes it enumerates, and its operational feasibility rating is</w:t>
      </w:r>
      <w:r>
        <w:t xml:space="preserve"> </w:t>
      </w:r>
      <w:r>
        <w:rPr>
          <w:bCs/>
          <w:b/>
        </w:rPr>
        <w:t xml:space="preserve">Demonstrated-at-small-scale</w:t>
      </w:r>
      <w:r>
        <w:t xml:space="preserve">: the fallback</w:t>
      </w:r>
      <w:r>
        <w:t xml:space="preserve"> </w:t>
      </w:r>
      <w:r>
        <w:rPr>
          <w:iCs/>
          <w:i/>
        </w:rPr>
        <w:t xml:space="preserve">logic</w:t>
      </w:r>
      <w:r>
        <w:t xml:space="preserve"> </w:t>
      </w:r>
      <w:r>
        <w:t xml:space="preserve">is specified precisely enough to implement and the individual conditions (e.g.,</w:t>
      </w:r>
      <w:r>
        <w:t xml:space="preserve"> </w:t>
      </w:r>
      <w:r>
        <w:t xml:space="preserve">“</w:t>
      </w:r>
      <w:r>
        <w:t xml:space="preserve">OCR confidence below 0.5</w:t>
      </w:r>
      <w:r>
        <w:t xml:space="preserve">”</w:t>
      </w:r>
      <w:r>
        <w:t xml:space="preserve">) are checkable, but end-to-end failure-injection testing (deliberately killing the vector database mid-request and confirming the replica-fallback path activates within its stated latency budget) has not been reported as executed.</w:t>
      </w:r>
    </w:p>
    <w:p>
      <w:pPr>
        <w:pStyle w:val="BodyText"/>
      </w:pPr>
      <w:r>
        <w:rPr>
          <w:bCs/>
          <w:b/>
        </w:rPr>
        <w:t xml:space="preserve">Security and multi-tenancy.</w:t>
      </w:r>
      <w:r>
        <w:t xml:space="preserve"> </w:t>
      </w:r>
      <w:r>
        <w:t xml:space="preserve">The tenant-isolation design (monograph Section 17.3) — row-level security enforced independently at the lexical index, vector index, and relational store, plus tenant-scoped semantic-cache lookups — is well-specified and addresses the correct threat (a single application-layer bug should not be sufficient to leak cross-tenant data, because the boundary is enforced redundantly at the storage layer). Its feasibility tier is</w:t>
      </w:r>
      <w:r>
        <w:t xml:space="preserve"> </w:t>
      </w:r>
      <w:r>
        <w:rPr>
          <w:bCs/>
          <w:b/>
        </w:rPr>
        <w:t xml:space="preserve">Proposed</w:t>
      </w:r>
      <w:r>
        <w:t xml:space="preserve">: no penetration test, tenant-isolation fuzzing exercise, or third-party security audit is reported against the reference implementation. This is the single highest-priority operational gap identified in this report (Section 3, risk R1) given that the monograph explicitly targets regulated document types (financial, legal, medical) where a tenant-isolation failure is a severe, reputation-ending class of incident, not merely a bug.</w:t>
      </w:r>
    </w:p>
    <w:p>
      <w:pPr>
        <w:pStyle w:val="BodyText"/>
      </w:pPr>
      <w:r>
        <w:rPr>
          <w:bCs/>
          <w:b/>
        </w:rPr>
        <w:t xml:space="preserve">Observability.</w:t>
      </w:r>
      <w:r>
        <w:t xml:space="preserve"> </w:t>
      </w:r>
      <w:r>
        <w:t xml:space="preserve">The instrumentation plan (monograph Section 19.5 — Prometheus-class metrics, ELK-class logging, Jaeger-class tracing, instrumented at every pipeline stage including the knapsack solver’s exact-vs-fallback rate) is operationally sound and specifically well-suited to catching the failure modes this report is most concerned about — a rising greedy-fallback rate would be a direct, early signal that the max_dp_cells guard (monograph 11.4) is being hit more often than expected, which is exactly the kind of leading indicator a production operator needs before a memory-exhaustion incident rather than after one. Feasibility tier:</w:t>
      </w:r>
      <w:r>
        <w:t xml:space="preserve"> </w:t>
      </w:r>
      <w:r>
        <w:rPr>
          <w:bCs/>
          <w:b/>
        </w:rPr>
        <w:t xml:space="preserve">Proposed</w:t>
      </w:r>
      <w:r>
        <w:t xml:space="preserve"> </w:t>
      </w:r>
      <w:r>
        <w:t xml:space="preserve">— the plan is specified but no deployed dashboard or alerting configuration is reported as built.</w:t>
      </w:r>
    </w:p>
    <w:p>
      <w:pPr>
        <w:pStyle w:val="BodyText"/>
      </w:pPr>
      <w:r>
        <w:rPr>
          <w:bCs/>
          <w:b/>
        </w:rPr>
        <w:t xml:space="preserve">Staffing and operational burden.</w:t>
      </w:r>
      <w:r>
        <w:t xml:space="preserve"> </w:t>
      </w:r>
      <w:r>
        <w:t xml:space="preserve">The architecture’s own complexity (twelve engines, nine pipeline stages, six workflows, a five-service persistence layer) is a genuine operational cost independent of any single component’s correctness: a team operating this system needs to understand graph algorithms, constrained optimization, information retrieval, and distributed-systems failure modes simultaneously. This is not a reason to judge the system infeasible — the monograph’s separation-of-concerns principle (Section 4.1) is precisely the design response to this complexity, since each subsystem can in principle be owned, on-called, and debugged independently — but it is a real staffing requirement this report flags explicitly: a deployment of this architecture is not a small-team weekend project, and the schedule feasibility assessment of Section 2.5 accounts for that.</w:t>
      </w:r>
    </w:p>
    <w:bookmarkEnd w:id="31"/>
    <w:bookmarkStart w:id="32" w:name="scalability-feasibility"/>
    <w:p>
      <w:pPr>
        <w:pStyle w:val="Heading3"/>
      </w:pPr>
      <w:r>
        <w:t xml:space="preserve">2.4 Scalability Feasibility</w:t>
      </w:r>
    </w:p>
    <w:p>
      <w:pPr>
        <w:pStyle w:val="FirstParagraph"/>
      </w:pPr>
      <w:r>
        <w:t xml:space="preserve">Monograph Section 20.3 already flags three specific assumptions underlying the 100M-document target as unvalidated; this report treats those three assumptions as the core of the scalability feasibility question and does not restate their derivation, only their implication for a go/no-go decision.</w:t>
      </w:r>
    </w:p>
    <w:p>
      <w:pPr>
        <w:numPr>
          <w:ilvl w:val="0"/>
          <w:numId w:val="1001"/>
        </w:numPr>
        <w:pStyle w:val="Compact"/>
      </w:pPr>
      <w:r>
        <w:rPr>
          <w:bCs/>
          <w:b/>
        </w:rPr>
        <w:t xml:space="preserve">ANN index sub-linearity at 100M-document scale</w:t>
      </w:r>
      <w:r>
        <w:t xml:space="preserve">, under the specific embedding dimensionality and metadata-filtering combination this architecture uses (not the generic HNSW literature result, which is well-established but for different configurations).</w:t>
      </w:r>
      <w:r>
        <w:t xml:space="preserve"> </w:t>
      </w:r>
      <w:r>
        <w:rPr>
          <w:iCs/>
          <w:i/>
        </w:rPr>
        <w:t xml:space="preserve">Feasibility tier: Proposed.</w:t>
      </w:r>
    </w:p>
    <w:p>
      <w:pPr>
        <w:numPr>
          <w:ilvl w:val="0"/>
          <w:numId w:val="1001"/>
        </w:numPr>
        <w:pStyle w:val="Compact"/>
      </w:pPr>
      <w:r>
        <w:rPr>
          <w:bCs/>
          <w:b/>
        </w:rPr>
        <w:t xml:space="preserve">Row-level tenant filtering not becoming the dominant query-latency cost</w:t>
      </w:r>
      <w:r>
        <w:t xml:space="preserve"> </w:t>
      </w:r>
      <w:r>
        <w:t xml:space="preserve">as tenant count and per-tenant filter granularity grow.</w:t>
      </w:r>
      <w:r>
        <w:t xml:space="preserve"> </w:t>
      </w:r>
      <w:r>
        <w:rPr>
          <w:iCs/>
          <w:i/>
        </w:rPr>
        <w:t xml:space="preserve">Feasibility tier: Proposed.</w:t>
      </w:r>
    </w:p>
    <w:p>
      <w:pPr>
        <w:numPr>
          <w:ilvl w:val="0"/>
          <w:numId w:val="1001"/>
        </w:numPr>
        <w:pStyle w:val="Compact"/>
      </w:pPr>
      <w:r>
        <w:rPr>
          <w:bCs/>
          <w:b/>
        </w:rPr>
        <w:t xml:space="preserve">Ingestion throughput bottleneck location</w:t>
      </w:r>
      <w:r>
        <w:t xml:space="preserve"> </w:t>
      </w:r>
      <w:r>
        <w:t xml:space="preserve">— whether the twelve-engine transformation stage or the storage-write stage limits sustained document-per-minute throughput within the stated 100–1,000 autoscaled worker range.</w:t>
      </w:r>
      <w:r>
        <w:t xml:space="preserve"> </w:t>
      </w:r>
      <w:r>
        <w:rPr>
          <w:iCs/>
          <w:i/>
        </w:rPr>
        <w:t xml:space="preserve">Feasibility tier: Proposed.</w:t>
      </w:r>
    </w:p>
    <w:p>
      <w:pPr>
        <w:pStyle w:val="FirstParagraph"/>
      </w:pPr>
      <w:r>
        <w:t xml:space="preserve">None of these three is contradicted by anything established elsewhere in the architecture; each is a genuinely open question a load test would answer directly and relatively cheaply relative to the cost of discovering the answer in production. We treat unresolved-but-cheaply-testable as a materially different feasibility status than unresolved-and-expensive-to-test, and flag these three specifically because they are the latter category’s opposite — which is exactly why Section 4.4 proposes a bounded load-testing protocol rather than deferring the question to full production rollout.</w:t>
      </w:r>
    </w:p>
    <w:bookmarkEnd w:id="32"/>
    <w:bookmarkStart w:id="33" w:name="schedule-and-resource-feasibility"/>
    <w:p>
      <w:pPr>
        <w:pStyle w:val="Heading3"/>
      </w:pPr>
      <w:r>
        <w:t xml:space="preserve">2.5 Schedule and Resource Feasibility</w:t>
      </w:r>
    </w:p>
    <w:p>
      <w:pPr>
        <w:pStyle w:val="FirstParagraph"/>
      </w:pPr>
      <w:r>
        <w:t xml:space="preserve">Table 2 gives a coarse build-effort estimate by component tier, intended to support planning rather than to be read as a committed schedule. Estimates assume a small team (2–4 engineers) already familiar with the monograph’s mathematical content, working from the existing Established-tier reference implementation rather than from a blank slate.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Workstream</w:t>
            </w:r>
          </w:p>
        </w:tc>
        <w:tc>
          <w:tcPr/>
          <w:p>
            <w:pPr>
              <w:pStyle w:val="Compact"/>
              <w:jc w:val="left"/>
            </w:pPr>
            <w:r>
              <w:t xml:space="preserve">Current tier</w:t>
            </w:r>
          </w:p>
        </w:tc>
        <w:tc>
          <w:tcPr/>
          <w:p>
            <w:pPr>
              <w:pStyle w:val="Compact"/>
              <w:jc w:val="left"/>
            </w:pPr>
            <w:r>
              <w:t xml:space="preserve">Remaining effort to Established (indicative)</w:t>
            </w:r>
          </w:p>
        </w:tc>
      </w:tr>
      <w:tr>
        <w:tc>
          <w:tcPr/>
          <w:p>
            <w:pPr>
              <w:pStyle w:val="Compact"/>
              <w:jc w:val="left"/>
            </w:pPr>
            <w:r>
              <w:t xml:space="preserve">Core hardened pipeline (Sections 6, 7, 9)</w:t>
            </w:r>
          </w:p>
        </w:tc>
        <w:tc>
          <w:tcPr/>
          <w:p>
            <w:pPr>
              <w:pStyle w:val="Compact"/>
              <w:jc w:val="left"/>
            </w:pPr>
            <w:r>
              <w:t xml:space="preserve">Established</w:t>
            </w:r>
          </w:p>
        </w:tc>
        <w:tc>
          <w:tcPr/>
          <w:p>
            <w:pPr>
              <w:pStyle w:val="Compact"/>
              <w:jc w:val="left"/>
            </w:pPr>
            <w:r>
              <w:t xml:space="preserve">None — already complete and tested</w:t>
            </w:r>
          </w:p>
        </w:tc>
      </w:tr>
      <w:tr>
        <w:tc>
          <w:tcPr/>
          <w:p>
            <w:pPr>
              <w:pStyle w:val="Compact"/>
              <w:jc w:val="left"/>
            </w:pPr>
            <w:r>
              <w:t xml:space="preserve">Multi-choice knapsack + Lagrangian relaxation at production scale</w:t>
            </w:r>
          </w:p>
        </w:tc>
        <w:tc>
          <w:tcPr/>
          <w:p>
            <w:pPr>
              <w:pStyle w:val="Compact"/>
              <w:jc w:val="left"/>
            </w:pPr>
            <w:r>
              <w:t xml:space="preserve">Demonstrated-at-small-scale</w:t>
            </w:r>
          </w:p>
        </w:tc>
        <w:tc>
          <w:tcPr/>
          <w:p>
            <w:pPr>
              <w:pStyle w:val="Compact"/>
              <w:jc w:val="left"/>
            </w:pPr>
            <w:r>
              <w:t xml:space="preserve">Medium: load-scale testing and tuning of subgradient step-size schedule</w:t>
            </w:r>
          </w:p>
        </w:tc>
      </w:tr>
      <w:tr>
        <w:tc>
          <w:tcPr/>
          <w:p>
            <w:pPr>
              <w:pStyle w:val="Compact"/>
              <w:jc w:val="left"/>
            </w:pPr>
            <w:r>
              <w:t xml:space="preserve">Semantic engine LayoutLMv3-class integration</w:t>
            </w:r>
          </w:p>
        </w:tc>
        <w:tc>
          <w:tcPr/>
          <w:p>
            <w:pPr>
              <w:pStyle w:val="Compact"/>
              <w:jc w:val="left"/>
            </w:pPr>
            <w:r>
              <w:t xml:space="preserve">Proposed</w:t>
            </w:r>
          </w:p>
        </w:tc>
        <w:tc>
          <w:tcPr/>
          <w:p>
            <w:pPr>
              <w:pStyle w:val="Compact"/>
              <w:jc w:val="left"/>
            </w:pPr>
            <w:r>
              <w:t xml:space="preserve">Large: model selection, fine-tuning or adaptation, integration testing against Section 12.7’s structural-verification suite</w:t>
            </w:r>
          </w:p>
        </w:tc>
      </w:tr>
      <w:tr>
        <w:tc>
          <w:tcPr/>
          <w:p>
            <w:pPr>
              <w:pStyle w:val="Compact"/>
              <w:jc w:val="left"/>
            </w:pPr>
            <w:r>
              <w:t xml:space="preserve">Image/flowchart encoder semantic training</w:t>
            </w:r>
          </w:p>
        </w:tc>
        <w:tc>
          <w:tcPr/>
          <w:p>
            <w:pPr>
              <w:pStyle w:val="Compact"/>
              <w:jc w:val="left"/>
            </w:pPr>
            <w:r>
              <w:t xml:space="preserve">Proposed</w:t>
            </w:r>
          </w:p>
        </w:tc>
        <w:tc>
          <w:tcPr/>
          <w:p>
            <w:pPr>
              <w:pStyle w:val="Compact"/>
              <w:jc w:val="left"/>
            </w:pPr>
            <w:r>
              <w:t xml:space="preserve">Large: labeled diagram/figure corpus acquisition or licensing, training pipeline, evaluation</w:t>
            </w:r>
          </w:p>
        </w:tc>
      </w:tr>
      <w:tr>
        <w:tc>
          <w:tcPr/>
          <w:p>
            <w:pPr>
              <w:pStyle w:val="Compact"/>
              <w:jc w:val="left"/>
            </w:pPr>
            <w:r>
              <w:t xml:space="preserve">Full production topology (monograph Sec. 4.3)</w:t>
            </w:r>
          </w:p>
        </w:tc>
        <w:tc>
          <w:tcPr/>
          <w:p>
            <w:pPr>
              <w:pStyle w:val="Compact"/>
              <w:jc w:val="left"/>
            </w:pPr>
            <w:r>
              <w:t xml:space="preserve">Proposed</w:t>
            </w:r>
          </w:p>
        </w:tc>
        <w:tc>
          <w:tcPr/>
          <w:p>
            <w:pPr>
              <w:pStyle w:val="Compact"/>
              <w:jc w:val="left"/>
            </w:pPr>
            <w:r>
              <w:t xml:space="preserve">Large: multi-service build-out, polyglot persistence layer, CI/CD, infra-as-code</w:t>
            </w:r>
          </w:p>
        </w:tc>
      </w:tr>
      <w:tr>
        <w:tc>
          <w:tcPr/>
          <w:p>
            <w:pPr>
              <w:pStyle w:val="Compact"/>
              <w:jc w:val="left"/>
            </w:pPr>
            <w:r>
              <w:t xml:space="preserve">Security audit and tenant-isolation fuzzing</w:t>
            </w:r>
          </w:p>
        </w:tc>
        <w:tc>
          <w:tcPr/>
          <w:p>
            <w:pPr>
              <w:pStyle w:val="Compact"/>
              <w:jc w:val="left"/>
            </w:pPr>
            <w:r>
              <w:t xml:space="preserve">Proposed</w:t>
            </w:r>
          </w:p>
        </w:tc>
        <w:tc>
          <w:tcPr/>
          <w:p>
            <w:pPr>
              <w:pStyle w:val="Compact"/>
              <w:jc w:val="left"/>
            </w:pPr>
            <w:r>
              <w:t xml:space="preserve">Medium: engaging a third-party auditor or building an internal red-team exercise against Section 17.3’s isolation claims</w:t>
            </w:r>
          </w:p>
        </w:tc>
      </w:tr>
      <w:tr>
        <w:tc>
          <w:tcPr/>
          <w:p>
            <w:pPr>
              <w:pStyle w:val="Compact"/>
              <w:jc w:val="left"/>
            </w:pPr>
            <w:r>
              <w:t xml:space="preserve">Observability stack deployment</w:t>
            </w:r>
          </w:p>
        </w:tc>
        <w:tc>
          <w:tcPr/>
          <w:p>
            <w:pPr>
              <w:pStyle w:val="Compact"/>
              <w:jc w:val="left"/>
            </w:pPr>
            <w:r>
              <w:t xml:space="preserve">Proposed</w:t>
            </w:r>
          </w:p>
        </w:tc>
        <w:tc>
          <w:tcPr/>
          <w:p>
            <w:pPr>
              <w:pStyle w:val="Compact"/>
              <w:jc w:val="left"/>
            </w:pPr>
            <w:r>
              <w:t xml:space="preserve">Medium: standing up the Prometheus/ELK/Jaeger stack and wiring the instrumentation points already specified</w:t>
            </w:r>
          </w:p>
        </w:tc>
      </w:tr>
      <w:tr>
        <w:tc>
          <w:tcPr/>
          <w:p>
            <w:pPr>
              <w:pStyle w:val="Compact"/>
              <w:jc w:val="left"/>
            </w:pPr>
            <w:r>
              <w:t xml:space="preserve">DocVQA / TAT-QA evaluation run</w:t>
            </w:r>
          </w:p>
        </w:tc>
        <w:tc>
          <w:tcPr/>
          <w:p>
            <w:pPr>
              <w:pStyle w:val="Compact"/>
              <w:jc w:val="left"/>
            </w:pPr>
            <w:r>
              <w:t xml:space="preserve">Proposed</w:t>
            </w:r>
          </w:p>
        </w:tc>
        <w:tc>
          <w:tcPr/>
          <w:p>
            <w:pPr>
              <w:pStyle w:val="Compact"/>
              <w:jc w:val="left"/>
            </w:pPr>
            <w:r>
              <w:t xml:space="preserve">Small–Medium: primarily a data-and-compute exercise against an already-specified protocol (monograph Sec. 21; Section 4.3 below)</w:t>
            </w:r>
          </w:p>
        </w:tc>
      </w:tr>
      <w:tr>
        <w:tc>
          <w:tcPr/>
          <w:p>
            <w:pPr>
              <w:pStyle w:val="Compact"/>
              <w:jc w:val="left"/>
            </w:pPr>
            <w:r>
              <w:t xml:space="preserve">100M-document load test</w:t>
            </w:r>
          </w:p>
        </w:tc>
        <w:tc>
          <w:tcPr/>
          <w:p>
            <w:pPr>
              <w:pStyle w:val="Compact"/>
              <w:jc w:val="left"/>
            </w:pPr>
            <w:r>
              <w:t xml:space="preserve">Proposed</w:t>
            </w:r>
          </w:p>
        </w:tc>
        <w:tc>
          <w:tcPr/>
          <w:p>
            <w:pPr>
              <w:pStyle w:val="Compact"/>
              <w:jc w:val="left"/>
            </w:pPr>
            <w:r>
              <w:t xml:space="preserve">Medium: bounded, targeted test against the three specific assumptions of Section 2.4, not a full production-scale rehearsal</w:t>
            </w:r>
          </w:p>
        </w:tc>
      </w:tr>
    </w:tbl>
    <w:p>
      <w:pPr>
        <w:pStyle w:val="BodyText"/>
      </w:pPr>
      <w:r>
        <w:rPr>
          <w:bCs/>
          <w:b/>
        </w:rPr>
        <w:t xml:space="preserve">Schedule feasibility verdict.</w:t>
      </w:r>
      <w:r>
        <w:t xml:space="preserve"> </w:t>
      </w:r>
      <w:r>
        <w:t xml:space="preserve">The largest remaining efforts (semantic and image encoder training, full production topology) are exactly the items least load-bearing for the architecture’s</w:t>
      </w:r>
      <w:r>
        <w:t xml:space="preserve"> </w:t>
      </w:r>
      <w:r>
        <w:rPr>
          <w:iCs/>
          <w:i/>
        </w:rPr>
        <w:t xml:space="preserve">central mathematical claims</w:t>
      </w:r>
      <w:r>
        <w:t xml:space="preserve">, which are already Established. This is a favorable schedule shape: the highest-risk, highest-effort work can proceed in parallel with, rather than as a blocking prerequisite to, validating the parts of the system already built — which is precisely the sequencing the recommendation in the Executive Summary and Section 6 reflects.</w:t>
      </w:r>
    </w:p>
    <w:bookmarkEnd w:id="33"/>
    <w:bookmarkEnd w:id="34"/>
    <w:bookmarkStart w:id="35" w:name="risk-register"/>
    <w:p>
      <w:pPr>
        <w:pStyle w:val="Heading2"/>
      </w:pPr>
      <w:r>
        <w:t xml:space="preserve">3. Risk Register</w:t>
      </w:r>
    </w:p>
    <w:p>
      <w:pPr>
        <w:pStyle w:val="FirstParagraph"/>
      </w:pPr>
      <w:r>
        <w:t xml:space="preserve">Table 3 consolidates every open item identified in Section 2 into a single risk register, ranked by the product of impact and the cost of leaving it unresolved before an external commitment (a customer SLA, a regulatory filing, a funding claim) is made on its basis. Each risk is linked to the specific validation activity in Section 4 that would close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Impact if unresolved</w:t>
            </w:r>
          </w:p>
        </w:tc>
        <w:tc>
          <w:tcPr/>
          <w:p>
            <w:pPr>
              <w:pStyle w:val="Compact"/>
              <w:jc w:val="left"/>
            </w:pPr>
            <w:r>
              <w:t xml:space="preserve">Likelihood</w:t>
            </w:r>
          </w:p>
        </w:tc>
        <w:tc>
          <w:tcPr/>
          <w:p>
            <w:pPr>
              <w:pStyle w:val="Compact"/>
              <w:jc w:val="left"/>
            </w:pPr>
            <w:r>
              <w:t xml:space="preserve">Priority</w:t>
            </w:r>
          </w:p>
        </w:tc>
        <w:tc>
          <w:tcPr/>
          <w:p>
            <w:pPr>
              <w:pStyle w:val="Compact"/>
              <w:jc w:val="left"/>
            </w:pPr>
            <w:r>
              <w:t xml:space="preserve">Closes via</w:t>
            </w:r>
          </w:p>
        </w:tc>
      </w:tr>
      <w:tr>
        <w:tc>
          <w:tcPr/>
          <w:p>
            <w:pPr>
              <w:pStyle w:val="Compact"/>
              <w:jc w:val="left"/>
            </w:pPr>
            <w:r>
              <w:t xml:space="preserve">R1</w:t>
            </w:r>
          </w:p>
        </w:tc>
        <w:tc>
          <w:tcPr/>
          <w:p>
            <w:pPr>
              <w:pStyle w:val="Compact"/>
              <w:jc w:val="left"/>
            </w:pPr>
            <w:r>
              <w:t xml:space="preserve">Tenant-isolation claim unaudited (Sec. 2.3)</w:t>
            </w:r>
          </w:p>
        </w:tc>
        <w:tc>
          <w:tcPr/>
          <w:p>
            <w:pPr>
              <w:pStyle w:val="Compact"/>
              <w:jc w:val="left"/>
            </w:pPr>
            <w:r>
              <w:t xml:space="preserve">Severe — cross-tenant data leakage in a regulated-document deployment</w:t>
            </w:r>
          </w:p>
        </w:tc>
        <w:tc>
          <w:tcPr/>
          <w:p>
            <w:pPr>
              <w:pStyle w:val="Compact"/>
              <w:jc w:val="left"/>
            </w:pPr>
            <w:r>
              <w:t xml:space="preserve">Low probability, catastrophic consequence</w:t>
            </w:r>
          </w:p>
        </w:tc>
        <w:tc>
          <w:tcPr/>
          <w:p>
            <w:pPr>
              <w:pStyle w:val="Compact"/>
              <w:jc w:val="left"/>
            </w:pPr>
            <w:r>
              <w:rPr>
                <w:bCs/>
                <w:b/>
              </w:rPr>
              <w:t xml:space="preserve">Critical</w:t>
            </w:r>
          </w:p>
        </w:tc>
        <w:tc>
          <w:tcPr/>
          <w:p>
            <w:pPr>
              <w:pStyle w:val="Compact"/>
              <w:jc w:val="left"/>
            </w:pPr>
            <w:r>
              <w:t xml:space="preserve">Section 4.5 — security audit / isolation fuzzing</w:t>
            </w:r>
          </w:p>
        </w:tc>
      </w:tr>
      <w:tr>
        <w:tc>
          <w:tcPr/>
          <w:p>
            <w:pPr>
              <w:pStyle w:val="Compact"/>
              <w:jc w:val="left"/>
            </w:pPr>
            <w:r>
              <w:t xml:space="preserve">R2</w:t>
            </w:r>
          </w:p>
        </w:tc>
        <w:tc>
          <w:tcPr/>
          <w:p>
            <w:pPr>
              <w:pStyle w:val="Compact"/>
              <w:jc w:val="left"/>
            </w:pPr>
            <w:r>
              <w:t xml:space="preserve">100M-document scalability assumptions unvalidated (Sec. 2.4)</w:t>
            </w:r>
          </w:p>
        </w:tc>
        <w:tc>
          <w:tcPr/>
          <w:p>
            <w:pPr>
              <w:pStyle w:val="Compact"/>
              <w:jc w:val="left"/>
            </w:pPr>
            <w:r>
              <w:t xml:space="preserve">High — committing to a corpus-scale SLA that the reference architecture cannot actually meet</w:t>
            </w:r>
          </w:p>
        </w:tc>
        <w:tc>
          <w:tcPr/>
          <w:p>
            <w:pPr>
              <w:pStyle w:val="Compact"/>
              <w:jc w:val="left"/>
            </w:pPr>
            <w:r>
              <w:t xml:space="preserve">Medium</w:t>
            </w:r>
          </w:p>
        </w:tc>
        <w:tc>
          <w:tcPr/>
          <w:p>
            <w:pPr>
              <w:pStyle w:val="Compact"/>
              <w:jc w:val="left"/>
            </w:pPr>
            <w:r>
              <w:rPr>
                <w:bCs/>
                <w:b/>
              </w:rPr>
              <w:t xml:space="preserve">High</w:t>
            </w:r>
          </w:p>
        </w:tc>
        <w:tc>
          <w:tcPr/>
          <w:p>
            <w:pPr>
              <w:pStyle w:val="Compact"/>
              <w:jc w:val="left"/>
            </w:pPr>
            <w:r>
              <w:t xml:space="preserve">Section 4.4 — bounded load-testing protocol</w:t>
            </w:r>
          </w:p>
        </w:tc>
      </w:tr>
      <w:tr>
        <w:tc>
          <w:tcPr/>
          <w:p>
            <w:pPr>
              <w:pStyle w:val="Compact"/>
              <w:jc w:val="left"/>
            </w:pPr>
            <w:r>
              <w:t xml:space="preserve">R3</w:t>
            </w:r>
          </w:p>
        </w:tc>
        <w:tc>
          <w:tcPr/>
          <w:p>
            <w:pPr>
              <w:pStyle w:val="Compact"/>
              <w:jc w:val="left"/>
            </w:pPr>
            <w:r>
              <w:t xml:space="preserve">Token/latency reduction targets unmeasured (Sec. 2.2)</w:t>
            </w:r>
          </w:p>
        </w:tc>
        <w:tc>
          <w:tcPr/>
          <w:p>
            <w:pPr>
              <w:pStyle w:val="Compact"/>
              <w:jc w:val="left"/>
            </w:pPr>
            <w:r>
              <w:t xml:space="preserve">Medium — economic pitch overstates realized savings if targets are quoted as measured</w:t>
            </w:r>
          </w:p>
        </w:tc>
        <w:tc>
          <w:tcPr/>
          <w:p>
            <w:pPr>
              <w:pStyle w:val="Compact"/>
              <w:jc w:val="left"/>
            </w:pPr>
            <w:r>
              <w:t xml:space="preserve">Medium</w:t>
            </w:r>
          </w:p>
        </w:tc>
        <w:tc>
          <w:tcPr/>
          <w:p>
            <w:pPr>
              <w:pStyle w:val="Compact"/>
              <w:jc w:val="left"/>
            </w:pPr>
            <w:r>
              <w:rPr>
                <w:bCs/>
                <w:b/>
              </w:rPr>
              <w:t xml:space="preserve">High</w:t>
            </w:r>
          </w:p>
        </w:tc>
        <w:tc>
          <w:tcPr/>
          <w:p>
            <w:pPr>
              <w:pStyle w:val="Compact"/>
              <w:jc w:val="left"/>
            </w:pPr>
            <w:r>
              <w:t xml:space="preserve">Section 4.3 — DocVQA/TAT-QA evaluation protocol, extended with cost telemetry</w:t>
            </w:r>
          </w:p>
        </w:tc>
      </w:tr>
      <w:tr>
        <w:tc>
          <w:tcPr/>
          <w:p>
            <w:pPr>
              <w:pStyle w:val="Compact"/>
              <w:jc w:val="left"/>
            </w:pPr>
            <w:r>
              <w:t xml:space="preserve">R4</w:t>
            </w:r>
          </w:p>
        </w:tc>
        <w:tc>
          <w:tcPr/>
          <w:p>
            <w:pPr>
              <w:pStyle w:val="Compact"/>
              <w:jc w:val="left"/>
            </w:pPr>
            <w:r>
              <w:t xml:space="preserve">Semantic engine running on a structurally-verified mock, not a trained encoder (monograph 5.6, 12.7)</w:t>
            </w:r>
          </w:p>
        </w:tc>
        <w:tc>
          <w:tcPr/>
          <w:p>
            <w:pPr>
              <w:pStyle w:val="Compact"/>
              <w:jc w:val="left"/>
            </w:pPr>
            <w:r>
              <w:t xml:space="preserve">High for any multimodal or layout-sensitive query — retrieval quality on real content is unknown</w:t>
            </w:r>
          </w:p>
        </w:tc>
        <w:tc>
          <w:tcPr/>
          <w:p>
            <w:pPr>
              <w:pStyle w:val="Compact"/>
              <w:jc w:val="left"/>
            </w:pPr>
            <w:r>
              <w:t xml:space="preserve">High (currently guaranteed, not merely possible)</w:t>
            </w:r>
          </w:p>
        </w:tc>
        <w:tc>
          <w:tcPr/>
          <w:p>
            <w:pPr>
              <w:pStyle w:val="Compact"/>
              <w:jc w:val="left"/>
            </w:pPr>
            <w:r>
              <w:rPr>
                <w:bCs/>
                <w:b/>
              </w:rPr>
              <w:t xml:space="preserve">High</w:t>
            </w:r>
          </w:p>
        </w:tc>
        <w:tc>
          <w:tcPr/>
          <w:p>
            <w:pPr>
              <w:pStyle w:val="Compact"/>
              <w:jc w:val="left"/>
            </w:pPr>
            <w:r>
              <w:t xml:space="preserve">Section 4.2, item V7 — semantic-quality benchmark once a trained encoder is integrated</w:t>
            </w:r>
          </w:p>
        </w:tc>
      </w:tr>
      <w:tr>
        <w:tc>
          <w:tcPr/>
          <w:p>
            <w:pPr>
              <w:pStyle w:val="Compact"/>
              <w:jc w:val="left"/>
            </w:pPr>
            <w:r>
              <w:t xml:space="preserve">R5</w:t>
            </w:r>
          </w:p>
        </w:tc>
        <w:tc>
          <w:tcPr/>
          <w:p>
            <w:pPr>
              <w:pStyle w:val="Compact"/>
              <w:jc w:val="left"/>
            </w:pPr>
            <w:r>
              <w:t xml:space="preserve">Image/flowchart encoders semantically untrained (monograph 12.3)</w:t>
            </w:r>
          </w:p>
        </w:tc>
        <w:tc>
          <w:tcPr/>
          <w:p>
            <w:pPr>
              <w:pStyle w:val="Compact"/>
              <w:jc w:val="left"/>
            </w:pPr>
            <w:r>
              <w:t xml:space="preserve">Medium — multimodal retrieval quality on figures/diagrams is unknown</w:t>
            </w:r>
          </w:p>
        </w:tc>
        <w:tc>
          <w:tcPr/>
          <w:p>
            <w:pPr>
              <w:pStyle w:val="Compact"/>
              <w:jc w:val="left"/>
            </w:pPr>
            <w:r>
              <w:t xml:space="preserve">High (currently guaranteed)</w:t>
            </w:r>
          </w:p>
        </w:tc>
        <w:tc>
          <w:tcPr/>
          <w:p>
            <w:pPr>
              <w:pStyle w:val="Compact"/>
              <w:jc w:val="left"/>
            </w:pPr>
            <w:r>
              <w:rPr>
                <w:bCs/>
                <w:b/>
              </w:rPr>
              <w:t xml:space="preserve">Medium</w:t>
            </w:r>
          </w:p>
        </w:tc>
        <w:tc>
          <w:tcPr/>
          <w:p>
            <w:pPr>
              <w:pStyle w:val="Compact"/>
              <w:jc w:val="left"/>
            </w:pPr>
            <w:r>
              <w:t xml:space="preserve">Section 4.2, item V8</w:t>
            </w:r>
          </w:p>
        </w:tc>
      </w:tr>
      <w:tr>
        <w:tc>
          <w:tcPr/>
          <w:p>
            <w:pPr>
              <w:pStyle w:val="Compact"/>
              <w:jc w:val="left"/>
            </w:pPr>
            <w:r>
              <w:t xml:space="preserve">R6</w:t>
            </w:r>
          </w:p>
        </w:tc>
        <w:tc>
          <w:tcPr/>
          <w:p>
            <w:pPr>
              <w:pStyle w:val="Compact"/>
              <w:jc w:val="left"/>
            </w:pPr>
            <w:r>
              <w:t xml:space="preserve">Fallback paths (Workflow 5) not failure-injection tested end-to-end (Sec. 2.3)</w:t>
            </w:r>
          </w:p>
        </w:tc>
        <w:tc>
          <w:tcPr/>
          <w:p>
            <w:pPr>
              <w:pStyle w:val="Compact"/>
              <w:jc w:val="left"/>
            </w:pPr>
            <w:r>
              <w:t xml:space="preserve">Medium — an outage may not fail over as designed the first time it occurs in production</w:t>
            </w:r>
          </w:p>
        </w:tc>
        <w:tc>
          <w:tcPr/>
          <w:p>
            <w:pPr>
              <w:pStyle w:val="Compact"/>
              <w:jc w:val="left"/>
            </w:pPr>
            <w:r>
              <w:t xml:space="preserve">Medium</w:t>
            </w:r>
          </w:p>
        </w:tc>
        <w:tc>
          <w:tcPr/>
          <w:p>
            <w:pPr>
              <w:pStyle w:val="Compact"/>
              <w:jc w:val="left"/>
            </w:pPr>
            <w:r>
              <w:rPr>
                <w:bCs/>
                <w:b/>
              </w:rPr>
              <w:t xml:space="preserve">Medium</w:t>
            </w:r>
          </w:p>
        </w:tc>
        <w:tc>
          <w:tcPr/>
          <w:p>
            <w:pPr>
              <w:pStyle w:val="Compact"/>
              <w:jc w:val="left"/>
            </w:pPr>
            <w:r>
              <w:t xml:space="preserve">Section 4.2, item V9 — chaos/failure-injection test suite</w:t>
            </w:r>
          </w:p>
        </w:tc>
      </w:tr>
      <w:tr>
        <w:tc>
          <w:tcPr/>
          <w:p>
            <w:pPr>
              <w:pStyle w:val="Compact"/>
              <w:jc w:val="left"/>
            </w:pPr>
            <w:r>
              <w:t xml:space="preserve">R7</w:t>
            </w:r>
          </w:p>
        </w:tc>
        <w:tc>
          <w:tcPr/>
          <w:p>
            <w:pPr>
              <w:pStyle w:val="Compact"/>
              <w:jc w:val="left"/>
            </w:pPr>
            <w:r>
              <w:t xml:space="preserve">Bandit-router reward calibration against real user satisfaction not yet done (monograph 13.5)</w:t>
            </w:r>
          </w:p>
        </w:tc>
        <w:tc>
          <w:tcPr/>
          <w:p>
            <w:pPr>
              <w:pStyle w:val="Compact"/>
              <w:jc w:val="left"/>
            </w:pPr>
            <w:r>
              <w:t xml:space="preserve">Low–Medium — router may optimize a proxy reward that diverges from actual usefulness</w:t>
            </w:r>
          </w:p>
        </w:tc>
        <w:tc>
          <w:tcPr/>
          <w:p>
            <w:pPr>
              <w:pStyle w:val="Compact"/>
              <w:jc w:val="left"/>
            </w:pPr>
            <w:r>
              <w:t xml:space="preserve">Medium</w:t>
            </w:r>
          </w:p>
        </w:tc>
        <w:tc>
          <w:tcPr/>
          <w:p>
            <w:pPr>
              <w:pStyle w:val="Compact"/>
              <w:jc w:val="left"/>
            </w:pPr>
            <w:r>
              <w:rPr>
                <w:bCs/>
                <w:b/>
              </w:rPr>
              <w:t xml:space="preserve">Medium</w:t>
            </w:r>
          </w:p>
        </w:tc>
        <w:tc>
          <w:tcPr/>
          <w:p>
            <w:pPr>
              <w:pStyle w:val="Compact"/>
              <w:jc w:val="left"/>
            </w:pPr>
            <w:r>
              <w:t xml:space="preserve">Section 4.3, alongside the evaluation protocol</w:t>
            </w:r>
          </w:p>
        </w:tc>
      </w:tr>
      <w:tr>
        <w:tc>
          <w:tcPr/>
          <w:p>
            <w:pPr>
              <w:pStyle w:val="Compact"/>
              <w:jc w:val="left"/>
            </w:pPr>
            <w:r>
              <w:t xml:space="preserve">R8</w:t>
            </w:r>
          </w:p>
        </w:tc>
        <w:tc>
          <w:tcPr/>
          <w:p>
            <w:pPr>
              <w:pStyle w:val="Compact"/>
              <w:jc w:val="left"/>
            </w:pPr>
            <w:r>
              <w:t xml:space="preserve">Operational staffing burden of a 12-engine, 9-stage architecture (Sec. 2.5)</w:t>
            </w:r>
          </w:p>
        </w:tc>
        <w:tc>
          <w:tcPr/>
          <w:p>
            <w:pPr>
              <w:pStyle w:val="Compact"/>
              <w:jc w:val="left"/>
            </w:pPr>
            <w:r>
              <w:t xml:space="preserve">Medium — schedule risk and on-call burden if understaffed relative to system complexity</w:t>
            </w:r>
          </w:p>
        </w:tc>
        <w:tc>
          <w:tcPr/>
          <w:p>
            <w:pPr>
              <w:pStyle w:val="Compact"/>
              <w:jc w:val="left"/>
            </w:pPr>
            <w:r>
              <w:t xml:space="preserve">Medium</w:t>
            </w:r>
          </w:p>
        </w:tc>
        <w:tc>
          <w:tcPr/>
          <w:p>
            <w:pPr>
              <w:pStyle w:val="Compact"/>
              <w:jc w:val="left"/>
            </w:pPr>
            <w:r>
              <w:rPr>
                <w:bCs/>
                <w:b/>
              </w:rPr>
              <w:t xml:space="preserve">Medium</w:t>
            </w:r>
          </w:p>
        </w:tc>
        <w:tc>
          <w:tcPr/>
          <w:p>
            <w:pPr>
              <w:pStyle w:val="Compact"/>
              <w:jc w:val="left"/>
            </w:pPr>
            <w:r>
              <w:t xml:space="preserve">Section 5 (schedule) informs staffing plan; not closed by a test</w:t>
            </w:r>
          </w:p>
        </w:tc>
      </w:tr>
      <w:tr>
        <w:tc>
          <w:tcPr/>
          <w:p>
            <w:pPr>
              <w:pStyle w:val="Compact"/>
              <w:jc w:val="left"/>
            </w:pPr>
            <w:r>
              <w:t xml:space="preserve">R9</w:t>
            </w:r>
          </w:p>
        </w:tc>
        <w:tc>
          <w:tcPr/>
          <w:p>
            <w:pPr>
              <w:pStyle w:val="Compact"/>
              <w:jc w:val="left"/>
            </w:pPr>
            <w:r>
              <w:t xml:space="preserve">Topology engine and a handful of Wave-4 engines remain unimplemented proposals (monograph 5.4, 23)</w:t>
            </w:r>
          </w:p>
        </w:tc>
        <w:tc>
          <w:tcPr/>
          <w:p>
            <w:pPr>
              <w:pStyle w:val="Compact"/>
              <w:jc w:val="left"/>
            </w:pPr>
            <w:r>
              <w:t xml:space="preserve">Low — these are not on the critical path for the monograph’s central claims</w:t>
            </w:r>
          </w:p>
        </w:tc>
        <w:tc>
          <w:tcPr/>
          <w:p>
            <w:pPr>
              <w:pStyle w:val="Compact"/>
              <w:jc w:val="left"/>
            </w:pPr>
            <w:r>
              <w:t xml:space="preserve">Low</w:t>
            </w:r>
          </w:p>
        </w:tc>
        <w:tc>
          <w:tcPr/>
          <w:p>
            <w:pPr>
              <w:pStyle w:val="Compact"/>
              <w:jc w:val="left"/>
            </w:pPr>
            <w:r>
              <w:rPr>
                <w:bCs/>
                <w:b/>
              </w:rPr>
              <w:t xml:space="preserve">Low</w:t>
            </w:r>
          </w:p>
        </w:tc>
        <w:tc>
          <w:tcPr/>
          <w:p>
            <w:pPr>
              <w:pStyle w:val="Compact"/>
              <w:jc w:val="left"/>
            </w:pPr>
            <w:r>
              <w:t xml:space="preserve">Deferred; tracked in Appendix A open-items register</w:t>
            </w:r>
          </w:p>
        </w:tc>
      </w:tr>
    </w:tbl>
    <w:p>
      <w:pPr>
        <w:pStyle w:val="BodyText"/>
      </w:pPr>
      <w:r>
        <w:rPr>
          <w:bCs/>
          <w:b/>
        </w:rPr>
        <w:t xml:space="preserve">Reading the priority column.</w:t>
      </w:r>
      <w:r>
        <w:t xml:space="preserve"> </w:t>
      </w:r>
      <w:r>
        <w:t xml:space="preserve">Critical and High items (R1–R4) are the ones this report’s Section 6 recommendation gates external commitments on. Medium items (R5–R8) are real but do not, on their own, block a conditional go — they should be tracked and resourced but are not showstoppers for beginning production build-out in parallel. Low items (R9) are explicitly out of scope for near-term validation effort, consistent with their status as non-critical-path in the monograph itself.</w:t>
      </w:r>
    </w:p>
    <w:bookmarkEnd w:id="35"/>
    <w:bookmarkStart w:id="43" w:name="validation-and-verification-plan"/>
    <w:p>
      <w:pPr>
        <w:pStyle w:val="Heading2"/>
      </w:pPr>
      <w:r>
        <w:t xml:space="preserve">4. Validation and Verification Plan</w:t>
      </w:r>
    </w:p>
    <w:bookmarkStart w:id="36" w:name="X2da3c6a3d0762db2644166566bfa9cbc7f7cbe9"/>
    <w:p>
      <w:pPr>
        <w:pStyle w:val="Heading3"/>
      </w:pPr>
      <w:r>
        <w:t xml:space="preserve">4.1 Verification vs. Validation: Definitions Used in This Report</w:t>
      </w:r>
    </w:p>
    <w:p>
      <w:pPr>
        <w:pStyle w:val="FirstParagraph"/>
      </w:pPr>
      <w:r>
        <w:t xml:space="preserve">Consistent with standard systems-engineering usage and with Figure 6:</w:t>
      </w:r>
      <w:r>
        <w:t xml:space="preserve"> </w:t>
      </w:r>
      <w:r>
        <w:rPr>
          <w:bCs/>
          <w:b/>
        </w:rPr>
        <w:t xml:space="preserve">verification</w:t>
      </w:r>
      <w:r>
        <w:t xml:space="preserve"> </w:t>
      </w:r>
      <w:r>
        <w:t xml:space="preserve">asks whether a component matches its own specification (</w:t>
      </w:r>
      <w:r>
        <w:t xml:space="preserve">“</w:t>
      </w:r>
      <w:r>
        <w:t xml:space="preserve">did we build the thing right?</w:t>
      </w:r>
      <w:r>
        <w:t xml:space="preserve">”</w:t>
      </w:r>
      <w:r>
        <w:t xml:space="preserve">) — the question monograph Sections 11–12 already answer, with evidence, for the four Established-tier components.</w:t>
      </w:r>
      <w:r>
        <w:t xml:space="preserve"> </w:t>
      </w:r>
      <w:r>
        <w:rPr>
          <w:bCs/>
          <w:b/>
        </w:rPr>
        <w:t xml:space="preserve">Validation</w:t>
      </w:r>
      <w:r>
        <w:t xml:space="preserve"> </w:t>
      </w:r>
      <w:r>
        <w:t xml:space="preserve">asks whether the assembled system solves the real problem it was built for (</w:t>
      </w:r>
      <w:r>
        <w:t xml:space="preserve">“</w:t>
      </w:r>
      <w:r>
        <w:t xml:space="preserve">did we build the right thing?</w:t>
      </w:r>
      <w:r>
        <w:t xml:space="preserve">”</w:t>
      </w:r>
      <w:r>
        <w:t xml:space="preserve">) — a question that requires real or realistic documents, real queries, and a ground truth to compare against, which is precisely what the monograph’s own Section 21 proposes but has not yet executed. This report’s contribution is to organize both into a single trackable plan and to extend the monograph’s evaluation protocol with the operational and security validation activities (V7–V9 below) that a pure accuracy-benchmark protocol does not cover.</w:t>
      </w:r>
    </w:p>
    <w:bookmarkEnd w:id="36"/>
    <w:bookmarkStart w:id="37" w:name="verification-matrix"/>
    <w:p>
      <w:pPr>
        <w:pStyle w:val="Heading3"/>
      </w:pPr>
      <w:r>
        <w:t xml:space="preserve">4.2 Verification Matrix</w:t>
      </w:r>
    </w:p>
    <w:p>
      <w:pPr>
        <w:pStyle w:val="FirstParagraph"/>
      </w:pPr>
      <w:r>
        <w:t xml:space="preserve">Table 4 is the master verification matrix: every component from Section 2.1’s feasibility table, its current verification method, and — for anything short of Established — the specific next verification step that would close the gap. Items V1–V4 restate monograph Section 11’s already-passing tests for traceability; items V5–V9 are net-new verification activities this report proposes.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Component</w:t>
            </w:r>
          </w:p>
        </w:tc>
        <w:tc>
          <w:tcPr/>
          <w:p>
            <w:pPr>
              <w:pStyle w:val="Compact"/>
              <w:jc w:val="left"/>
            </w:pPr>
            <w:r>
              <w:t xml:space="preserve">Current verification</w:t>
            </w:r>
          </w:p>
        </w:tc>
        <w:tc>
          <w:tcPr/>
          <w:p>
            <w:pPr>
              <w:pStyle w:val="Compact"/>
              <w:jc w:val="left"/>
            </w:pPr>
            <w:r>
              <w:t xml:space="preserve">Status</w:t>
            </w:r>
          </w:p>
        </w:tc>
        <w:tc>
          <w:tcPr/>
          <w:p>
            <w:pPr>
              <w:pStyle w:val="Compact"/>
              <w:jc w:val="left"/>
            </w:pPr>
            <w:r>
              <w:t xml:space="preserve">Next step if not Established</w:t>
            </w:r>
          </w:p>
        </w:tc>
      </w:tr>
      <w:tr>
        <w:tc>
          <w:tcPr/>
          <w:p>
            <w:pPr>
              <w:pStyle w:val="Compact"/>
              <w:jc w:val="left"/>
            </w:pPr>
            <w:r>
              <w:t xml:space="preserve">V1</w:t>
            </w:r>
          </w:p>
        </w:tc>
        <w:tc>
          <w:tcPr/>
          <w:p>
            <w:pPr>
              <w:pStyle w:val="Compact"/>
              <w:jc w:val="left"/>
            </w:pPr>
            <w:r>
              <w:t xml:space="preserve">Reading-order recovery</w:t>
            </w:r>
          </w:p>
        </w:tc>
        <w:tc>
          <w:tcPr/>
          <w:p>
            <w:pPr>
              <w:pStyle w:val="Compact"/>
              <w:jc w:val="left"/>
            </w:pPr>
            <w:r>
              <w:t xml:space="preserve">16-node dense-grid stress test; input-order-invariance test</w:t>
            </w:r>
          </w:p>
        </w:tc>
        <w:tc>
          <w:tcPr/>
          <w:p>
            <w:pPr>
              <w:pStyle w:val="Compact"/>
              <w:jc w:val="left"/>
            </w:pPr>
            <w:r>
              <w:t xml:space="preserve">Established</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Elastic chunking</w:t>
            </w:r>
          </w:p>
        </w:tc>
        <w:tc>
          <w:tcPr/>
          <w:p>
            <w:pPr>
              <w:pStyle w:val="Compact"/>
              <w:jc w:val="left"/>
            </w:pPr>
            <w:r>
              <w:t xml:space="preserve">4 per-rule unit tests (monograph 11.3)</w:t>
            </w:r>
          </w:p>
        </w:tc>
        <w:tc>
          <w:tcPr/>
          <w:p>
            <w:pPr>
              <w:pStyle w:val="Compact"/>
              <w:jc w:val="left"/>
            </w:pPr>
            <w:r>
              <w:t xml:space="preserve">Established</w:t>
            </w:r>
          </w:p>
        </w:tc>
        <w:tc>
          <w:tcPr/>
          <w:p>
            <w:pPr>
              <w:pStyle w:val="Compact"/>
              <w:jc w:val="left"/>
            </w:pPr>
            <w:r>
              <w:t xml:space="preserve">—</w:t>
            </w:r>
          </w:p>
        </w:tc>
      </w:tr>
      <w:tr>
        <w:tc>
          <w:tcPr/>
          <w:p>
            <w:pPr>
              <w:pStyle w:val="Compact"/>
              <w:jc w:val="left"/>
            </w:pPr>
            <w:r>
              <w:t xml:space="preserve">V3</w:t>
            </w:r>
          </w:p>
        </w:tc>
        <w:tc>
          <w:tcPr/>
          <w:p>
            <w:pPr>
              <w:pStyle w:val="Compact"/>
              <w:jc w:val="left"/>
            </w:pPr>
            <w:r>
              <w:t xml:space="preserve">Exact knapsack packer</w:t>
            </w:r>
          </w:p>
        </w:tc>
        <w:tc>
          <w:tcPr/>
          <w:p>
            <w:pPr>
              <w:pStyle w:val="Compact"/>
              <w:jc w:val="left"/>
            </w:pPr>
            <w:r>
              <w:t xml:space="preserve">Brute-force match on small-N synthetic instances</w:t>
            </w:r>
          </w:p>
        </w:tc>
        <w:tc>
          <w:tcPr/>
          <w:p>
            <w:pPr>
              <w:pStyle w:val="Compact"/>
              <w:jc w:val="left"/>
            </w:pPr>
            <w:r>
              <w:t xml:space="preserve">Established</w:t>
            </w:r>
          </w:p>
        </w:tc>
        <w:tc>
          <w:tcPr/>
          <w:p>
            <w:pPr>
              <w:pStyle w:val="Compact"/>
              <w:jc w:val="left"/>
            </w:pPr>
            <w:r>
              <w:t xml:space="preserve">—</w:t>
            </w:r>
          </w:p>
        </w:tc>
      </w:tr>
      <w:tr>
        <w:tc>
          <w:tcPr/>
          <w:p>
            <w:pPr>
              <w:pStyle w:val="Compact"/>
              <w:jc w:val="left"/>
            </w:pPr>
            <w:r>
              <w:t xml:space="preserve">V4</w:t>
            </w:r>
          </w:p>
        </w:tc>
        <w:tc>
          <w:tcPr/>
          <w:p>
            <w:pPr>
              <w:pStyle w:val="Compact"/>
              <w:jc w:val="left"/>
            </w:pPr>
            <w:r>
              <w:t xml:space="preserve">Greedy fallback</w:t>
            </w:r>
          </w:p>
        </w:tc>
        <w:tc>
          <w:tcPr/>
          <w:p>
            <w:pPr>
              <w:pStyle w:val="Compact"/>
              <w:jc w:val="left"/>
            </w:pPr>
            <w:r>
              <w:t xml:space="preserve">Forced-fallback hard-budget compliance test</w:t>
            </w:r>
          </w:p>
        </w:tc>
        <w:tc>
          <w:tcPr/>
          <w:p>
            <w:pPr>
              <w:pStyle w:val="Compact"/>
              <w:jc w:val="left"/>
            </w:pPr>
            <w:r>
              <w:t xml:space="preserve">Established</w:t>
            </w:r>
          </w:p>
        </w:tc>
        <w:tc>
          <w:tcPr/>
          <w:p>
            <w:pPr>
              <w:pStyle w:val="Compact"/>
              <w:jc w:val="left"/>
            </w:pPr>
            <w:r>
              <w:t xml:space="preserve">—</w:t>
            </w:r>
          </w:p>
        </w:tc>
      </w:tr>
      <w:tr>
        <w:tc>
          <w:tcPr/>
          <w:p>
            <w:pPr>
              <w:pStyle w:val="Compact"/>
              <w:jc w:val="left"/>
            </w:pPr>
            <w:r>
              <w:t xml:space="preserve">V5</w:t>
            </w:r>
          </w:p>
        </w:tc>
        <w:tc>
          <w:tcPr/>
          <w:p>
            <w:pPr>
              <w:pStyle w:val="Compact"/>
              <w:jc w:val="left"/>
            </w:pPr>
            <w:r>
              <w:t xml:space="preserve">Multi-choice knapsack / Lagrangian relaxation</w:t>
            </w:r>
          </w:p>
        </w:tc>
        <w:tc>
          <w:tcPr/>
          <w:p>
            <w:pPr>
              <w:pStyle w:val="Compact"/>
              <w:jc w:val="left"/>
            </w:pPr>
            <w:r>
              <w:t xml:space="preserve">Brute-force match / weak-duality sandwich on synthetic instances</w:t>
            </w:r>
          </w:p>
        </w:tc>
        <w:tc>
          <w:tcPr/>
          <w:p>
            <w:pPr>
              <w:pStyle w:val="Compact"/>
              <w:jc w:val="left"/>
            </w:pPr>
            <w:r>
              <w:t xml:space="preserve">Demonstrated-at-small-scale</w:t>
            </w:r>
          </w:p>
        </w:tc>
        <w:tc>
          <w:tcPr/>
          <w:p>
            <w:pPr>
              <w:pStyle w:val="Compact"/>
              <w:jc w:val="left"/>
            </w:pPr>
            <w:r>
              <w:t xml:space="preserve">Re-run against realistic multimodal document instances (hundreds of assets, thousands of tiers) with runtime and memory profiling</w:t>
            </w:r>
          </w:p>
        </w:tc>
      </w:tr>
      <w:tr>
        <w:tc>
          <w:tcPr/>
          <w:p>
            <w:pPr>
              <w:pStyle w:val="Compact"/>
              <w:jc w:val="left"/>
            </w:pPr>
            <w:r>
              <w:t xml:space="preserve">V6</w:t>
            </w:r>
          </w:p>
        </w:tc>
        <w:tc>
          <w:tcPr/>
          <w:p>
            <w:pPr>
              <w:pStyle w:val="Compact"/>
              <w:jc w:val="left"/>
            </w:pPr>
            <w:r>
              <w:t xml:space="preserve">Spectral embedder / hitting-time score</w:t>
            </w:r>
          </w:p>
        </w:tc>
        <w:tc>
          <w:tcPr/>
          <w:p>
            <w:pPr>
              <w:pStyle w:val="Compact"/>
              <w:jc w:val="left"/>
            </w:pPr>
            <w:r>
              <w:t xml:space="preserve">Synthetic block-diagonal / path-graph tests</w:t>
            </w:r>
          </w:p>
        </w:tc>
        <w:tc>
          <w:tcPr/>
          <w:p>
            <w:pPr>
              <w:pStyle w:val="Compact"/>
              <w:jc w:val="left"/>
            </w:pPr>
            <w:r>
              <w:t xml:space="preserve">Demonstrated-at-small-scale</w:t>
            </w:r>
          </w:p>
        </w:tc>
        <w:tc>
          <w:tcPr/>
          <w:p>
            <w:pPr>
              <w:pStyle w:val="Compact"/>
              <w:jc w:val="left"/>
            </w:pPr>
            <w:r>
              <w:t xml:space="preserve">Re-run against real document structural graphs with known (human-annotated) cluster ground truth</w:t>
            </w:r>
          </w:p>
        </w:tc>
      </w:tr>
      <w:tr>
        <w:tc>
          <w:tcPr/>
          <w:p>
            <w:pPr>
              <w:pStyle w:val="Compact"/>
              <w:jc w:val="left"/>
            </w:pPr>
            <w:r>
              <w:t xml:space="preserve">V7</w:t>
            </w:r>
          </w:p>
        </w:tc>
        <w:tc>
          <w:tcPr/>
          <w:p>
            <w:pPr>
              <w:pStyle w:val="Compact"/>
              <w:jc w:val="left"/>
            </w:pPr>
            <w:r>
              <w:t xml:space="preserve">Semantic engine</w:t>
            </w:r>
          </w:p>
        </w:tc>
        <w:tc>
          <w:tcPr/>
          <w:p>
            <w:pPr>
              <w:pStyle w:val="Compact"/>
              <w:jc w:val="left"/>
            </w:pPr>
            <w:r>
              <w:t xml:space="preserve">Structural-verification only (embedding shape, dimensionality)</w:t>
            </w:r>
          </w:p>
        </w:tc>
        <w:tc>
          <w:tcPr/>
          <w:p>
            <w:pPr>
              <w:pStyle w:val="Compact"/>
              <w:jc w:val="left"/>
            </w:pPr>
            <w:r>
              <w:t xml:space="preserve">Proposed</w:t>
            </w:r>
          </w:p>
        </w:tc>
        <w:tc>
          <w:tcPr/>
          <w:p>
            <w:pPr>
              <w:pStyle w:val="Compact"/>
              <w:jc w:val="left"/>
            </w:pPr>
            <w:r>
              <w:t xml:space="preserve">Integrate a trained LayoutLMv3-class encoder; run the retrieval-precision benchmark of Section 4.3 with the trained encoder swapped in, A/B against the mock</w:t>
            </w:r>
          </w:p>
        </w:tc>
      </w:tr>
      <w:tr>
        <w:tc>
          <w:tcPr/>
          <w:p>
            <w:pPr>
              <w:pStyle w:val="Compact"/>
              <w:jc w:val="left"/>
            </w:pPr>
            <w:r>
              <w:t xml:space="preserve">V8</w:t>
            </w:r>
          </w:p>
        </w:tc>
        <w:tc>
          <w:tcPr/>
          <w:p>
            <w:pPr>
              <w:pStyle w:val="Compact"/>
              <w:jc w:val="left"/>
            </w:pPr>
            <w:r>
              <w:t xml:space="preserve">Image / flowchart encoders</w:t>
            </w:r>
          </w:p>
        </w:tc>
        <w:tc>
          <w:tcPr/>
          <w:p>
            <w:pPr>
              <w:pStyle w:val="Compact"/>
              <w:jc w:val="left"/>
            </w:pPr>
            <w:r>
              <w:t xml:space="preserve">Structural-verification only</w:t>
            </w:r>
          </w:p>
        </w:tc>
        <w:tc>
          <w:tcPr/>
          <w:p>
            <w:pPr>
              <w:pStyle w:val="Compact"/>
              <w:jc w:val="left"/>
            </w:pPr>
            <w:r>
              <w:t xml:space="preserve">Proposed</w:t>
            </w:r>
          </w:p>
        </w:tc>
        <w:tc>
          <w:tcPr/>
          <w:p>
            <w:pPr>
              <w:pStyle w:val="Compact"/>
              <w:jc w:val="left"/>
            </w:pPr>
            <w:r>
              <w:t xml:space="preserve">Acquire or license a labeled diagram/figure corpus; train; run a multimodal-retrieval precision benchmark analogous to V7</w:t>
            </w:r>
          </w:p>
        </w:tc>
      </w:tr>
      <w:tr>
        <w:tc>
          <w:tcPr/>
          <w:p>
            <w:pPr>
              <w:pStyle w:val="Compact"/>
              <w:jc w:val="left"/>
            </w:pPr>
            <w:r>
              <w:t xml:space="preserve">V9</w:t>
            </w:r>
          </w:p>
        </w:tc>
        <w:tc>
          <w:tcPr/>
          <w:p>
            <w:pPr>
              <w:pStyle w:val="Compact"/>
              <w:jc w:val="left"/>
            </w:pPr>
            <w:r>
              <w:t xml:space="preserve">End-to-end fallback paths (Workflow 5)</w:t>
            </w:r>
          </w:p>
        </w:tc>
        <w:tc>
          <w:tcPr/>
          <w:p>
            <w:pPr>
              <w:pStyle w:val="Compact"/>
              <w:jc w:val="left"/>
            </w:pPr>
            <w:r>
              <w:t xml:space="preserve">Individual fallback conditions specified and unit-testable; no end-to-end injection test reported</w:t>
            </w:r>
          </w:p>
        </w:tc>
        <w:tc>
          <w:tcPr/>
          <w:p>
            <w:pPr>
              <w:pStyle w:val="Compact"/>
              <w:jc w:val="left"/>
            </w:pPr>
            <w:r>
              <w:t xml:space="preserve">Demonstrated-at-small-scale</w:t>
            </w:r>
          </w:p>
        </w:tc>
        <w:tc>
          <w:tcPr/>
          <w:p>
            <w:pPr>
              <w:pStyle w:val="Compact"/>
              <w:jc w:val="left"/>
            </w:pPr>
            <w:r>
              <w:t xml:space="preserve">Chaos-engineering-style failure-injection suite: kill the vector database, force an LLM timeout, force a consumer-lag condition, and confirm each documented fallback activates within its stated latency budget</w:t>
            </w:r>
          </w:p>
        </w:tc>
      </w:tr>
      <w:tr>
        <w:tc>
          <w:tcPr/>
          <w:p>
            <w:pPr>
              <w:pStyle w:val="Compact"/>
              <w:jc w:val="left"/>
            </w:pPr>
            <w:r>
              <w:t xml:space="preserve">V10</w:t>
            </w:r>
          </w:p>
        </w:tc>
        <w:tc>
          <w:tcPr/>
          <w:p>
            <w:pPr>
              <w:pStyle w:val="Compact"/>
              <w:jc w:val="left"/>
            </w:pPr>
            <w:r>
              <w:t xml:space="preserve">Tenant isolation</w:t>
            </w:r>
          </w:p>
        </w:tc>
        <w:tc>
          <w:tcPr/>
          <w:p>
            <w:pPr>
              <w:pStyle w:val="Compact"/>
              <w:jc w:val="left"/>
            </w:pPr>
            <w:r>
              <w:t xml:space="preserve">Design specified (row-level security at three independent layers); no audit reported</w:t>
            </w:r>
          </w:p>
        </w:tc>
        <w:tc>
          <w:tcPr/>
          <w:p>
            <w:pPr>
              <w:pStyle w:val="Compact"/>
              <w:jc w:val="left"/>
            </w:pPr>
            <w:r>
              <w:t xml:space="preserve">Proposed</w:t>
            </w:r>
          </w:p>
        </w:tc>
        <w:tc>
          <w:tcPr/>
          <w:p>
            <w:pPr>
              <w:pStyle w:val="Compact"/>
              <w:jc w:val="left"/>
            </w:pPr>
            <w:r>
              <w:t xml:space="preserve">Third-party security audit or internal red-team exercise specifically targeting cross-tenant data leakage via each of the three enforcement layers independently</w:t>
            </w:r>
          </w:p>
        </w:tc>
      </w:tr>
      <w:tr>
        <w:tc>
          <w:tcPr/>
          <w:p>
            <w:pPr>
              <w:pStyle w:val="Compact"/>
              <w:jc w:val="left"/>
            </w:pPr>
            <w:r>
              <w:t xml:space="preserve">V11</w:t>
            </w:r>
          </w:p>
        </w:tc>
        <w:tc>
          <w:tcPr/>
          <w:p>
            <w:pPr>
              <w:pStyle w:val="Compact"/>
              <w:jc w:val="left"/>
            </w:pPr>
            <w:r>
              <w:t xml:space="preserve">Automated regression suite</w:t>
            </w:r>
          </w:p>
        </w:tc>
        <w:tc>
          <w:tcPr/>
          <w:p>
            <w:pPr>
              <w:pStyle w:val="Compact"/>
              <w:jc w:val="left"/>
            </w:pPr>
            <w:r>
              <w:t xml:space="preserve">18/18 passing</w:t>
            </w:r>
          </w:p>
        </w:tc>
        <w:tc>
          <w:tcPr/>
          <w:p>
            <w:pPr>
              <w:pStyle w:val="Compact"/>
              <w:jc w:val="left"/>
            </w:pPr>
            <w:r>
              <w:t xml:space="preserve">Established</w:t>
            </w:r>
          </w:p>
        </w:tc>
        <w:tc>
          <w:tcPr/>
          <w:p>
            <w:pPr>
              <w:pStyle w:val="Compact"/>
              <w:jc w:val="left"/>
            </w:pPr>
            <w:r>
              <w:t xml:space="preserve">Extend to cover V5–V10 as each reaches Established, per Section 11.6’s stated intent that the suite is a regression gate for future changes</w:t>
            </w:r>
          </w:p>
        </w:tc>
      </w:tr>
    </w:tbl>
    <w:bookmarkEnd w:id="37"/>
    <w:bookmarkStart w:id="38" w:name="X9a30ab861cd43d4a9286471df11d2d22b5f1bfc"/>
    <w:p>
      <w:pPr>
        <w:pStyle w:val="Heading3"/>
      </w:pPr>
      <w:r>
        <w:t xml:space="preserve">4.3 System-Level Validation: Benchmark Protocol</w:t>
      </w:r>
    </w:p>
    <w:p>
      <w:pPr>
        <w:pStyle w:val="FirstParagraph"/>
      </w:pPr>
      <w:r>
        <w:t xml:space="preserve">This report adopts the monograph’s Section 21 evaluation protocol in full (DocVQA and TAT-QA benchmarks; naive-chunking, pre-hardening, and full-architecture baselines; the SPS, TER, and RHM metrics) and extends it with two additions specific to this report’s feasibility concerns:</w:t>
      </w:r>
    </w:p>
    <w:p>
      <w:pPr>
        <w:numPr>
          <w:ilvl w:val="0"/>
          <w:numId w:val="1002"/>
        </w:numPr>
        <w:pStyle w:val="Compact"/>
      </w:pPr>
      <w:r>
        <w:rPr>
          <w:bCs/>
          <w:b/>
        </w:rPr>
        <w:t xml:space="preserve">Cost telemetry alongside accuracy.</w:t>
      </w:r>
      <w:r>
        <w:t xml:space="preserve"> </w:t>
      </w:r>
      <w:r>
        <w:t xml:space="preserve">Every benchmark run should report realized token count, latency, and memory footprint (monograph Section 16’s TC, L, MC quantities) alongside SPS/TER/RHM, specifically so that the token- and latency-reduction targets of Table 5 (R3 in the risk register) are measured as a byproduct of the same run that measures accuracy — closing R3 does not require a separate cost-focused study.</w:t>
      </w:r>
    </w:p>
    <w:p>
      <w:pPr>
        <w:numPr>
          <w:ilvl w:val="0"/>
          <w:numId w:val="1002"/>
        </w:numPr>
        <w:pStyle w:val="Compact"/>
      </w:pPr>
      <w:r>
        <w:rPr>
          <w:bCs/>
          <w:b/>
        </w:rPr>
        <w:t xml:space="preserve">Router-reward alignment check.</w:t>
      </w:r>
      <w:r>
        <w:t xml:space="preserve"> </w:t>
      </w:r>
      <w:r>
        <w:t xml:space="preserve">Where the contextual-bandit router (monograph Section 13) is active during a benchmark run, log its per-query arm selection alongside the benchmark’s own accuracy judgment for that query, and compare the router’s realized composite reward (accuracy minus cost penalty, per monograph 13.3) against the benchmark’s independent accuracy score. A systematic divergence between the two would indicate the router’s proxy reward is not well-aligned with actual answer quality (R7), which is otherwise not detectable from the router’s own convergence test (monograph 13.5) alone.</w:t>
      </w:r>
    </w:p>
    <w:bookmarkEnd w:id="38"/>
    <w:bookmarkStart w:id="39" w:name="Xb03bc6dc914639616d4c5903269f2368af00637"/>
    <w:p>
      <w:pPr>
        <w:pStyle w:val="Heading3"/>
      </w:pPr>
      <w:r>
        <w:t xml:space="preserve">4.4 Scalability Validation: Bounded Load-Testing Protocol</w:t>
      </w:r>
    </w:p>
    <w:p>
      <w:pPr>
        <w:pStyle w:val="FirstParagraph"/>
      </w:pPr>
      <w:r>
        <w:t xml:space="preserve">Rather than a full production-scale rehearsal, this report proposes a targeted load test scoped exactly to the three unvalidated assumptions of Section 2.4, on the reasoning that a bounded test answering a specific question is both cheaper and more diagnostic than an unscoped</w:t>
      </w:r>
      <w:r>
        <w:t xml:space="preserve"> </w:t>
      </w:r>
      <w:r>
        <w:t xml:space="preserve">“</w:t>
      </w:r>
      <w:r>
        <w:t xml:space="preserve">scale test</w:t>
      </w:r>
      <w:r>
        <w:t xml:space="preserve">”</w:t>
      </w:r>
      <w:r>
        <w:t xml:space="preserve">:</w:t>
      </w:r>
    </w:p>
    <w:p>
      <w:pPr>
        <w:numPr>
          <w:ilvl w:val="0"/>
          <w:numId w:val="1003"/>
        </w:numPr>
        <w:pStyle w:val="Compact"/>
      </w:pPr>
      <w:r>
        <w:rPr>
          <w:bCs/>
          <w:b/>
        </w:rPr>
        <w:t xml:space="preserve">ANN sub-linearity check.</w:t>
      </w:r>
      <w:r>
        <w:t xml:space="preserve"> </w:t>
      </w:r>
      <w:r>
        <w:t xml:space="preserve">Build an index at three geometrically-spaced sizes (e.g., 1M, 10M, 100M synthetic or de-identified real document embeddings at the architecture’s actual configured dimensionality and metadata-filter setup) and measure query latency at each; sub-linear scaling should show latency growth well below linear in index size across the three points.</w:t>
      </w:r>
    </w:p>
    <w:p>
      <w:pPr>
        <w:numPr>
          <w:ilvl w:val="0"/>
          <w:numId w:val="1003"/>
        </w:numPr>
        <w:pStyle w:val="Compact"/>
      </w:pPr>
      <w:r>
        <w:rPr>
          <w:bCs/>
          <w:b/>
        </w:rPr>
        <w:t xml:space="preserve">Tenant-filter latency check.</w:t>
      </w:r>
      <w:r>
        <w:t xml:space="preserve"> </w:t>
      </w:r>
      <w:r>
        <w:t xml:space="preserve">At fixed index size, vary tenant count and per-tenant filter granularity and measure the marginal latency contribution of row-level security filtering in isolation from the underlying ANN search, to confirm it does not become the dominant cost as tenant count grows.</w:t>
      </w:r>
    </w:p>
    <w:p>
      <w:pPr>
        <w:numPr>
          <w:ilvl w:val="0"/>
          <w:numId w:val="1003"/>
        </w:numPr>
        <w:pStyle w:val="Compact"/>
      </w:pPr>
      <w:r>
        <w:rPr>
          <w:bCs/>
          <w:b/>
        </w:rPr>
        <w:t xml:space="preserve">Ingestion throughput bottleneck localization.</w:t>
      </w:r>
      <w:r>
        <w:t xml:space="preserve"> </w:t>
      </w:r>
      <w:r>
        <w:t xml:space="preserve">Run the batch-ingestion path (monograph Workflow 6) against a representative document mix at increasing worker counts within the stated 100–1,000 range, instrumented per-stage (per Section 19.5’s observability plan), to identify empirically whether the twelve-engine transformation stage or the storage-write stage saturates first.</w:t>
      </w:r>
    </w:p>
    <w:p>
      <w:pPr>
        <w:pStyle w:val="FirstParagraph"/>
      </w:pPr>
      <w:r>
        <w:t xml:space="preserve">Each of the three sub-tests is independently schedulable and does not require the others to be complete first, allowing this validation activity to proceed in parallel with the semantic/image-encoder training work of Section 2.5’s schedule table.</w:t>
      </w:r>
    </w:p>
    <w:bookmarkEnd w:id="39"/>
    <w:bookmarkStart w:id="40" w:name="security-validation"/>
    <w:p>
      <w:pPr>
        <w:pStyle w:val="Heading3"/>
      </w:pPr>
      <w:r>
        <w:t xml:space="preserve">4.5 Security Validation</w:t>
      </w:r>
    </w:p>
    <w:p>
      <w:pPr>
        <w:pStyle w:val="FirstParagraph"/>
      </w:pPr>
      <w:r>
        <w:t xml:space="preserve">Tenant-isolation validation (V10) should be scoped as an explicit adversarial exercise, not a design review: an auditor or internal red team should attempt to retrieve another tenant’s content through each of the three independently-enforced isolation layers (lexical index, vector index, relational metadata store) separately, and additionally attempt to force a cross-tenant hit via the Tier 2 semantic cache specifically, since monograph Section 17.3 singles out semantic-cache tenant-scoping as a distinct mechanism from the storage-layer row-level security and it should be validated as such rather than assumed to inherit the storage layer’s guarantee automatically.</w:t>
      </w:r>
    </w:p>
    <w:bookmarkEnd w:id="40"/>
    <w:bookmarkStart w:id="41" w:name="acceptance-criteria"/>
    <w:p>
      <w:pPr>
        <w:pStyle w:val="Heading3"/>
      </w:pPr>
      <w:r>
        <w:t xml:space="preserve">4.6 Acceptance Criteria</w:t>
      </w:r>
    </w:p>
    <w:p>
      <w:pPr>
        <w:pStyle w:val="FirstParagraph"/>
      </w:pPr>
      <w:r>
        <w:t xml:space="preserve">Table 5 states the acceptance thresholds this report recommends for treating each Critical/High risk (Section 3) as closed. These are proposed thresholds for this validation exercise, not a restatement of the monograph’s own architectural targets (Table 5 of the monograph, which are targets for the running system rather than criteria for accepting the validation evidence itself).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Acceptance criterion</w:t>
            </w:r>
          </w:p>
        </w:tc>
      </w:tr>
      <w:tr>
        <w:tc>
          <w:tcPr/>
          <w:p>
            <w:pPr>
              <w:pStyle w:val="Compact"/>
              <w:jc w:val="left"/>
            </w:pPr>
            <w:r>
              <w:t xml:space="preserve">R1 (tenant isolation)</w:t>
            </w:r>
          </w:p>
        </w:tc>
        <w:tc>
          <w:tcPr/>
          <w:p>
            <w:pPr>
              <w:pStyle w:val="Compact"/>
              <w:jc w:val="left"/>
            </w:pPr>
            <w:r>
              <w:t xml:space="preserve">Zero successful cross-tenant data access across all attempted vectors in the V10 audit, with findings independently reviewed</w:t>
            </w:r>
          </w:p>
        </w:tc>
      </w:tr>
      <w:tr>
        <w:tc>
          <w:tcPr/>
          <w:p>
            <w:pPr>
              <w:pStyle w:val="Compact"/>
              <w:jc w:val="left"/>
            </w:pPr>
            <w:r>
              <w:t xml:space="preserve">R2 (100M scalability)</w:t>
            </w:r>
          </w:p>
        </w:tc>
        <w:tc>
          <w:tcPr/>
          <w:p>
            <w:pPr>
              <w:pStyle w:val="Compact"/>
              <w:jc w:val="left"/>
            </w:pPr>
            <w:r>
              <w:t xml:space="preserve">All three sub-tests of Section 4.4 show the expected sub-linear/bounded behavior at the largest tested scale, with no single sub-test result contradicting the corresponding assumption in monograph Section 20.3</w:t>
            </w:r>
          </w:p>
        </w:tc>
      </w:tr>
      <w:tr>
        <w:tc>
          <w:tcPr/>
          <w:p>
            <w:pPr>
              <w:pStyle w:val="Compact"/>
              <w:jc w:val="left"/>
            </w:pPr>
            <w:r>
              <w:t xml:space="preserve">R3 (cost targets)</w:t>
            </w:r>
          </w:p>
        </w:tc>
        <w:tc>
          <w:tcPr/>
          <w:p>
            <w:pPr>
              <w:pStyle w:val="Compact"/>
              <w:jc w:val="left"/>
            </w:pPr>
            <w:r>
              <w:t xml:space="preserve">Measured token and latency reduction, from the Section 4.3 benchmark run, falls within or above the monograph’s stated 20–70% / 30–60% ranges at matched accuracy (i.e., TER computed at accuracy parity, not at a lower accuracy operating point)</w:t>
            </w:r>
          </w:p>
        </w:tc>
      </w:tr>
      <w:tr>
        <w:tc>
          <w:tcPr/>
          <w:p>
            <w:pPr>
              <w:pStyle w:val="Compact"/>
              <w:jc w:val="left"/>
            </w:pPr>
            <w:r>
              <w:t xml:space="preserve">R4 (semantic engine)</w:t>
            </w:r>
          </w:p>
        </w:tc>
        <w:tc>
          <w:tcPr/>
          <w:p>
            <w:pPr>
              <w:pStyle w:val="Compact"/>
              <w:jc w:val="left"/>
            </w:pPr>
            <w:r>
              <w:t xml:space="preserve">Trained-encoder configuration shows a statistically significant retrieval-precision improvement over the structurally-verified mock on the Section 4.3 benchmark, and does not regress SPS or RHM relative to the mock baseline</w:t>
            </w:r>
          </w:p>
        </w:tc>
      </w:tr>
    </w:tbl>
    <w:bookmarkEnd w:id="41"/>
    <w:bookmarkStart w:id="42" w:name="test-environment-and-data-requirements"/>
    <w:p>
      <w:pPr>
        <w:pStyle w:val="Heading3"/>
      </w:pPr>
      <w:r>
        <w:t xml:space="preserve">4.7 Test Environment and Data Requirements</w:t>
      </w:r>
    </w:p>
    <w:p>
      <w:pPr>
        <w:pStyle w:val="FirstParagraph"/>
      </w:pPr>
      <w:r>
        <w:t xml:space="preserve">Executing Sections 4.3–4.5 requires: licensed or otherwise permitted access to the DocVQA and TAT-QA benchmark datasets under their respective usage terms; a synthetic or de-identified document corpus at the 1M/10M/100M scale points for Section 4.4 (real tenant data should not be used for load testing given the isolation questions load testing is partly meant to probe); a provisioned staging environment mirroring the production topology of monograph Section 4.3 closely enough that latency and throughput findings transfer; and either an engaged third-party security auditor or a dedicated internal red-team allocation for Section 4.5, sized appropriately to the Critical priority of R1 in the risk register.</w:t>
      </w:r>
    </w:p>
    <w:bookmarkEnd w:id="42"/>
    <w:bookmarkEnd w:id="43"/>
    <w:bookmarkStart w:id="45" w:name="X99c5f7aa9d1b24561cf0ecad2fa177c5729d065"/>
    <w:p>
      <w:pPr>
        <w:pStyle w:val="Heading2"/>
      </w:pPr>
      <w:r>
        <w:t xml:space="preserve">5. Feasibility-Validation Traceability Matrix</w:t>
      </w:r>
    </w:p>
    <w:p>
      <w:pPr>
        <w:pStyle w:val="FirstParagraph"/>
      </w:pPr>
      <w:r>
        <w:t xml:space="preserve">Table 6 gives a single-page view tracing each of the five feasibility dimensions (Section 2) through its associated risks (Section 3) to its closing validation activity (Section 4), so a reviewer can confirm nothing in Section 2’s findings is left without a corresponding action.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Feasibility dimension (Sec. 2)</w:t>
            </w:r>
          </w:p>
        </w:tc>
        <w:tc>
          <w:tcPr/>
          <w:p>
            <w:pPr>
              <w:pStyle w:val="Compact"/>
              <w:jc w:val="left"/>
            </w:pPr>
            <w:r>
              <w:t xml:space="preserve">Key open risk (Sec. 3)</w:t>
            </w:r>
          </w:p>
        </w:tc>
        <w:tc>
          <w:tcPr/>
          <w:p>
            <w:pPr>
              <w:pStyle w:val="Compact"/>
              <w:jc w:val="left"/>
            </w:pPr>
            <w:r>
              <w:t xml:space="preserve">Validation activity (Sec. 4)</w:t>
            </w:r>
          </w:p>
        </w:tc>
        <w:tc>
          <w:tcPr/>
          <w:p>
            <w:pPr>
              <w:pStyle w:val="Compact"/>
              <w:jc w:val="left"/>
            </w:pPr>
            <w:r>
              <w:t xml:space="preserve">Owner-type</w:t>
            </w:r>
          </w:p>
        </w:tc>
      </w:tr>
      <w:tr>
        <w:tc>
          <w:tcPr/>
          <w:p>
            <w:pPr>
              <w:pStyle w:val="Compact"/>
              <w:jc w:val="left"/>
            </w:pPr>
            <w:r>
              <w:t xml:space="preserve">Technical</w:t>
            </w:r>
          </w:p>
        </w:tc>
        <w:tc>
          <w:tcPr/>
          <w:p>
            <w:pPr>
              <w:pStyle w:val="Compact"/>
              <w:jc w:val="left"/>
            </w:pPr>
            <w:r>
              <w:t xml:space="preserve">R4, R5 (untrained encoders)</w:t>
            </w:r>
          </w:p>
        </w:tc>
        <w:tc>
          <w:tcPr/>
          <w:p>
            <w:pPr>
              <w:pStyle w:val="Compact"/>
              <w:jc w:val="left"/>
            </w:pPr>
            <w:r>
              <w:t xml:space="preserve">V7, V8 — trained-encoder integration and benchmark</w:t>
            </w:r>
          </w:p>
        </w:tc>
        <w:tc>
          <w:tcPr/>
          <w:p>
            <w:pPr>
              <w:pStyle w:val="Compact"/>
              <w:jc w:val="left"/>
            </w:pPr>
            <w:r>
              <w:t xml:space="preserve">ML engineering</w:t>
            </w:r>
          </w:p>
        </w:tc>
      </w:tr>
      <w:tr>
        <w:tc>
          <w:tcPr/>
          <w:p>
            <w:pPr>
              <w:pStyle w:val="Compact"/>
              <w:jc w:val="left"/>
            </w:pPr>
            <w:r>
              <w:t xml:space="preserve">Technical</w:t>
            </w:r>
          </w:p>
        </w:tc>
        <w:tc>
          <w:tcPr/>
          <w:p>
            <w:pPr>
              <w:pStyle w:val="Compact"/>
              <w:jc w:val="left"/>
            </w:pPr>
            <w:r>
              <w:t xml:space="preserve">R6 (fallback paths)</w:t>
            </w:r>
          </w:p>
        </w:tc>
        <w:tc>
          <w:tcPr/>
          <w:p>
            <w:pPr>
              <w:pStyle w:val="Compact"/>
              <w:jc w:val="left"/>
            </w:pPr>
            <w:r>
              <w:t xml:space="preserve">V9 — failure-injection suite</w:t>
            </w:r>
          </w:p>
        </w:tc>
        <w:tc>
          <w:tcPr/>
          <w:p>
            <w:pPr>
              <w:pStyle w:val="Compact"/>
              <w:jc w:val="left"/>
            </w:pPr>
            <w:r>
              <w:t xml:space="preserve">Platform/SRE</w:t>
            </w:r>
          </w:p>
        </w:tc>
      </w:tr>
      <w:tr>
        <w:tc>
          <w:tcPr/>
          <w:p>
            <w:pPr>
              <w:pStyle w:val="Compact"/>
              <w:jc w:val="left"/>
            </w:pPr>
            <w:r>
              <w:t xml:space="preserve">Economic</w:t>
            </w:r>
          </w:p>
        </w:tc>
        <w:tc>
          <w:tcPr/>
          <w:p>
            <w:pPr>
              <w:pStyle w:val="Compact"/>
              <w:jc w:val="left"/>
            </w:pPr>
            <w:r>
              <w:t xml:space="preserve">R3 (unmeasured cost targets)</w:t>
            </w:r>
          </w:p>
        </w:tc>
        <w:tc>
          <w:tcPr/>
          <w:p>
            <w:pPr>
              <w:pStyle w:val="Compact"/>
              <w:jc w:val="left"/>
            </w:pPr>
            <w:r>
              <w:t xml:space="preserve">Section 4.3 — benchmark with cost telemetry</w:t>
            </w:r>
          </w:p>
        </w:tc>
        <w:tc>
          <w:tcPr/>
          <w:p>
            <w:pPr>
              <w:pStyle w:val="Compact"/>
              <w:jc w:val="left"/>
            </w:pPr>
            <w:r>
              <w:t xml:space="preserve">ML engineering + FinOps</w:t>
            </w:r>
          </w:p>
        </w:tc>
      </w:tr>
      <w:tr>
        <w:tc>
          <w:tcPr/>
          <w:p>
            <w:pPr>
              <w:pStyle w:val="Compact"/>
              <w:jc w:val="left"/>
            </w:pPr>
            <w:r>
              <w:t xml:space="preserve">Operational</w:t>
            </w:r>
          </w:p>
        </w:tc>
        <w:tc>
          <w:tcPr/>
          <w:p>
            <w:pPr>
              <w:pStyle w:val="Compact"/>
              <w:jc w:val="left"/>
            </w:pPr>
            <w:r>
              <w:t xml:space="preserve">R1 (tenant isolation)</w:t>
            </w:r>
          </w:p>
        </w:tc>
        <w:tc>
          <w:tcPr/>
          <w:p>
            <w:pPr>
              <w:pStyle w:val="Compact"/>
              <w:jc w:val="left"/>
            </w:pPr>
            <w:r>
              <w:t xml:space="preserve">V10 + Section 4.5 — security audit</w:t>
            </w:r>
          </w:p>
        </w:tc>
        <w:tc>
          <w:tcPr/>
          <w:p>
            <w:pPr>
              <w:pStyle w:val="Compact"/>
              <w:jc w:val="left"/>
            </w:pPr>
            <w:r>
              <w:t xml:space="preserve">Security</w:t>
            </w:r>
          </w:p>
        </w:tc>
      </w:tr>
      <w:tr>
        <w:tc>
          <w:tcPr/>
          <w:p>
            <w:pPr>
              <w:pStyle w:val="Compact"/>
              <w:jc w:val="left"/>
            </w:pPr>
            <w:r>
              <w:t xml:space="preserve">Operational</w:t>
            </w:r>
          </w:p>
        </w:tc>
        <w:tc>
          <w:tcPr/>
          <w:p>
            <w:pPr>
              <w:pStyle w:val="Compact"/>
              <w:jc w:val="left"/>
            </w:pPr>
            <w:r>
              <w:t xml:space="preserve">R6 (fallback paths)</w:t>
            </w:r>
          </w:p>
        </w:tc>
        <w:tc>
          <w:tcPr/>
          <w:p>
            <w:pPr>
              <w:pStyle w:val="Compact"/>
              <w:jc w:val="left"/>
            </w:pPr>
            <w:r>
              <w:t xml:space="preserve">V9 — failure-injection suite</w:t>
            </w:r>
          </w:p>
        </w:tc>
        <w:tc>
          <w:tcPr/>
          <w:p>
            <w:pPr>
              <w:pStyle w:val="Compact"/>
              <w:jc w:val="left"/>
            </w:pPr>
            <w:r>
              <w:t xml:space="preserve">Platform/SRE</w:t>
            </w:r>
          </w:p>
        </w:tc>
      </w:tr>
      <w:tr>
        <w:tc>
          <w:tcPr/>
          <w:p>
            <w:pPr>
              <w:pStyle w:val="Compact"/>
              <w:jc w:val="left"/>
            </w:pPr>
            <w:r>
              <w:t xml:space="preserve">Scalability</w:t>
            </w:r>
          </w:p>
        </w:tc>
        <w:tc>
          <w:tcPr/>
          <w:p>
            <w:pPr>
              <w:pStyle w:val="Compact"/>
              <w:jc w:val="left"/>
            </w:pPr>
            <w:r>
              <w:t xml:space="preserve">R2 (100M-doc assumptions)</w:t>
            </w:r>
          </w:p>
        </w:tc>
        <w:tc>
          <w:tcPr/>
          <w:p>
            <w:pPr>
              <w:pStyle w:val="Compact"/>
              <w:jc w:val="left"/>
            </w:pPr>
            <w:r>
              <w:t xml:space="preserve">Section 4.4 — bounded load-testing protocol</w:t>
            </w:r>
          </w:p>
        </w:tc>
        <w:tc>
          <w:tcPr/>
          <w:p>
            <w:pPr>
              <w:pStyle w:val="Compact"/>
              <w:jc w:val="left"/>
            </w:pPr>
            <w:r>
              <w:t xml:space="preserve">Platform/SRE + Data engineering</w:t>
            </w:r>
          </w:p>
        </w:tc>
      </w:tr>
      <w:tr>
        <w:tc>
          <w:tcPr/>
          <w:p>
            <w:pPr>
              <w:pStyle w:val="Compact"/>
              <w:jc w:val="left"/>
            </w:pPr>
            <w:r>
              <w:t xml:space="preserve">Schedule/Resource</w:t>
            </w:r>
          </w:p>
        </w:tc>
        <w:tc>
          <w:tcPr/>
          <w:p>
            <w:pPr>
              <w:pStyle w:val="Compact"/>
              <w:jc w:val="left"/>
            </w:pPr>
            <w:r>
              <w:t xml:space="preserve">R8 (staffing burden)</w:t>
            </w:r>
          </w:p>
        </w:tc>
        <w:tc>
          <w:tcPr/>
          <w:p>
            <w:pPr>
              <w:pStyle w:val="Compact"/>
              <w:jc w:val="left"/>
            </w:pPr>
            <w:r>
              <w:t xml:space="preserve">Informed by Section 2.5’s effort table; not a testable item</w:t>
            </w:r>
          </w:p>
        </w:tc>
        <w:tc>
          <w:tcPr/>
          <w:p>
            <w:pPr>
              <w:pStyle w:val="Compact"/>
              <w:jc w:val="left"/>
            </w:pPr>
            <w:r>
              <w:t xml:space="preserve">Engineering management</w:t>
            </w:r>
          </w:p>
        </w:tc>
      </w:tr>
    </w:tbl>
    <w:bookmarkStart w:id="44" w:name="coverage-check"/>
    <w:p>
      <w:pPr>
        <w:pStyle w:val="Heading3"/>
      </w:pPr>
      <w:r>
        <w:t xml:space="preserve">5.1 Coverage Check</w:t>
      </w:r>
    </w:p>
    <w:p>
      <w:pPr>
        <w:pStyle w:val="FirstParagraph"/>
      </w:pPr>
      <w:r>
        <w:t xml:space="preserve">Every Critical and High item in the Section 3 risk register (R1–R4) has exactly one primary validation activity in Section 4 that closes it, and Table 6 confirms none of the five feasibility dimensions is left without at least one associated validation activity — the one partial exception being Schedule/Resource feasibility (R8), which is a planning and staffing question rather than a testable technical claim, and is accordingly routed to engineering management rather than to a V&amp;V activity; this is noted explicitly rather than left as a silent gap in the traceability table.</w:t>
      </w:r>
    </w:p>
    <w:bookmarkEnd w:id="44"/>
    <w:bookmarkEnd w:id="45"/>
    <w:bookmarkStart w:id="50" w:name="recommendations-and-gono-go-assessment"/>
    <w:p>
      <w:pPr>
        <w:pStyle w:val="Heading2"/>
      </w:pPr>
      <w:r>
        <w:t xml:space="preserve">6. Recommendations and Go/No-Go Assessment</w:t>
      </w:r>
    </w:p>
    <w:bookmarkStart w:id="46" w:name="overall-assessment"/>
    <w:p>
      <w:pPr>
        <w:pStyle w:val="Heading3"/>
      </w:pPr>
      <w:r>
        <w:t xml:space="preserve">6.1 Overall Assessment</w:t>
      </w:r>
    </w:p>
    <w:p>
      <w:pPr>
        <w:pStyle w:val="FirstParagraph"/>
      </w:pPr>
      <w:r>
        <w:t xml:space="preserve">Restating the Executive Summary’s headline finding with the full evidence of Sections 2–5 behind it: the architecture’s central, load-bearing claims are technically feasible and already verified at the Established tier (Section 2.1); the surrounding operating-system context is feasible in design but not yet validated at the scale or under the adversarial conditions its own stated targets require (Sections 2.2–2.4); and the schedule shape is favorable, because the highest-effort remaining work (encoder training, full topology build-out) is not on the critical path for the claims already established (Section 2.5).</w:t>
      </w:r>
    </w:p>
    <w:bookmarkEnd w:id="46"/>
    <w:bookmarkStart w:id="47" w:name="recommendation-conditional-go"/>
    <w:p>
      <w:pPr>
        <w:pStyle w:val="Heading3"/>
      </w:pPr>
      <w:r>
        <w:t xml:space="preserve">6.2 Recommendation: Conditional Go</w:t>
      </w:r>
    </w:p>
    <w:p>
      <w:pPr>
        <w:pStyle w:val="FirstParagraph"/>
      </w:pPr>
      <w:r>
        <w:t xml:space="preserve">We recommend proceeding with production build-out and the validation plan of Section 4 in parallel, subject to two hard gates before any external-facing commitment is made:</w:t>
      </w:r>
    </w:p>
    <w:p>
      <w:pPr>
        <w:numPr>
          <w:ilvl w:val="0"/>
          <w:numId w:val="1004"/>
        </w:numPr>
        <w:pStyle w:val="Compact"/>
      </w:pPr>
      <w:r>
        <w:rPr>
          <w:bCs/>
          <w:b/>
        </w:rPr>
        <w:t xml:space="preserve">Gate 1 (before any accuracy, hallucination-rate, or token/latency-reduction figure is presented externally as measured):</w:t>
      </w:r>
      <w:r>
        <w:t xml:space="preserve"> </w:t>
      </w:r>
      <w:r>
        <w:t xml:space="preserve">Section 4.3’s benchmark protocol must be executed and its results, including the cost-telemetry extension, reported alongside the monograph’s Table 5 targets — not in place of them, but as the measured counterpart the targets currently lack.</w:t>
      </w:r>
    </w:p>
    <w:p>
      <w:pPr>
        <w:numPr>
          <w:ilvl w:val="0"/>
          <w:numId w:val="1004"/>
        </w:numPr>
        <w:pStyle w:val="Compact"/>
      </w:pPr>
      <w:r>
        <w:rPr>
          <w:bCs/>
          <w:b/>
        </w:rPr>
        <w:t xml:space="preserve">Gate 2 (before any commitment to a 100M-document-scale SLA):</w:t>
      </w:r>
      <w:r>
        <w:t xml:space="preserve"> </w:t>
      </w:r>
      <w:r>
        <w:t xml:space="preserve">Section 4.4’s bounded load-testing protocol must be executed and its three sub-tests must meet the corresponding acceptance criteria implied by monograph Section 20.3’s assumptions.</w:t>
      </w:r>
    </w:p>
    <w:p>
      <w:pPr>
        <w:pStyle w:val="FirstParagraph"/>
      </w:pPr>
      <w:r>
        <w:t xml:space="preserve">Additionally, given R1’s Critical priority and severe/catastrophic impact profile, we recommend the Section 4.5 security validation be scheduled early and independently of Gates 1–2 — a tenant-isolation failure is the one risk in this register whose cost of being wrong is not recoverable by a subsequent round of testing, and it should not be sequenced behind the accuracy or scale validation work simply because those happen to be more directly tied to the architecture’s headline performance claims.</w:t>
      </w:r>
    </w:p>
    <w:bookmarkEnd w:id="47"/>
    <w:bookmarkStart w:id="48" w:name="what-would-constitute-a-no-go"/>
    <w:p>
      <w:pPr>
        <w:pStyle w:val="Heading3"/>
      </w:pPr>
      <w:r>
        <w:t xml:space="preserve">6.3 What Would Constitute a No-Go</w:t>
      </w:r>
    </w:p>
    <w:p>
      <w:pPr>
        <w:pStyle w:val="FirstParagraph"/>
      </w:pPr>
      <w:r>
        <w:t xml:space="preserve">This report does not identify any finding that would currently justify a full no-go recommendation — no component has been shown to violate its own specification, and no risk in Section 3 is, on current evidence, unclosable in principle. The conditions that would change this assessment are specific and would need to arise from the validation activities themselves: a Section 4.4 load test showing genuinely super-linear ANN scaling at the architecture’s actual configuration (rather than merely unconfirmed sub-linearity) would be the clearest such signal for the scalability dimension, and a Section 4.5 audit surfacing a structural (rather than implementation-bug-level) tenant-isolation flaw — one inherent to the three-layer enforcement design rather than fixable within it — would be the clearest such signal for the operational dimension. Absent either, the appropriate response to any individual validation finding is remediation and re-test, not architectural abandonment.</w:t>
      </w:r>
    </w:p>
    <w:bookmarkEnd w:id="48"/>
    <w:bookmarkStart w:id="49" w:name="path-to-monograph-integration"/>
    <w:p>
      <w:pPr>
        <w:pStyle w:val="Heading3"/>
      </w:pPr>
      <w:r>
        <w:t xml:space="preserve">6.4 Path to Monograph Integration</w:t>
      </w:r>
    </w:p>
    <w:p>
      <w:pPr>
        <w:pStyle w:val="FirstParagraph"/>
      </w:pPr>
      <w:r>
        <w:t xml:space="preserve">Per the request that produced this report, this content is intended to be merged into the architectural monograph as a new section in a future revision — logically positioned after Section 22 (Threats to Validity) and before Section 23 (Future Work), since this report’s feasibility tiers and risk register are a direct operationalization of the threats Section 22 identifies in more abstract terms, and its Section 4 validation plan is a superset of the monograph’s existing Section 21 evaluation protocol. At merge time, Section 21 of the monograph should be revised to reference this report’s Section 4.3 rather than restating the protocol independently, to avoid the two documents drifting out of sync on a shared specification.</w:t>
      </w:r>
    </w:p>
    <w:bookmarkEnd w:id="49"/>
    <w:bookmarkEnd w:id="50"/>
    <w:bookmarkStart w:id="55" w:name="appendix-a-open-items-register"/>
    <w:p>
      <w:pPr>
        <w:pStyle w:val="Heading2"/>
      </w:pPr>
      <w:r>
        <w:t xml:space="preserve">Appendix A — Open Items Register</w:t>
      </w:r>
    </w:p>
    <w:p>
      <w:pPr>
        <w:pStyle w:val="FirstParagraph"/>
      </w:pPr>
      <w:r>
        <w:t xml:space="preserve">This appendix consolidates every open item referenced across this report into a single flat list, organized by the tier introduced in the Executive Summary, for use as a standalone tracking artifact independent of this report’s narrative sections.</w:t>
      </w:r>
    </w:p>
    <w:bookmarkStart w:id="51" w:name="X0de2affc61f08ad1bf4eeea7ada79b1d906a713"/>
    <w:p>
      <w:pPr>
        <w:pStyle w:val="Heading3"/>
      </w:pPr>
      <w:r>
        <w:t xml:space="preserve">A.1 Proposed-tier items (not yet implemented or tested)</w:t>
      </w:r>
    </w:p>
    <w:p>
      <w:pPr>
        <w:numPr>
          <w:ilvl w:val="0"/>
          <w:numId w:val="1005"/>
        </w:numPr>
        <w:pStyle w:val="Compact"/>
      </w:pPr>
      <w:r>
        <w:t xml:space="preserve">Semantic engine: integrate a trained LayoutLMv3-class encoder in place of the structurally-verified mock (monograph 5.6, 12.7; this report’s V7, R4).</w:t>
      </w:r>
    </w:p>
    <w:p>
      <w:pPr>
        <w:numPr>
          <w:ilvl w:val="0"/>
          <w:numId w:val="1005"/>
        </w:numPr>
        <w:pStyle w:val="Compact"/>
      </w:pPr>
      <w:r>
        <w:t xml:space="preserve">Image and flowchart encoders: acquire/license training data and train for semantic quality (monograph 12.3; this report’s V8, R5).</w:t>
      </w:r>
    </w:p>
    <w:p>
      <w:pPr>
        <w:numPr>
          <w:ilvl w:val="0"/>
          <w:numId w:val="1005"/>
        </w:numPr>
        <w:pStyle w:val="Compact"/>
      </w:pPr>
      <w:r>
        <w:t xml:space="preserve">Topology engine: evaluate Betti-number/persistent-homology approach before adoption (monograph 5.4, 23; this report’s R9).</w:t>
      </w:r>
    </w:p>
    <w:p>
      <w:pPr>
        <w:numPr>
          <w:ilvl w:val="0"/>
          <w:numId w:val="1005"/>
        </w:numPr>
        <w:pStyle w:val="Compact"/>
      </w:pPr>
      <w:r>
        <w:t xml:space="preserve">Full production topology build-out: multi-service infrastructure, polyglot persistence layer, CI/CD (monograph 4.3; this report’s Section 2.5).</w:t>
      </w:r>
    </w:p>
    <w:p>
      <w:pPr>
        <w:numPr>
          <w:ilvl w:val="0"/>
          <w:numId w:val="1005"/>
        </w:numPr>
        <w:pStyle w:val="Compact"/>
      </w:pPr>
      <w:r>
        <w:t xml:space="preserve">Tenant-isolation security audit or red-team exercise (monograph 17.3; this report’s V10, R1 — Critical priority).</w:t>
      </w:r>
    </w:p>
    <w:p>
      <w:pPr>
        <w:numPr>
          <w:ilvl w:val="0"/>
          <w:numId w:val="1005"/>
        </w:numPr>
        <w:pStyle w:val="Compact"/>
      </w:pPr>
      <w:r>
        <w:t xml:space="preserve">Observability stack deployment: standing up Prometheus/ELK/Jaeger against the already-specified instrumentation points (monograph 19.5; this report’s Section 2.3).</w:t>
      </w:r>
    </w:p>
    <w:p>
      <w:pPr>
        <w:numPr>
          <w:ilvl w:val="0"/>
          <w:numId w:val="1005"/>
        </w:numPr>
        <w:pStyle w:val="Compact"/>
      </w:pPr>
      <w:r>
        <w:t xml:space="preserve">100M-document bounded load test across the three sub-tests of Section 4.4 (monograph 20.3; this report’s R2).</w:t>
      </w:r>
    </w:p>
    <w:bookmarkEnd w:id="51"/>
    <w:bookmarkStart w:id="52" w:name="X03d542e4731686d5f4614b52938752389dde13c"/>
    <w:p>
      <w:pPr>
        <w:pStyle w:val="Heading3"/>
      </w:pPr>
      <w:r>
        <w:t xml:space="preserve">A.2 Demonstrated-at-small-scale items (implemented, tested only on synthetic/small-N instances)</w:t>
      </w:r>
    </w:p>
    <w:p>
      <w:pPr>
        <w:numPr>
          <w:ilvl w:val="0"/>
          <w:numId w:val="1006"/>
        </w:numPr>
        <w:pStyle w:val="Compact"/>
      </w:pPr>
      <w:r>
        <w:t xml:space="preserve">Multi-choice knapsack and Lagrangian relaxation solver: re-test against realistic multimodal document instances at scale (monograph 12.1, 12.2; this report’s V5).</w:t>
      </w:r>
    </w:p>
    <w:p>
      <w:pPr>
        <w:numPr>
          <w:ilvl w:val="0"/>
          <w:numId w:val="1006"/>
        </w:numPr>
        <w:pStyle w:val="Compact"/>
      </w:pPr>
      <w:r>
        <w:t xml:space="preserve">Spectral embedder and hitting-time score: re-test against real document graphs with human-annotated ground truth (monograph 12.4, 12.5; this report’s V6).</w:t>
      </w:r>
    </w:p>
    <w:p>
      <w:pPr>
        <w:numPr>
          <w:ilvl w:val="0"/>
          <w:numId w:val="1006"/>
        </w:numPr>
        <w:pStyle w:val="Compact"/>
      </w:pPr>
      <w:r>
        <w:t xml:space="preserve">Contextual bandit router: calibrate reward signal against real user-satisfaction data, not only simulated feedback (monograph 13.5; this report’s R7).</w:t>
      </w:r>
    </w:p>
    <w:p>
      <w:pPr>
        <w:numPr>
          <w:ilvl w:val="0"/>
          <w:numId w:val="1006"/>
        </w:numPr>
        <w:pStyle w:val="Compact"/>
      </w:pPr>
      <w:r>
        <w:t xml:space="preserve">End-to-end fallback-path failure injection (monograph Workflow 5, Section 18.5; this report’s V9, R6).</w:t>
      </w:r>
    </w:p>
    <w:bookmarkEnd w:id="52"/>
    <w:bookmarkStart w:id="53" w:name="X2bd7ac53ac3e8f399e7636ba73071e4bd3e54c1"/>
    <w:p>
      <w:pPr>
        <w:pStyle w:val="Heading3"/>
      </w:pPr>
      <w:r>
        <w:t xml:space="preserve">A.3 Established items (implemented and verified — retained here for completeness of the register)</w:t>
      </w:r>
    </w:p>
    <w:p>
      <w:pPr>
        <w:numPr>
          <w:ilvl w:val="0"/>
          <w:numId w:val="1007"/>
        </w:numPr>
        <w:pStyle w:val="Compact"/>
      </w:pPr>
      <w:r>
        <w:t xml:space="preserve">Reading-order recovery: construction-time acyclicity and determinism, verified against dense-grid and input-order-invariance tests (monograph 6, 11.2).</w:t>
      </w:r>
    </w:p>
    <w:p>
      <w:pPr>
        <w:numPr>
          <w:ilvl w:val="0"/>
          <w:numId w:val="1007"/>
        </w:numPr>
        <w:pStyle w:val="Compact"/>
      </w:pPr>
      <w:r>
        <w:t xml:space="preserve">Elastic chunking: four-rule boundary detector, verified against per-rule unit tests (monograph 7, 11.3).</w:t>
      </w:r>
    </w:p>
    <w:p>
      <w:pPr>
        <w:numPr>
          <w:ilvl w:val="0"/>
          <w:numId w:val="1007"/>
        </w:numPr>
        <w:pStyle w:val="Compact"/>
      </w:pPr>
      <w:r>
        <w:t xml:space="preserve">Exact and greedy knapsack packers: optimality and 1/2-approximation bound, verified against brute-force and forced-fallback tests (monograph 9, 11.4).</w:t>
      </w:r>
    </w:p>
    <w:p>
      <w:pPr>
        <w:numPr>
          <w:ilvl w:val="0"/>
          <w:numId w:val="1007"/>
        </w:numPr>
        <w:pStyle w:val="Compact"/>
      </w:pPr>
      <w:r>
        <w:t xml:space="preserve">18-case automated regression suite (monograph 11.5).</w:t>
      </w:r>
    </w:p>
    <w:bookmarkEnd w:id="53"/>
    <w:bookmarkStart w:id="54" w:name="a.4-report-metadata"/>
    <w:p>
      <w:pPr>
        <w:pStyle w:val="Heading3"/>
      </w:pPr>
      <w:r>
        <w:t xml:space="preserve">A.4 Report Metadata</w:t>
      </w:r>
    </w:p>
    <w:p>
      <w:pPr>
        <w:pStyle w:val="FirstParagraph"/>
      </w:pPr>
      <w:r>
        <w:t xml:space="preserve">This report is a companion to</w:t>
      </w:r>
      <w:r>
        <w:t xml:space="preserve"> </w:t>
      </w:r>
      <w:r>
        <w:rPr>
          <w:iCs/>
          <w:i/>
        </w:rPr>
        <w:t xml:space="preserve">AEGIS-DocIntel / AMDI-OS: A Pre-LLM Document Intelligence Operating System</w:t>
      </w:r>
      <w:r>
        <w:t xml:space="preserve"> </w:t>
      </w:r>
      <w:r>
        <w:t xml:space="preserve">(Second Edition, Extended Technical Monograph). It is intended for merge into that monograph as a new section following Section 22 (Threats to Validity), per Section 6.4 above. Until that merge occurs, this document should be treated as the authoritative source for feasibility-tier ratings and the risk register; the monograph’s Section 22 and Section 23 should be read as the abstract statement of the same concerns this report operationalizes into ratings, risks, and a validation plan.</w:t>
      </w:r>
    </w:p>
    <w:bookmarkEnd w:id="54"/>
    <w:bookmarkEnd w:id="55"/>
    <w:bookmarkEnd w:id="5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2026-07-16T07:00:34Z</dcterms:created>
  <dcterms:modified xsi:type="dcterms:W3CDTF">2026-07-16T07:00:34Z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Systems Feasibility and Validation Report</vt:lpwstr>
  </property>
</Properties>
</file>