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Future</w:t>
      </w:r>
      <w:r>
        <w:t xml:space="preserve"> </w:t>
      </w:r>
      <w:r>
        <w:t xml:space="preserve">Concepts</w:t>
      </w:r>
      <w:r>
        <w:t xml:space="preserve"> </w:t>
      </w:r>
      <w:r>
        <w:t xml:space="preserve">from</w:t>
      </w:r>
      <w:r>
        <w:t xml:space="preserve"> </w:t>
      </w:r>
      <w:r>
        <w:t xml:space="preserve">Mathematics,</w:t>
      </w:r>
      <w:r>
        <w:t xml:space="preserve"> </w:t>
      </w:r>
      <w:r>
        <w:t xml:space="preserve">Graph</w:t>
      </w:r>
      <w:r>
        <w:t xml:space="preserve"> </w:t>
      </w:r>
      <w:r>
        <w:t xml:space="preserve">Theory,</w:t>
      </w:r>
      <w:r>
        <w:t xml:space="preserve"> </w:t>
      </w:r>
      <w:r>
        <w:t xml:space="preserve">Physics,</w:t>
      </w:r>
      <w:r>
        <w:t xml:space="preserve"> </w:t>
      </w:r>
      <w:r>
        <w:t xml:space="preserve">and</w:t>
      </w:r>
      <w:r>
        <w:t xml:space="preserve"> </w:t>
      </w:r>
      <w:r>
        <w:t xml:space="preserve">Number</w:t>
      </w:r>
      <w:r>
        <w:t xml:space="preserve"> </w:t>
      </w:r>
      <w:r>
        <w:t xml:space="preserve">Theory:</w:t>
      </w:r>
      <w:r>
        <w:t xml:space="preserve"> </w:t>
      </w:r>
      <w:r>
        <w:t xml:space="preserve">Development</w:t>
      </w:r>
      <w:r>
        <w:t xml:space="preserve"> </w:t>
      </w:r>
      <w:r>
        <w:t xml:space="preserve">Methods,</w:t>
      </w:r>
      <w:r>
        <w:t xml:space="preserve"> </w:t>
      </w:r>
      <w:r>
        <w:t xml:space="preserve">Implementation</w:t>
      </w:r>
      <w:r>
        <w:t xml:space="preserve"> </w:t>
      </w:r>
      <w:r>
        <w:t xml:space="preserve">Stages,</w:t>
      </w:r>
      <w:r>
        <w:t xml:space="preserve"> </w:t>
      </w:r>
      <w:r>
        <w:t xml:space="preserve">and</w:t>
      </w:r>
      <w:r>
        <w:t xml:space="preserve"> </w:t>
      </w:r>
      <w:r>
        <w:t xml:space="preserve">Test</w:t>
      </w:r>
      <w:r>
        <w:t xml:space="preserve"> </w:t>
      </w:r>
      <w:r>
        <w:t xml:space="preserve">Cases</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Methodology: The Development Method and Implementation Stage Model ……… 5</w:t>
      </w:r>
      <w:r>
        <w:br/>
      </w:r>
      <w:r>
        <w:t xml:space="preserve">2. Physics Concepts ………………………………………………….. 7</w:t>
      </w:r>
      <w:r>
        <w:br/>
      </w:r>
      <w:r>
        <w:t xml:space="preserve">3. Graph Theory Concept ………………………………………………. 11</w:t>
      </w:r>
      <w:r>
        <w:br/>
      </w:r>
      <w:r>
        <w:t xml:space="preserve">4. Number Theory Concepts …………………………………………….. 13</w:t>
      </w:r>
      <w:r>
        <w:br/>
      </w:r>
      <w:r>
        <w:t xml:space="preserve">5. Mathematics Concept: Game-Theoretic Mechanism Design ………………….. 17</w:t>
      </w:r>
      <w:r>
        <w:br/>
      </w:r>
      <w:r>
        <w:t xml:space="preserve">6. Physics/Graph Hybrid Concept: Percolation Theory for Infrastructure Resilience … 19</w:t>
      </w:r>
      <w:r>
        <w:br/>
      </w:r>
      <w:r>
        <w:t xml:space="preserve">7. Master Concept Matrix ……………………………………………… 22</w:t>
      </w:r>
      <w:r>
        <w:br/>
      </w:r>
      <w:r>
        <w:t xml:space="preserve">Conclusion ………………………………………………………….. 24</w:t>
      </w:r>
      <w:r>
        <w:br/>
      </w:r>
      <w:r>
        <w:t xml:space="preserve">References ………………………………………………………….. 25</w:t>
      </w:r>
    </w:p>
    <w:bookmarkEnd w:id="20"/>
    <w:bookmarkStart w:id="44" w:name="executive-summary"/>
    <w:p>
      <w:pPr>
        <w:pStyle w:val="Heading1"/>
      </w:pPr>
      <w:r>
        <w:t xml:space="preserve">Executive Summary</w:t>
      </w:r>
    </w:p>
    <w:p>
      <w:pPr>
        <w:pStyle w:val="FirstParagraph"/>
      </w:pPr>
      <w:r>
        <w:t xml:space="preserve">This report extends the Enhancement Research Report and Implementation Specification with seven further concepts drawn specifically from mathematics, graph theory, physics, and number theory — domains the two prior documents touched only partially. Each concept is given the same treatment: what it is and why it applies to a named AEGIS component, a staged development method (a feasibility-to-production pipeline distinct from, and more granular than, the three-tier risk rating used previously), concrete implementation stages with pseudocode, and a numbered test-case plan continuing this body of work’s TC-* verification vocabulary (as TC-F-01 onward).</w:t>
      </w:r>
    </w:p>
    <w:p>
      <w:pPr>
        <w:pStyle w:val="BodyText"/>
      </w:pPr>
      <w:r>
        <w:rPr>
          <w:bCs/>
          <w:b/>
        </w:rPr>
        <w:t xml:space="preserve">Physics.</w:t>
      </w:r>
      <w:r>
        <w:t xml:space="preserve"> </w:t>
      </w:r>
      <w:r>
        <w:t xml:space="preserve">Two concepts are drawn directly from statistical mechanics. First, framing AEGIS’s master-objective optimization (monograph Section 9.4-9.7) as an Ising-model energy minimization would let AEGIS borrow simulated annealing and, longer-term, physical Ising-hardware solvers — an active 2025-2026 research and hardware area achieving picojoule-scale energy-to-solution on 32-node combinatorial problems — as an alternative solver family alongside the existing exact/greedy/Lagrangian hierarchy. Second, a May 2026 ICML paper, RGMem, demonstrates that renormalization-group-inspired hierarchical coarse-graining measurably improves long-term memory systems for language agents (+7.08 and +8.98 points over the best baseline on two benchmarks), offering AEGIS’s existing but informally-specified L0-L5 memory hierarchy (monograph Section 14.2) a rigorous mathematical foundation with a precedent of measured production-relevant gains.</w:t>
      </w:r>
    </w:p>
    <w:p>
      <w:pPr>
        <w:pStyle w:val="BodyText"/>
      </w:pPr>
      <w:r>
        <w:rPr>
          <w:bCs/>
          <w:b/>
        </w:rPr>
        <w:t xml:space="preserve">Graph theory.</w:t>
      </w:r>
      <w:r>
        <w:t xml:space="preserve"> </w:t>
      </w:r>
      <w:r>
        <w:t xml:space="preserve">Ollivier-Ricci curvature — a discrete adaptation of Riemannian curvature built on the same optimal-transport machinery this body of work’s Enhancement Research Report already introduced for reading-order comparison — gives AEGIS a principled way to detect structural bottlenecks (negative curvature) and community structure (positive curvature) directly in its existing reading-order and retrieval-fusion graphs, an active technique in 2025-2026 graph-neural-network research for diagnosing and correcting</w:t>
      </w:r>
      <w:r>
        <w:t xml:space="preserve"> </w:t>
      </w:r>
      <w:r>
        <w:t xml:space="preserve">“</w:t>
      </w:r>
      <w:r>
        <w:t xml:space="preserve">over-squashing</w:t>
      </w:r>
      <w:r>
        <w:t xml:space="preserve">”</w:t>
      </w:r>
      <w:r>
        <w:t xml:space="preserve"> </w:t>
      </w:r>
      <w:r>
        <w:t xml:space="preserve">information-flow failures.</w:t>
      </w:r>
    </w:p>
    <w:p>
      <w:pPr>
        <w:pStyle w:val="BodyText"/>
      </w:pPr>
      <w:r>
        <w:rPr>
          <w:bCs/>
          <w:b/>
        </w:rPr>
        <w:t xml:space="preserve">Number theory.</w:t>
      </w:r>
      <w:r>
        <w:t xml:space="preserve"> </w:t>
      </w:r>
      <w:r>
        <w:t xml:space="preserve">Number-Theoretic Transforms (NTT) offer an O(N log N) alternative to the O(N²) convolution AEGIS’s Frequency and Matrix engines currently rely on for correlation-style computations, using exact modular arithmetic rather than floating-point FFT. A distinct, prime-number-based consistent-hashing scheme offers AEGIS’s multi-tenant sharding infrastructure (monograph Section 17.3, Section 4.3) a mathematically cleaner alternative to hash-ring-based consistent hashing, with more tractable analysis of load-distribution guarantees.</w:t>
      </w:r>
    </w:p>
    <w:p>
      <w:pPr>
        <w:pStyle w:val="BodyText"/>
      </w:pPr>
      <w:r>
        <w:rPr>
          <w:bCs/>
          <w:b/>
        </w:rPr>
        <w:t xml:space="preserve">Mathematics (game theory).</w:t>
      </w:r>
      <w:r>
        <w:t xml:space="preserve"> </w:t>
      </w:r>
      <w:r>
        <w:t xml:space="preserve">Framing AEGIS’s twelve-engine fusion (Section 5.7, Section 13’s bandit router) as a cooperative game — where each engine is a</w:t>
      </w:r>
      <w:r>
        <w:t xml:space="preserve"> </w:t>
      </w:r>
      <w:r>
        <w:t xml:space="preserve">“</w:t>
      </w:r>
      <w:r>
        <w:t xml:space="preserve">player</w:t>
      </w:r>
      <w:r>
        <w:t xml:space="preserve">”</w:t>
      </w:r>
      <w:r>
        <w:t xml:space="preserve"> </w:t>
      </w:r>
      <w:r>
        <w:t xml:space="preserve">whose fusion weight is set via a Shapley-value-style fair-attribution mechanism rather than a fixed or purely reward-learned weight — offers a principled alternative to both AEGIS’s current static-weight default and its bandit-learned alternative, grounded in mechanism-design theory rather than either hand-tuning or pure trial-and-error.</w:t>
      </w:r>
    </w:p>
    <w:p>
      <w:pPr>
        <w:pStyle w:val="BodyText"/>
      </w:pPr>
      <w:r>
        <w:t xml:space="preserve">Consistent with every report in this body of work, none of these seven concepts has been implemented or tested against AEGIS’s reference codebase; this report’s contribution is a rigorous, staged path from mathematical concept to verified component, not a claim that any of the underlying mathematics is novel or that adoption is risk-free.</w:t>
      </w:r>
    </w:p>
    <w:bookmarkStart w:id="25" w:name="X30e5c7fa25cc0c36d9918496f2fd8c4d1d34989"/>
    <w:p>
      <w:pPr>
        <w:pStyle w:val="Heading2"/>
      </w:pPr>
      <w:r>
        <w:t xml:space="preserve">1. Methodology: The Development Method and Implementation Stage Model</w:t>
      </w:r>
    </w:p>
    <w:bookmarkStart w:id="21" w:name="Xa469d993623f4bbd559ce2e60dc40279541c92d"/>
    <w:p>
      <w:pPr>
        <w:pStyle w:val="Heading3"/>
      </w:pPr>
      <w:r>
        <w:t xml:space="preserve">1.1 Why a New, More Granular Model Than the Prior Reports</w:t>
      </w:r>
    </w:p>
    <w:p>
      <w:pPr>
        <w:pStyle w:val="FirstParagraph"/>
      </w:pPr>
      <w:r>
        <w:t xml:space="preserve">The Enhancement Research Report used a three-level integration-risk rating (Low/Medium/High); the Implementation Specification used a seven-part feature template. Both remain appropriate for concepts close to an existing AEGIS formulation. The concepts in this report are, on average, a larger conceptual step from AEGIS’s current implementation — an Ising-model reformulation of the master objective, for instance, is not a drop-in replacement the way Order-Preserving Wasserstein distance was — and this report accordingly uses a four-stage development method, applied identically to every concept in Sections 2-8, that makes the distance from</w:t>
      </w:r>
      <w:r>
        <w:t xml:space="preserve"> </w:t>
      </w:r>
      <w:r>
        <w:t xml:space="preserve">“</w:t>
      </w:r>
      <w:r>
        <w:t xml:space="preserve">mathematically interesting</w:t>
      </w:r>
      <w:r>
        <w:t xml:space="preserve">”</w:t>
      </w:r>
      <w:r>
        <w:t xml:space="preserve"> </w:t>
      </w:r>
      <w:r>
        <w:t xml:space="preserve">to</w:t>
      </w:r>
      <w:r>
        <w:t xml:space="preserve"> </w:t>
      </w:r>
      <w:r>
        <w:t xml:space="preserve">“</w:t>
      </w:r>
      <w:r>
        <w:t xml:space="preserve">running in production</w:t>
      </w:r>
      <w:r>
        <w:t xml:space="preserve">”</w:t>
      </w:r>
      <w:r>
        <w:t xml:space="preserve"> </w:t>
      </w:r>
      <w:r>
        <w:t xml:space="preserve">explicit and checkable at each stage.</w:t>
      </w:r>
    </w:p>
    <w:bookmarkEnd w:id="21"/>
    <w:bookmarkStart w:id="22" w:name="the-four-stage-development-method"/>
    <w:p>
      <w:pPr>
        <w:pStyle w:val="Heading3"/>
      </w:pPr>
      <w:r>
        <w:t xml:space="preserve">1.2 The Four-Stage Development Method</w:t>
      </w:r>
    </w:p>
    <w:p>
      <w:pPr>
        <w:pStyle w:val="FirstParagraph"/>
      </w:pPr>
      <w:r>
        <w:rPr>
          <w:bCs/>
          <w:b/>
        </w:rPr>
        <w:t xml:space="preserve">Stage 0 — Feasibility Study.</w:t>
      </w:r>
      <w:r>
        <w:t xml:space="preserve"> </w:t>
      </w:r>
      <w:r>
        <w:t xml:space="preserve">A bounded, time-boxed investigation answering one question: does this technique, applied to AEGIS’s actual data characteristics (not a generic benchmark), show a measurable signal at all? This stage produces a go/no-go recommendation, not a production component, and is deliberately scoped to be cheap to abandon.</w:t>
      </w:r>
    </w:p>
    <w:p>
      <w:pPr>
        <w:pStyle w:val="BodyText"/>
      </w:pPr>
      <w:r>
        <w:rPr>
          <w:bCs/>
          <w:b/>
        </w:rPr>
        <w:t xml:space="preserve">Stage 1 — Standalone Prototype.</w:t>
      </w:r>
      <w:r>
        <w:t xml:space="preserve"> </w:t>
      </w:r>
      <w:r>
        <w:t xml:space="preserve">An implementation of the technique in isolation — against synthetic or held-out data, with no integration into AEGIS’s live pipeline — that establishes the technique’s basic correctness properties (the mathematical properties Sections 2-8 state for each concept) via the kind of small-N brute-force or synthetic-adversarial testing this body of work’s Implementation and Credibility Test Cases document already established as its evidentiary floor.</w:t>
      </w:r>
    </w:p>
    <w:p>
      <w:pPr>
        <w:pStyle w:val="BodyText"/>
      </w:pPr>
      <w:r>
        <w:rPr>
          <w:bCs/>
          <w:b/>
        </w:rPr>
        <w:t xml:space="preserve">Stage 2 — Pipeline Integration.</w:t>
      </w:r>
      <w:r>
        <w:t xml:space="preserve"> </w:t>
      </w:r>
      <w:r>
        <w:t xml:space="preserve">The prototype is wired into AEGIS’s actual pipeline behind a feature flag defaulting to off (per the Implementation Specification’s Section 5.5 recommendation), consuming and producing real AEGIS data structures, with the existing behavior retained as the default and this report’s new behavior available for controlled comparison.</w:t>
      </w:r>
    </w:p>
    <w:p>
      <w:pPr>
        <w:pStyle w:val="BodyText"/>
      </w:pPr>
      <w:r>
        <w:rPr>
          <w:bCs/>
          <w:b/>
        </w:rPr>
        <w:t xml:space="preserve">Stage 3 — Production Validation.</w:t>
      </w:r>
      <w:r>
        <w:t xml:space="preserve"> </w:t>
      </w:r>
      <w:r>
        <w:t xml:space="preserve">The feature-flagged integration is run against a real or realistic workload (per the Feasibility and Validation Report’s Section 4 evaluation protocols) long enough to compare its measured effect against the existing baseline on AEGIS’s own quality and cost metrics (Section 21.4’s SPS, TER, RHM, and Section 16’s token/latency targets), at which point the concept is promoted to the Established tier or discarded based on that comparison.</w:t>
      </w:r>
    </w:p>
    <w:bookmarkEnd w:id="22"/>
    <w:bookmarkStart w:id="23" w:name="Xc018d941d5acc098cb6bc00a86497b92684b99b"/>
    <w:p>
      <w:pPr>
        <w:pStyle w:val="Heading3"/>
      </w:pPr>
      <w:r>
        <w:t xml:space="preserve">1.3 How This Maps to Implementation Stages and Test Cases</w:t>
      </w:r>
    </w:p>
    <w:p>
      <w:pPr>
        <w:pStyle w:val="FirstParagraph"/>
      </w:pPr>
      <w:r>
        <w:t xml:space="preserve">For each concept in Sections 2-8,</w:t>
      </w:r>
      <w:r>
        <w:t xml:space="preserve"> </w:t>
      </w:r>
      <w:r>
        <w:t xml:space="preserve">“</w:t>
      </w:r>
      <w:r>
        <w:t xml:space="preserve">Implementation Stages</w:t>
      </w:r>
      <w:r>
        <w:t xml:space="preserve">”</w:t>
      </w:r>
      <w:r>
        <w:t xml:space="preserve"> </w:t>
      </w:r>
      <w:r>
        <w:t xml:space="preserve">gives the concrete engineering steps within this four-stage model (what specifically gets built at Stage 1, what specifically gets wired at Stage 2), and</w:t>
      </w:r>
      <w:r>
        <w:t xml:space="preserve"> </w:t>
      </w:r>
      <w:r>
        <w:t xml:space="preserve">“</w:t>
      </w:r>
      <w:r>
        <w:t xml:space="preserve">Test Cases</w:t>
      </w:r>
      <w:r>
        <w:t xml:space="preserve">”</w:t>
      </w:r>
      <w:r>
        <w:t xml:space="preserve"> </w:t>
      </w:r>
      <w:r>
        <w:t xml:space="preserve">gives the specific TC-F-* verification checkpoints gating advancement from one stage to the next — a Stage 1 prototype does not advance to Stage 2 integration until its Stage-1-gating test cases pass, mirroring the same gated-advancement principle the Implementation Specification already applied to its long-term Feature Group C.</w:t>
      </w:r>
    </w:p>
    <w:bookmarkEnd w:id="23"/>
    <w:bookmarkStart w:id="24" w:name="numbering-and-cross-reference-convention"/>
    <w:p>
      <w:pPr>
        <w:pStyle w:val="Heading3"/>
      </w:pPr>
      <w:r>
        <w:t xml:space="preserve">1.4 Numbering and Cross-Reference Convention</w:t>
      </w:r>
    </w:p>
    <w:p>
      <w:pPr>
        <w:pStyle w:val="FirstParagraph"/>
      </w:pPr>
      <w:r>
        <w:t xml:space="preserve">Concepts are numbered by domain: P1-P2 for physics (Section 2), G1 for graph theory (Section 3), N1-N2 for number theory (Section 4), M1 for mathematics/game theory (Section 5) — with Section 6 addressing percolation theory as a physics/graph hybrid concept numbered PG1. Test cases continue as TC-F-01 onward, in reading order across Sections 2-6, extending rather than restarting the numbering convention the Implementation Specification established for TC-E-*.</w:t>
      </w:r>
    </w:p>
    <w:bookmarkEnd w:id="24"/>
    <w:bookmarkEnd w:id="25"/>
    <w:bookmarkStart w:id="28" w:name="physics-concepts"/>
    <w:p>
      <w:pPr>
        <w:pStyle w:val="Heading2"/>
      </w:pPr>
      <w:r>
        <w:t xml:space="preserve">2. Physics Concepts</w:t>
      </w:r>
    </w:p>
    <w:bookmarkStart w:id="26" w:name="Xd55934a7ea0a11bfc56aeda05cadf509a9c7c04"/>
    <w:p>
      <w:pPr>
        <w:pStyle w:val="Heading3"/>
      </w:pPr>
      <w:r>
        <w:t xml:space="preserve">2.1 Concept P1 — Statistical Mechanics: Ising-Model Formulation of the Master Objective</w:t>
      </w:r>
    </w:p>
    <w:p>
      <w:pPr>
        <w:pStyle w:val="FirstParagraph"/>
      </w:pPr>
      <w:r>
        <w:rPr>
          <w:bCs/>
          <w:b/>
        </w:rPr>
        <w:t xml:space="preserve">What it is and why it applies.</w:t>
      </w:r>
      <w:r>
        <w:t xml:space="preserve"> </w:t>
      </w:r>
      <w:r>
        <w:t xml:space="preserve">Statistical mechanics studies how systems with many interacting components settle into low-energy states; the Ising model, originally a model of ferromagnetism, represents a system as binary</w:t>
      </w:r>
      <w:r>
        <w:t xml:space="preserve"> </w:t>
      </w:r>
      <w:r>
        <w:t xml:space="preserve">“</w:t>
      </w:r>
      <w:r>
        <w:t xml:space="preserve">spins</w:t>
      </w:r>
      <w:r>
        <w:t xml:space="preserve">”</w:t>
      </w:r>
      <w:r>
        <w:t xml:space="preserve"> </w:t>
      </w:r>
      <w:r>
        <w:t xml:space="preserve">with pairwise interaction energies, and finding its ground (lowest-energy) state is mathematically identical to a wide class of combinatorial optimization problems, including knapsack-shaped and constraint-satisfaction problems. A 2026 Physical Review Applied paper on higher-order Ising formulations, and a large, active body of 2025-2026 hardware research (memristor-crossbar Ising solvers achieving picojoule-scale energy-to-solution on 32-node max-cut instances; probabilistic-bit annealing achieving improved convergence on large-scale problems), demonstrate this is a mature, actively-improving solution family, not a historical curiosity. AEGIS’s monograph Section 5.4 already gestures toward this connection with its</w:t>
      </w:r>
      <w:r>
        <w:t xml:space="preserve"> </w:t>
      </w:r>
      <w:r>
        <w:t xml:space="preserve">“</w:t>
      </w:r>
      <w:r>
        <w:t xml:space="preserve">Information Physics Engine,</w:t>
      </w:r>
      <w:r>
        <w:t xml:space="preserve">”</w:t>
      </w:r>
      <w:r>
        <w:t xml:space="preserve"> </w:t>
      </w:r>
      <w:r>
        <w:t xml:space="preserve">which applies</w:t>
      </w:r>
      <w:r>
        <w:t xml:space="preserve"> </w:t>
      </w:r>
      <w:r>
        <w:t xml:space="preserve">“</w:t>
      </w:r>
      <w:r>
        <w:t xml:space="preserve">energy, gravity, and field analogies</w:t>
      </w:r>
      <w:r>
        <w:t xml:space="preserve">”</w:t>
      </w:r>
      <w:r>
        <w:t xml:space="preserve"> </w:t>
      </w:r>
      <w:r>
        <w:t xml:space="preserve">to relevance-decay heuristics — but, per Feasibility Report Section 5.4’s treatment, this engine’s mathematical contract is a heuristic analogy, not an actual Ising-model formulation with the energy-minimization machinery that framing would license.</w:t>
      </w:r>
    </w:p>
    <w:p>
      <w:pPr>
        <w:pStyle w:val="BodyText"/>
      </w:pPr>
      <w:r>
        <w:rPr>
          <w:bCs/>
          <w:b/>
        </w:rPr>
        <w:t xml:space="preserve">Where it applies.</w:t>
      </w:r>
      <w:r>
        <w:t xml:space="preserve"> </w:t>
      </w:r>
      <w:r>
        <w:t xml:space="preserve">The most direct application is not the plain 0/1 knapsack (which AEGIS’s Section 9.2 already solves exactly and efficiently via DP for the relevant instance sizes) but the harder, currently-heuristically-tuned master objective of monograph Section 9.4 — jointly optimizing the nine-dimensional fusion-weight vector w subject to the three quality-floor constraints. This is a higher-dimensional, non-convex optimization problem for which AEGIS currently relies on either a fixed configuration or the policy-gradient/bandit learners of Sections 9.7 and 13; an Ising/simulated-annealing formulation offers a third alternative specifically suited to problems with many interacting discrete or discretized choices, which the nine-engine weight-selection problem is.</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Formulate the master objective’s discretized weight-selection problem (each w_i binned into a small number of discrete levels) as an Ising energy function H(s) = −Σ J_ij·s_i·s_j − Σ h_i·s_i, where J_ij captures how engine i and engine j’s weight choices interact (e.g., redundant signal pairs should not both be weighted high simultaneously) and h_i captures each engine’s standalone quality-floor contribution. Run a small-scale simulated-annealing solver (software-only, no specialized hardware) against a synthetic version of this problem and compare its recovered weight configuration’s cost against the current fixed-default configuration’s cost, on synthetic data only.</w:t>
      </w:r>
      <w:r>
        <w:t xml:space="preserve"> </w:t>
      </w:r>
      <w:r>
        <w:t xml:space="preserve">-</w:t>
      </w:r>
      <w:r>
        <w:t xml:space="preserve"> </w:t>
      </w:r>
      <w:r>
        <w:rPr>
          <w:iCs/>
          <w:i/>
        </w:rPr>
        <w:t xml:space="preserve">Stage 1 (Standalone Prototype):</w:t>
      </w:r>
      <w:r>
        <w:t xml:space="preserve"> </w:t>
      </w:r>
      <w:r>
        <w:t xml:space="preserve">Implement a full software simulated-annealing solver (temperature schedule, Metropolis acceptance rule) for the discretized master-objective energy function, verified against brute-force enumeration on small (≤ 16-engine-equivalent) synthetic instances.</w:t>
      </w:r>
      <w:r>
        <w:t xml:space="preserve"> </w:t>
      </w:r>
      <w:r>
        <w:t xml:space="preserve">-</w:t>
      </w:r>
      <w:r>
        <w:t xml:space="preserve"> </w:t>
      </w:r>
      <w:r>
        <w:rPr>
          <w:iCs/>
          <w:i/>
        </w:rPr>
        <w:t xml:space="preserve">Stage 2 (Pipeline Integration):</w:t>
      </w:r>
      <w:r>
        <w:t xml:space="preserve"> </w:t>
      </w:r>
      <w:r>
        <w:t xml:space="preserve">Wire the annealing solver as an alternative, feature-flagged path for calibrating the master objective’s weight vector w, alongside the existing fixed-default and Section 13 bandit-learned paths — directly analogous to how the Implementation Specification’s Feature B4 (IB-calibrated master objective) was scoped as an alternative calibration path rather than a forced replacement.</w:t>
      </w:r>
      <w:r>
        <w:t xml:space="preserve"> </w:t>
      </w:r>
      <w:r>
        <w:t xml:space="preserve">-</w:t>
      </w:r>
      <w:r>
        <w:t xml:space="preserve"> </w:t>
      </w:r>
      <w:r>
        <w:rPr>
          <w:iCs/>
          <w:i/>
        </w:rPr>
        <w:t xml:space="preserve">Stage 3 (Production Validation):</w:t>
      </w:r>
      <w:r>
        <w:t xml:space="preserve"> </w:t>
      </w:r>
      <w:r>
        <w:t xml:space="preserve">Compare the annealing-calibrated configuration’s realized token cost, latency, and quality-floor satisfaction (per Feasibility Report Section 4.3’s benchmark protocol) against both the current fixed-default and the Feature B4 IB-calibrated configuration, on the same held-out evaluation set.</w:t>
      </w:r>
    </w:p>
    <w:p>
      <w:pPr>
        <w:pStyle w:val="BodyText"/>
      </w:pPr>
      <w:r>
        <w:rPr>
          <w:bCs/>
          <w:b/>
        </w:rPr>
        <w:t xml:space="preserve">Implementation stages (detail).</w:t>
      </w:r>
    </w:p>
    <w:p>
      <w:pPr>
        <w:pStyle w:val="SourceCode"/>
      </w:pPr>
      <w:r>
        <w:rPr>
          <w:rStyle w:val="VerbatimChar"/>
        </w:rPr>
        <w:t xml:space="preserve">def anneal_master_objective(</w:t>
      </w:r>
      <w:r>
        <w:br/>
      </w:r>
      <w:r>
        <w:rPr>
          <w:rStyle w:val="VerbatimChar"/>
        </w:rPr>
        <w:t xml:space="preserve">    engine_interactions: Matrix[float],   # J_ij, from historical co-activation correlation</w:t>
      </w:r>
      <w:r>
        <w:br/>
      </w:r>
      <w:r>
        <w:rPr>
          <w:rStyle w:val="VerbatimChar"/>
        </w:rPr>
        <w:t xml:space="preserve">    engine_priors: Vector[float],         # h_i, from Section 10.7's per-engine entropy diagnostics</w:t>
      </w:r>
      <w:r>
        <w:br/>
      </w:r>
      <w:r>
        <w:rPr>
          <w:rStyle w:val="VerbatimChar"/>
        </w:rPr>
        <w:t xml:space="preserve">    initial_temp: float = 10.0,</w:t>
      </w:r>
      <w:r>
        <w:br/>
      </w:r>
      <w:r>
        <w:rPr>
          <w:rStyle w:val="VerbatimChar"/>
        </w:rPr>
        <w:t xml:space="preserve">    cooling_rate: float = 0.95,</w:t>
      </w:r>
      <w:r>
        <w:br/>
      </w:r>
      <w:r>
        <w:rPr>
          <w:rStyle w:val="VerbatimChar"/>
        </w:rPr>
        <w:t xml:space="preserve">    num_sweeps: int = 1000,</w:t>
      </w:r>
      <w:r>
        <w:br/>
      </w:r>
      <w:r>
        <w:rPr>
          <w:rStyle w:val="VerbatimChar"/>
        </w:rPr>
        <w:t xml:space="preserve">) -&gt; WeightConfiguration:</w:t>
      </w:r>
      <w:r>
        <w:br/>
      </w:r>
      <w:r>
        <w:rPr>
          <w:rStyle w:val="VerbatimChar"/>
        </w:rPr>
        <w:t xml:space="preserve">    state = random_initial_state()</w:t>
      </w:r>
      <w:r>
        <w:br/>
      </w:r>
      <w:r>
        <w:rPr>
          <w:rStyle w:val="VerbatimChar"/>
        </w:rPr>
        <w:t xml:space="preserve">    temp = initial_temp</w:t>
      </w:r>
      <w:r>
        <w:br/>
      </w:r>
      <w:r>
        <w:rPr>
          <w:rStyle w:val="VerbatimChar"/>
        </w:rPr>
        <w:t xml:space="preserve">    for sweep in range(num_sweeps):</w:t>
      </w:r>
      <w:r>
        <w:br/>
      </w:r>
      <w:r>
        <w:rPr>
          <w:rStyle w:val="VerbatimChar"/>
        </w:rPr>
        <w:t xml:space="preserve">        for i in random_order(engines):</w:t>
      </w:r>
      <w:r>
        <w:br/>
      </w:r>
      <w:r>
        <w:rPr>
          <w:rStyle w:val="VerbatimChar"/>
        </w:rPr>
        <w:t xml:space="preserve">            delta_E = compute_energy_delta(state, i, engine_interactions, engine_priors)</w:t>
      </w:r>
      <w:r>
        <w:br/>
      </w:r>
      <w:r>
        <w:rPr>
          <w:rStyle w:val="VerbatimChar"/>
        </w:rPr>
        <w:t xml:space="preserve">            if delta_E &lt; 0 or random() &lt; exp(-delta_E / temp):</w:t>
      </w:r>
      <w:r>
        <w:br/>
      </w:r>
      <w:r>
        <w:rPr>
          <w:rStyle w:val="VerbatimChar"/>
        </w:rPr>
        <w:t xml:space="preserve">                state[i] = flip(state[i])</w:t>
      </w:r>
      <w:r>
        <w:br/>
      </w:r>
      <w:r>
        <w:rPr>
          <w:rStyle w:val="VerbatimChar"/>
        </w:rPr>
        <w:t xml:space="preserve">        temp *= cooling_rate</w:t>
      </w:r>
      <w:r>
        <w:br/>
      </w:r>
      <w:r>
        <w:rPr>
          <w:rStyle w:val="VerbatimChar"/>
        </w:rPr>
        <w:t xml:space="preserve">    return decode_weight_configuration(state)</w:t>
      </w:r>
    </w:p>
    <w:p>
      <w:pPr>
        <w:pStyle w:val="FirstParagraph"/>
      </w:pPr>
      <w:r>
        <w:rPr>
          <w:bCs/>
          <w:b/>
        </w:rPr>
        <w:t xml:space="preserve">Test cases.</w:t>
      </w:r>
      <w:r>
        <w:t xml:space="preserve"> </w:t>
      </w:r>
      <w:r>
        <w:t xml:space="preserve">-</w:t>
      </w:r>
      <w:r>
        <w:t xml:space="preserve"> </w:t>
      </w:r>
      <w:r>
        <w:rPr>
          <w:bCs/>
          <w:b/>
        </w:rPr>
        <w:t xml:space="preserve">TC-F-01</w:t>
      </w:r>
      <w:r>
        <w:t xml:space="preserve"> </w:t>
      </w:r>
      <w:r>
        <w:t xml:space="preserve">(Stage 1 gate): Brute-force match. Input: a synthetic 12-engine interaction matrix small enough for exhaustive 2^12 enumeration. Expected: the annealing solver’s recovered ground state matches brute-force optimal in a large majority of repeated runs (a probabilistic, not exact, guarantee — simulated annealing is not guaranteed optimal on every run, unlike AEGIS’s existing exact DP solver, and this test’s purpose is to characterize that success rate honestly rather than claim an exactness guarantee this method does not have).</w:t>
      </w:r>
      <w:r>
        <w:t xml:space="preserve"> </w:t>
      </w:r>
      <w:r>
        <w:t xml:space="preserve">-</w:t>
      </w:r>
      <w:r>
        <w:t xml:space="preserve"> </w:t>
      </w:r>
      <w:r>
        <w:rPr>
          <w:bCs/>
          <w:b/>
        </w:rPr>
        <w:t xml:space="preserve">TC-F-02</w:t>
      </w:r>
      <w:r>
        <w:t xml:space="preserve"> </w:t>
      </w:r>
      <w:r>
        <w:t xml:space="preserve">(Stage 2 gate): Feature-flag isolation. Input: the annealing path enabled behind its flag on a staging deployment. Expected: with the flag off, system behavior is bit-for-bit identical to the pre-existing baseline, confirming the integration adds no side effect when disabled.</w:t>
      </w:r>
      <w:r>
        <w:t xml:space="preserve"> </w:t>
      </w:r>
      <w:r>
        <w:t xml:space="preserve">-</w:t>
      </w:r>
      <w:r>
        <w:t xml:space="preserve"> </w:t>
      </w:r>
      <w:r>
        <w:rPr>
          <w:bCs/>
          <w:b/>
        </w:rPr>
        <w:t xml:space="preserve">TC-F-03</w:t>
      </w:r>
      <w:r>
        <w:t xml:space="preserve"> </w:t>
      </w:r>
      <w:r>
        <w:t xml:space="preserve">(Stage 3 gate): Head-to-head cost/quality comparison. Input: the Feasibility Report’s Section 4.3 benchmark protocol, run under the fixed-default, Feature B4 (IB-calibrated), and this concept’s annealing-calibrated configurations. Expected: report token cost, latency, and quality-floor satisfaction for all three, as the specific evidence that would justify (or rule out) promoting this concept beyond Stage 3.</w:t>
      </w:r>
    </w:p>
    <w:p>
      <w:r>
        <w:pict>
          <v:rect style="width:0;height:1.5pt" o:hralign="center" o:hrstd="t" o:hr="t"/>
        </w:pict>
      </w:r>
    </w:p>
    <w:bookmarkEnd w:id="26"/>
    <w:bookmarkStart w:id="27" w:name="Xc9b5f8fd9967b6ada0596180fb6117492b3bd04"/>
    <w:p>
      <w:pPr>
        <w:pStyle w:val="Heading3"/>
      </w:pPr>
      <w:r>
        <w:t xml:space="preserve">2.2 Concept P2 — Renormalization Group Theory for the L0-L5 Memory Hierarchy</w:t>
      </w:r>
    </w:p>
    <w:p>
      <w:pPr>
        <w:pStyle w:val="FirstParagraph"/>
      </w:pPr>
      <w:r>
        <w:rPr>
          <w:bCs/>
          <w:b/>
        </w:rPr>
        <w:t xml:space="preserve">What it is and why it applies.</w:t>
      </w:r>
      <w:r>
        <w:t xml:space="preserve"> </w:t>
      </w:r>
      <w:r>
        <w:t xml:space="preserve">Renormalization group (RG) theory, originally developed in statistical physics to explain how systems behave consistently across different scales of observation, formalizes</w:t>
      </w:r>
      <w:r>
        <w:t xml:space="preserve"> </w:t>
      </w:r>
      <w:r>
        <w:t xml:space="preserve">“</w:t>
      </w:r>
      <w:r>
        <w:t xml:space="preserve">coarse-graining</w:t>
      </w:r>
      <w:r>
        <w:t xml:space="preserve">”</w:t>
      </w:r>
      <w:r>
        <w:t xml:space="preserve"> </w:t>
      </w:r>
      <w:r>
        <w:t xml:space="preserve">— systematically simplifying a system by integrating out fine-grained detail while preserving the large-scale behavior that matters. A May 2026 ICML paper, RGMem, applies this directly to language-agent memory: episodic interactions are progressively coarse-grained into semantic facts, then user insights, then a stable profile, with an explicit separation between fast-changing evidence and slow-varying traits, reporting measured gains of +7.08 points on the LOCOMO benchmark and +8.98 on PersonaMem over the best prior memory-system baseline. This is a close, and more rigorously formalized, analogue of AEGIS’s own monograph Section 14.2 L0-L5 hierarchy (raw elements → cleaned text → structural chunks → section summaries → document abstracts → corpus summaries), which is currently specified as a fixed six-level pipeline without an explicit mathematical account of</w:t>
      </w:r>
      <w:r>
        <w:t xml:space="preserve"> </w:t>
      </w:r>
      <w:r>
        <w:rPr>
          <w:iCs/>
          <w:i/>
        </w:rPr>
        <w:t xml:space="preserve">what should be preserved</w:t>
      </w:r>
      <w:r>
        <w:t xml:space="preserve"> </w:t>
      </w:r>
      <w:r>
        <w:t xml:space="preserve">at each coarse-graining step or</w:t>
      </w:r>
      <w:r>
        <w:t xml:space="preserve"> </w:t>
      </w:r>
      <w:r>
        <w:rPr>
          <w:iCs/>
          <w:i/>
        </w:rPr>
        <w:t xml:space="preserve">when</w:t>
      </w:r>
      <w:r>
        <w:t xml:space="preserve"> </w:t>
      </w:r>
      <w:r>
        <w:t xml:space="preserve">a given piece of content should be promoted to the next level up.</w:t>
      </w:r>
    </w:p>
    <w:p>
      <w:pPr>
        <w:pStyle w:val="BodyText"/>
      </w:pPr>
      <w:r>
        <w:rPr>
          <w:bCs/>
          <w:b/>
        </w:rPr>
        <w:t xml:space="preserve">Where it applies.</w:t>
      </w:r>
      <w:r>
        <w:t xml:space="preserve"> </w:t>
      </w:r>
      <w:r>
        <w:t xml:space="preserve">AEGIS’s Section 14.2 hierarchy currently promotes content from one level to the next via unspecified summarization logic (monograph Section 14.5 mentions a</w:t>
      </w:r>
      <w:r>
        <w:t xml:space="preserve"> </w:t>
      </w:r>
      <w:r>
        <w:t xml:space="preserve">“</w:t>
      </w:r>
      <w:r>
        <w:t xml:space="preserve">T5-class summarizer</w:t>
      </w:r>
      <w:r>
        <w:t xml:space="preserve">”</w:t>
      </w:r>
      <w:r>
        <w:t xml:space="preserve"> </w:t>
      </w:r>
      <w:r>
        <w:t xml:space="preserve">for episodic-memory compression specifically, but the L0-L5 document hierarchy’s own promotion criteria are not given a formal rule). RG theory offers a specific, checkable criterion: a piece of content should be coarse-grained (promoted up a level) when doing so preserves the</w:t>
      </w:r>
      <w:r>
        <w:t xml:space="preserve"> </w:t>
      </w:r>
      <w:r>
        <w:t xml:space="preserve">“</w:t>
      </w:r>
      <w:r>
        <w:t xml:space="preserve">relevant</w:t>
      </w:r>
      <w:r>
        <w:t xml:space="preserve">”</w:t>
      </w:r>
      <w:r>
        <w:t xml:space="preserve"> </w:t>
      </w:r>
      <w:r>
        <w:t xml:space="preserve">statistics for downstream queries while discarding only the fine-grained detail that does not affect those statistics — directly parallel to RGMem’s explicit split between fast-changing evidence (kept at a fine-grained level) and slow-varying traits (promoted to a coarse-grained level).</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Instrument AEGIS’s existing L0-L5 hierarchy to measure, for a sample corpus, how often content promoted from one level to the next is subsequently needed at its original fine-grained level by a real query (a</w:t>
      </w:r>
      <w:r>
        <w:t xml:space="preserve"> </w:t>
      </w:r>
      <w:r>
        <w:t xml:space="preserve">“</w:t>
      </w:r>
      <w:r>
        <w:t xml:space="preserve">promotion regret</w:t>
      </w:r>
      <w:r>
        <w:t xml:space="preserve">”</w:t>
      </w:r>
      <w:r>
        <w:t xml:space="preserve"> </w:t>
      </w:r>
      <w:r>
        <w:t xml:space="preserve">rate) — establishing whether the</w:t>
      </w:r>
      <w:r>
        <w:t xml:space="preserve"> </w:t>
      </w:r>
      <w:r>
        <w:rPr>
          <w:iCs/>
          <w:i/>
        </w:rPr>
        <w:t xml:space="preserve">current</w:t>
      </w:r>
      <w:r>
        <w:t xml:space="preserve"> </w:t>
      </w:r>
      <w:r>
        <w:t xml:space="preserve">unformalized promotion logic is already a bottleneck worth addressing before investing in an RG-based replacement.</w:t>
      </w:r>
      <w:r>
        <w:t xml:space="preserve"> </w:t>
      </w:r>
      <w:r>
        <w:t xml:space="preserve">-</w:t>
      </w:r>
      <w:r>
        <w:t xml:space="preserve"> </w:t>
      </w:r>
      <w:r>
        <w:rPr>
          <w:iCs/>
          <w:i/>
        </w:rPr>
        <w:t xml:space="preserve">Stage 1 (Standalone Prototype):</w:t>
      </w:r>
      <w:r>
        <w:t xml:space="preserve"> </w:t>
      </w:r>
      <w:r>
        <w:t xml:space="preserve">Implement an explicit RG-flow-inspired coarse-graining rule: at each level transition, compute a</w:t>
      </w:r>
      <w:r>
        <w:t xml:space="preserve"> </w:t>
      </w:r>
      <w:r>
        <w:t xml:space="preserve">“</w:t>
      </w:r>
      <w:r>
        <w:t xml:space="preserve">relevance statistic</w:t>
      </w:r>
      <w:r>
        <w:t xml:space="preserve">”</w:t>
      </w:r>
      <w:r>
        <w:t xml:space="preserve"> </w:t>
      </w:r>
      <w:r>
        <w:t xml:space="preserve">(e.g., which entities, dates, or figures a downstream query distribution is likely to reference, estimated from historical query logs) and only discard content whose absence would not change that statistic beyond a configured tolerance — directly analogous to RGMem’s fast/slow-variable separation, implemented here as a standalone module tested against synthetic document corpora with known</w:t>
      </w:r>
      <w:r>
        <w:t xml:space="preserve"> </w:t>
      </w:r>
      <w:r>
        <w:t xml:space="preserve">“</w:t>
      </w:r>
      <w:r>
        <w:t xml:space="preserve">should have been preserved</w:t>
      </w:r>
      <w:r>
        <w:t xml:space="preserve">”</w:t>
      </w:r>
      <w:r>
        <w:t xml:space="preserve"> </w:t>
      </w:r>
      <w:r>
        <w:t xml:space="preserve">ground truth.</w:t>
      </w:r>
      <w:r>
        <w:t xml:space="preserve"> </w:t>
      </w:r>
      <w:r>
        <w:t xml:space="preserve">-</w:t>
      </w:r>
      <w:r>
        <w:t xml:space="preserve"> </w:t>
      </w:r>
      <w:r>
        <w:rPr>
          <w:iCs/>
          <w:i/>
        </w:rPr>
        <w:t xml:space="preserve">Stage 2 (Pipeline Integration):</w:t>
      </w:r>
      <w:r>
        <w:t xml:space="preserve"> </w:t>
      </w:r>
      <w:r>
        <w:t xml:space="preserve">Replace the unformalized promotion logic in monograph Section 14.2’s hierarchy with this concept’s explicit RG-flow rule, behind a feature flag, for both the document-level L0-L5 hierarchy and (following RGMem’s own primary use case) the session-level episodic memory of Section 14.5.</w:t>
      </w:r>
      <w:r>
        <w:t xml:space="preserve"> </w:t>
      </w:r>
      <w:r>
        <w:t xml:space="preserve">-</w:t>
      </w:r>
      <w:r>
        <w:t xml:space="preserve"> </w:t>
      </w:r>
      <w:r>
        <w:rPr>
          <w:iCs/>
          <w:i/>
        </w:rPr>
        <w:t xml:space="preserve">Stage 3 (Production Validation):</w:t>
      </w:r>
      <w:r>
        <w:t xml:space="preserve"> </w:t>
      </w:r>
      <w:r>
        <w:t xml:space="preserve">Compare query-answering accuracy and token cost for queries requiring fine-grained detail that the current hierarchy may have already coarse-grained away, under the existing versus RG-flow-based promotion logic, using the same benchmark protocol as Concept P1’s Stage 3.</w:t>
      </w:r>
    </w:p>
    <w:p>
      <w:pPr>
        <w:pStyle w:val="BodyText"/>
      </w:pPr>
      <w:r>
        <w:rPr>
          <w:bCs/>
          <w:b/>
        </w:rPr>
        <w:t xml:space="preserve">Implementation stages (detail).</w:t>
      </w:r>
    </w:p>
    <w:p>
      <w:pPr>
        <w:pStyle w:val="SourceCode"/>
      </w:pPr>
      <w:r>
        <w:rPr>
          <w:rStyle w:val="VerbatimChar"/>
        </w:rPr>
        <w:t xml:space="preserve">def rg_coarse_grain(</w:t>
      </w:r>
      <w:r>
        <w:br/>
      </w:r>
      <w:r>
        <w:rPr>
          <w:rStyle w:val="VerbatimChar"/>
        </w:rPr>
        <w:t xml:space="preserve">    content_block: ContentBlock,          # at level L_k</w:t>
      </w:r>
      <w:r>
        <w:br/>
      </w:r>
      <w:r>
        <w:rPr>
          <w:rStyle w:val="VerbatimChar"/>
        </w:rPr>
        <w:t xml:space="preserve">    query_relevance_estimator: Callable,  # estimates which statistics matter for future queries</w:t>
      </w:r>
      <w:r>
        <w:br/>
      </w:r>
      <w:r>
        <w:rPr>
          <w:rStyle w:val="VerbatimChar"/>
        </w:rPr>
        <w:t xml:space="preserve">    tolerance: float = 0.05,</w:t>
      </w:r>
      <w:r>
        <w:br/>
      </w:r>
      <w:r>
        <w:rPr>
          <w:rStyle w:val="VerbatimChar"/>
        </w:rPr>
        <w:t xml:space="preserve">) -&gt; Tuple[ContentBlock, RetainedDetail]: # coarse-grained block for L_{k+1}, plus any detail kept at L_k</w:t>
      </w:r>
      <w:r>
        <w:br/>
      </w:r>
      <w:r>
        <w:rPr>
          <w:rStyle w:val="VerbatimChar"/>
        </w:rPr>
        <w:t xml:space="preserve">    relevant_stats = query_relevance_estimator(content_block)</w:t>
      </w:r>
      <w:r>
        <w:br/>
      </w:r>
      <w:r>
        <w:rPr>
          <w:rStyle w:val="VerbatimChar"/>
        </w:rPr>
        <w:t xml:space="preserve">    coarse = summarize(content_block)</w:t>
      </w:r>
      <w:r>
        <w:br/>
      </w:r>
      <w:r>
        <w:rPr>
          <w:rStyle w:val="VerbatimChar"/>
        </w:rPr>
        <w:t xml:space="preserve">    reconstruction_error = compare_stats(relevant_stats, query_relevance_estimator(coarse))</w:t>
      </w:r>
      <w:r>
        <w:br/>
      </w:r>
      <w:r>
        <w:rPr>
          <w:rStyle w:val="VerbatimChar"/>
        </w:rPr>
        <w:t xml:space="preserve">    if reconstruction_error &gt; tolerance:</w:t>
      </w:r>
      <w:r>
        <w:br/>
      </w:r>
      <w:r>
        <w:rPr>
          <w:rStyle w:val="VerbatimChar"/>
        </w:rPr>
        <w:t xml:space="preserve">        retained = extract_high_impact_detail(content_block, relevant_stats)</w:t>
      </w:r>
      <w:r>
        <w:br/>
      </w:r>
      <w:r>
        <w:rPr>
          <w:rStyle w:val="VerbatimChar"/>
        </w:rPr>
        <w:t xml:space="preserve">        return coarse, retained</w:t>
      </w:r>
      <w:r>
        <w:br/>
      </w:r>
      <w:r>
        <w:rPr>
          <w:rStyle w:val="VerbatimChar"/>
        </w:rPr>
        <w:t xml:space="preserve">    return coarse, None</w:t>
      </w:r>
    </w:p>
    <w:p>
      <w:pPr>
        <w:pStyle w:val="FirstParagraph"/>
      </w:pPr>
      <w:r>
        <w:rPr>
          <w:bCs/>
          <w:b/>
        </w:rPr>
        <w:t xml:space="preserve">Test cases.</w:t>
      </w:r>
      <w:r>
        <w:t xml:space="preserve"> </w:t>
      </w:r>
      <w:r>
        <w:t xml:space="preserve">-</w:t>
      </w:r>
      <w:r>
        <w:t xml:space="preserve"> </w:t>
      </w:r>
      <w:r>
        <w:rPr>
          <w:bCs/>
          <w:b/>
        </w:rPr>
        <w:t xml:space="preserve">TC-F-04</w:t>
      </w:r>
      <w:r>
        <w:t xml:space="preserve"> </w:t>
      </w:r>
      <w:r>
        <w:t xml:space="preserve">(Stage 0 gate): Promotion-regret measurement. Input: a sample of AEGIS’s existing L0-L5 promotions against a query log. Expected: report the fraction of promotions where a subsequent query needed detail no longer available at the coarse-grained level — the specific number that would justify (or fail to justify) proceeding to Stage 1.</w:t>
      </w:r>
      <w:r>
        <w:t xml:space="preserve"> </w:t>
      </w:r>
      <w:r>
        <w:t xml:space="preserve">-</w:t>
      </w:r>
      <w:r>
        <w:t xml:space="preserve"> </w:t>
      </w:r>
      <w:r>
        <w:rPr>
          <w:bCs/>
          <w:b/>
        </w:rPr>
        <w:t xml:space="preserve">TC-F-05</w:t>
      </w:r>
      <w:r>
        <w:t xml:space="preserve"> </w:t>
      </w:r>
      <w:r>
        <w:t xml:space="preserve">(Stage 1 gate): Synthetic reconstruction-error bound. Input: synthetic documents with known critical facts. Expected: the RG-flow rule retains those critical facts (low reconstruction error) while still achieving a token-count reduction comparable to or better than the current fixed-rule summarizer on the same documents.</w:t>
      </w:r>
      <w:r>
        <w:t xml:space="preserve"> </w:t>
      </w:r>
      <w:r>
        <w:t xml:space="preserve">-</w:t>
      </w:r>
      <w:r>
        <w:t xml:space="preserve"> </w:t>
      </w:r>
      <w:r>
        <w:rPr>
          <w:bCs/>
          <w:b/>
        </w:rPr>
        <w:t xml:space="preserve">TC-F-06</w:t>
      </w:r>
      <w:r>
        <w:t xml:space="preserve"> </w:t>
      </w:r>
      <w:r>
        <w:t xml:space="preserve">(Stage 3 gate): Head-to-head query accuracy. Input: the Feasibility Report’s Section 4.3 protocol, focused specifically on queries requiring detail from a document’s earlier sections after significant intervening content. Expected: report accuracy and token cost for the current versus RG-flow-based hierarchy, following RGMem’s own comparison methodology against its baselines.</w:t>
      </w:r>
    </w:p>
    <w:bookmarkEnd w:id="27"/>
    <w:bookmarkEnd w:id="28"/>
    <w:bookmarkStart w:id="30" w:name="graph-theory-concept"/>
    <w:p>
      <w:pPr>
        <w:pStyle w:val="Heading2"/>
      </w:pPr>
      <w:r>
        <w:t xml:space="preserve">3. Graph Theory Concept</w:t>
      </w:r>
    </w:p>
    <w:bookmarkStart w:id="29" w:name="X1c31d3210a72aaa5204909822ae606d3b4a0522"/>
    <w:p>
      <w:pPr>
        <w:pStyle w:val="Heading3"/>
      </w:pPr>
      <w:r>
        <w:t xml:space="preserve">3.1 Concept G1 — Ollivier-Ricci Curvature for Bottleneck and Community Detection</w:t>
      </w:r>
    </w:p>
    <w:p>
      <w:pPr>
        <w:pStyle w:val="FirstParagraph"/>
      </w:pPr>
      <w:r>
        <w:rPr>
          <w:bCs/>
          <w:b/>
        </w:rPr>
        <w:t xml:space="preserve">What it is and why it applies.</w:t>
      </w:r>
      <w:r>
        <w:t xml:space="preserve"> </w:t>
      </w:r>
      <w:r>
        <w:t xml:space="preserve">Ollivier-Ricci curvature discretizes the Riemannian-geometric notion of curvature onto a graph, by comparing the graph distance between two adjacent nodes against the optimal-transport (Wasserstein) distance between their neighborhoods’ probability distributions — the same Wasserstein machinery the Enhancement Research Report’s Section 4 already introduced to AEGIS via the Order-Preserving Wasserstein reading-order metric and the Gromov-Wasserstein template comparator, making this concept a natural, dependency-sharing extension rather than an unrelated addition. A negative-curvature edge indicates a structural bottleneck — a narrow connection between otherwise well-connected regions, prone to</w:t>
      </w:r>
      <w:r>
        <w:t xml:space="preserve"> </w:t>
      </w:r>
      <w:r>
        <w:t xml:space="preserve">“</w:t>
      </w:r>
      <w:r>
        <w:t xml:space="preserve">over-squashing</w:t>
      </w:r>
      <w:r>
        <w:t xml:space="preserve">”</w:t>
      </w:r>
      <w:r>
        <w:t xml:space="preserve"> </w:t>
      </w:r>
      <w:r>
        <w:t xml:space="preserve">information flow, per an active 2025-2026 graph-neural-network research literature specifically using this diagnostic to detect and correct such bottlenecks. A positive-curvature region indicates dense, community-like structure.</w:t>
      </w:r>
    </w:p>
    <w:p>
      <w:pPr>
        <w:pStyle w:val="BodyText"/>
      </w:pPr>
      <w:r>
        <w:rPr>
          <w:bCs/>
          <w:b/>
        </w:rPr>
        <w:t xml:space="preserve">Where it applies.</w:t>
      </w:r>
      <w:r>
        <w:t xml:space="preserve"> </w:t>
      </w:r>
      <w:r>
        <w:t xml:space="preserve">Two of AEGIS’s existing graphs are natural targets. First, Section 6.2’s spatial reading-order graph: a negative-curvature edge in this graph would flag a page transition or column boundary that is structurally fragile — a single narrow connection between two densely-connected regions — precisely the kind of adversarial layout condition Definition 6.1’s reading-forward-successor rule is designed to handle correctly, but which this concept would let AEGIS</w:t>
      </w:r>
      <w:r>
        <w:t xml:space="preserve"> </w:t>
      </w:r>
      <w:r>
        <w:rPr>
          <w:iCs/>
          <w:i/>
        </w:rPr>
        <w:t xml:space="preserve">detect and flag</w:t>
      </w:r>
      <w:r>
        <w:t xml:space="preserve"> </w:t>
      </w:r>
      <w:r>
        <w:t xml:space="preserve">proactively (a diagnostic Theorem 6.1’s acyclicity proof does not itself provide, since a graph can be perfectly acyclic and still route through a fragile bottleneck edge). Second, Section 15’s hybrid-retrieval fusion, if represented as a graph over candidate chunks connected by similarity edges (a natural extension of the existing k-nearest-neighbor-style candidate structure implicit in dense retrieval): positive-curvature clusters would correspond to redundant, near-duplicate chunk groups — a diagnostic directly complementary to the Enhancement Research Report’s Section 2 submodular reformulation, since curvature-based redundancy detection could inform which concepts a coverage function should weight most heavily.</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Compute Ollivier-Ricci curvature over a sample of AEGIS’s existing Section 6.2 reading-order graphs from real or synthetic adversarial-layout documents, and manually inspect whether negative-curvature edges correlate with the specific adversarial conditions (multi-column crossings, irregular wrapping) the monograph’s Section 6 design already targets — establishing whether the diagnostic is informative on AEGIS’s actual graph structures before building tooling around it.</w:t>
      </w:r>
      <w:r>
        <w:t xml:space="preserve"> </w:t>
      </w:r>
      <w:r>
        <w:t xml:space="preserve">-</w:t>
      </w:r>
      <w:r>
        <w:t xml:space="preserve"> </w:t>
      </w:r>
      <w:r>
        <w:rPr>
          <w:iCs/>
          <w:i/>
        </w:rPr>
        <w:t xml:space="preserve">Stage 1 (Standalone Prototype):</w:t>
      </w:r>
      <w:r>
        <w:t xml:space="preserve"> </w:t>
      </w:r>
      <w:r>
        <w:t xml:space="preserve">Implement Ollivier-Ricci curvature computation (via the standard Sinkhorn-approximated optimal-transport method, sharing the POT library dependency Enhancement Research Report Section 4 already introduced) as a standalone diagnostic module, verified on synthetic graphs with known curvature signatures (a dense clique should show strongly positive curvature; a bridge edge between two cliques should show strongly negative curvature).</w:t>
      </w:r>
      <w:r>
        <w:t xml:space="preserve"> </w:t>
      </w:r>
      <w:r>
        <w:t xml:space="preserve">-</w:t>
      </w:r>
      <w:r>
        <w:t xml:space="preserve"> </w:t>
      </w:r>
      <w:r>
        <w:rPr>
          <w:iCs/>
          <w:i/>
        </w:rPr>
        <w:t xml:space="preserve">Stage 2 (Pipeline Integration):</w:t>
      </w:r>
      <w:r>
        <w:t xml:space="preserve"> </w:t>
      </w:r>
      <w:r>
        <w:t xml:space="preserve">Wire the curvature diagnostic into Section 6’s reading-order pipeline as an additional, non-blocking annotation on the recovered graph (flagging fragile edges without altering Theorem 6.1/6.2’s existing construction or recovery logic), and separately into Section 15’s retrieval-candidate graph as a redundancy diagnostic feeding the Enhancement Research Report’s Section 2 submodular concept-weighting.</w:t>
      </w:r>
      <w:r>
        <w:t xml:space="preserve"> </w:t>
      </w:r>
      <w:r>
        <w:t xml:space="preserve">-</w:t>
      </w:r>
      <w:r>
        <w:t xml:space="preserve"> </w:t>
      </w:r>
      <w:r>
        <w:rPr>
          <w:iCs/>
          <w:i/>
        </w:rPr>
        <w:t xml:space="preserve">Stage 3 (Production Validation):</w:t>
      </w:r>
      <w:r>
        <w:t xml:space="preserve"> </w:t>
      </w:r>
      <w:r>
        <w:t xml:space="preserve">Correlate curvature-flagged fragile edges in the reading-order graph against the specific real-corpus reading-order error cases identified by the Comparative Landscape Report’s recommended OmniDocBench evaluation (that report’s Section 4.6), to test whether curvature-based flagging predicts actual reading-order errors before they occur.</w:t>
      </w:r>
    </w:p>
    <w:p>
      <w:pPr>
        <w:pStyle w:val="BodyText"/>
      </w:pPr>
      <w:r>
        <w:rPr>
          <w:bCs/>
          <w:b/>
        </w:rPr>
        <w:t xml:space="preserve">Implementation stages (detail).</w:t>
      </w:r>
    </w:p>
    <w:p>
      <w:pPr>
        <w:pStyle w:val="SourceCode"/>
      </w:pPr>
      <w:r>
        <w:rPr>
          <w:rStyle w:val="VerbatimChar"/>
        </w:rPr>
        <w:t xml:space="preserve">def ollivier_ricci_curvature(</w:t>
      </w:r>
      <w:r>
        <w:br/>
      </w:r>
      <w:r>
        <w:rPr>
          <w:rStyle w:val="VerbatimChar"/>
        </w:rPr>
        <w:t xml:space="preserve">    graph: Graph,</w:t>
      </w:r>
      <w:r>
        <w:br/>
      </w:r>
      <w:r>
        <w:rPr>
          <w:rStyle w:val="VerbatimChar"/>
        </w:rPr>
        <w:t xml:space="preserve">    alpha: float = 0.5,        # idleness parameter (probability mass kept at the node itself)</w:t>
      </w:r>
      <w:r>
        <w:br/>
      </w:r>
      <w:r>
        <w:rPr>
          <w:rStyle w:val="VerbatimChar"/>
        </w:rPr>
        <w:t xml:space="preserve">) -&gt; Dict[Edge, float]:</w:t>
      </w:r>
      <w:r>
        <w:br/>
      </w:r>
      <w:r>
        <w:rPr>
          <w:rStyle w:val="VerbatimChar"/>
        </w:rPr>
        <w:t xml:space="preserve">    curvatures = {}</w:t>
      </w:r>
      <w:r>
        <w:br/>
      </w:r>
      <w:r>
        <w:rPr>
          <w:rStyle w:val="VerbatimChar"/>
        </w:rPr>
        <w:t xml:space="preserve">    for (u, v) in graph.edges:</w:t>
      </w:r>
      <w:r>
        <w:br/>
      </w:r>
      <w:r>
        <w:rPr>
          <w:rStyle w:val="VerbatimChar"/>
        </w:rPr>
        <w:t xml:space="preserve">        mu_u = neighborhood_distribution(u, alpha, graph)</w:t>
      </w:r>
      <w:r>
        <w:br/>
      </w:r>
      <w:r>
        <w:rPr>
          <w:rStyle w:val="VerbatimChar"/>
        </w:rPr>
        <w:t xml:space="preserve">        mu_v = neighborhood_distribution(v, alpha, graph)</w:t>
      </w:r>
      <w:r>
        <w:br/>
      </w:r>
      <w:r>
        <w:rPr>
          <w:rStyle w:val="VerbatimChar"/>
        </w:rPr>
        <w:t xml:space="preserve">        w1_distance = sinkhorn_wasserstein(mu_u, mu_v, graph.shortest_path_matrix)</w:t>
      </w:r>
      <w:r>
        <w:br/>
      </w:r>
      <w:r>
        <w:rPr>
          <w:rStyle w:val="VerbatimChar"/>
        </w:rPr>
        <w:t xml:space="preserve">        curvatures[(u, v)] = 1 - w1_distance / graph.shortest_path(u, v)</w:t>
      </w:r>
      <w:r>
        <w:br/>
      </w:r>
      <w:r>
        <w:rPr>
          <w:rStyle w:val="VerbatimChar"/>
        </w:rPr>
        <w:t xml:space="preserve">    return curvatures</w:t>
      </w:r>
      <w:r>
        <w:br/>
      </w:r>
      <w:r>
        <w:br/>
      </w:r>
      <w:r>
        <w:rPr>
          <w:rStyle w:val="VerbatimChar"/>
        </w:rPr>
        <w:t xml:space="preserve">def flag_fragile_edges(curvatures: Dict[Edge, float], threshold: float = -0.3) -&gt; List[Edge]:</w:t>
      </w:r>
      <w:r>
        <w:br/>
      </w:r>
      <w:r>
        <w:rPr>
          <w:rStyle w:val="VerbatimChar"/>
        </w:rPr>
        <w:t xml:space="preserve">    return [e for e, k in curvatures.items() if k &lt; threshold]</w:t>
      </w:r>
    </w:p>
    <w:p>
      <w:pPr>
        <w:pStyle w:val="FirstParagraph"/>
      </w:pPr>
      <w:r>
        <w:rPr>
          <w:bCs/>
          <w:b/>
        </w:rPr>
        <w:t xml:space="preserve">Test cases.</w:t>
      </w:r>
      <w:r>
        <w:t xml:space="preserve"> </w:t>
      </w:r>
      <w:r>
        <w:t xml:space="preserve">-</w:t>
      </w:r>
      <w:r>
        <w:t xml:space="preserve"> </w:t>
      </w:r>
      <w:r>
        <w:rPr>
          <w:bCs/>
          <w:b/>
        </w:rPr>
        <w:t xml:space="preserve">TC-F-07</w:t>
      </w:r>
      <w:r>
        <w:t xml:space="preserve"> </w:t>
      </w:r>
      <w:r>
        <w:t xml:space="preserve">(Stage 1 gate): Known-signature verification. Input: a synthetic dense clique and a synthetic two-clique-plus-bridge graph. Expected: clique-internal edges show curvature significantly above zero; the bridge edge shows curvature significantly below zero, confirming the implementation correctly reproduces the qualitative signature curvature theory predicts.</w:t>
      </w:r>
      <w:r>
        <w:t xml:space="preserve"> </w:t>
      </w:r>
      <w:r>
        <w:t xml:space="preserve">-</w:t>
      </w:r>
      <w:r>
        <w:t xml:space="preserve"> </w:t>
      </w:r>
      <w:r>
        <w:rPr>
          <w:bCs/>
          <w:b/>
        </w:rPr>
        <w:t xml:space="preserve">TC-F-08</w:t>
      </w:r>
      <w:r>
        <w:t xml:space="preserve"> </w:t>
      </w:r>
      <w:r>
        <w:t xml:space="preserve">(Stage 1 gate): Reading-order graph adversarial correlation. Input: the same multi-column and dense-grid synthetic layouts used in the Implementation and Credibility Test Cases document’s TC-01 and TC-03. Expected: report whether curvature flags concentrate near the column-boundary and dense-tie regions those tests already target, as an internal-consistency check against this body of work’s existing adversarial test fixtures.</w:t>
      </w:r>
      <w:r>
        <w:t xml:space="preserve"> </w:t>
      </w:r>
      <w:r>
        <w:t xml:space="preserve">-</w:t>
      </w:r>
      <w:r>
        <w:t xml:space="preserve"> </w:t>
      </w:r>
      <w:r>
        <w:rPr>
          <w:bCs/>
          <w:b/>
        </w:rPr>
        <w:t xml:space="preserve">TC-F-09</w:t>
      </w:r>
      <w:r>
        <w:t xml:space="preserve"> </w:t>
      </w:r>
      <w:r>
        <w:t xml:space="preserve">(Stage 3 gate): Predictive validity against real reading-order errors. Input: the Comparative Landscape Report’s recommended OmniDocBench evaluation run, with curvature diagnostics computed alongside. Expected: report precision/recall of curvature-flagged edges against pages where the recovered reading order actually diverges from ground truth, establishing whether this diagnostic has real predictive value beyond the synthetic checks of TC-F-07/08.</w:t>
      </w:r>
    </w:p>
    <w:bookmarkEnd w:id="29"/>
    <w:bookmarkEnd w:id="30"/>
    <w:bookmarkStart w:id="33" w:name="number-theory-concepts"/>
    <w:p>
      <w:pPr>
        <w:pStyle w:val="Heading2"/>
      </w:pPr>
      <w:r>
        <w:t xml:space="preserve">4. Number Theory Concepts</w:t>
      </w:r>
    </w:p>
    <w:bookmarkStart w:id="31" w:name="X2d271fde99567a480f93d8e1d4d16df3de30390"/>
    <w:p>
      <w:pPr>
        <w:pStyle w:val="Heading3"/>
      </w:pPr>
      <w:r>
        <w:t xml:space="preserve">4.1 Concept N1 — Number-Theoretic Transforms for Fast Modular Convolution</w:t>
      </w:r>
    </w:p>
    <w:p>
      <w:pPr>
        <w:pStyle w:val="FirstParagraph"/>
      </w:pPr>
      <w:r>
        <w:rPr>
          <w:bCs/>
          <w:b/>
        </w:rPr>
        <w:t xml:space="preserve">What it is and why it applies.</w:t>
      </w:r>
      <w:r>
        <w:t xml:space="preserve"> </w:t>
      </w:r>
      <w:r>
        <w:t xml:space="preserve">The Number-Theoretic Transform (NTT) is a variant of the Fast Fourier Transform performed over integers modulo a prime, using a primitive root of unity in place of the FFT’s complex roots of unity. Its central practical benefit is reducing polynomial multiplication (equivalently, discrete convolution) from O(N²) to O(N log N), with the added benefit — relative to a floating-point FFT — of exact, rounding-error-free arithmetic, since all computation stays within modular integers. This is an actively-optimized area of current systems research, including 2025-2026 GPU- and tensor-core-targeted NTT accelerators achieving substantial throughput gains for exactly this convolution workload.</w:t>
      </w:r>
    </w:p>
    <w:p>
      <w:pPr>
        <w:pStyle w:val="BodyText"/>
      </w:pPr>
      <w:r>
        <w:rPr>
          <w:bCs/>
          <w:b/>
        </w:rPr>
        <w:t xml:space="preserve">Where it applies.</w:t>
      </w:r>
      <w:r>
        <w:t xml:space="preserve"> </w:t>
      </w:r>
      <w:r>
        <w:t xml:space="preserve">Two AEGIS computations are structurally convolutions or convolution-adjacent operations currently computed at higher cost. First, the Matrix Engine’s table statistics (monograph Section 5.4) include covariance and correlation computations across table rows/columns, which for large tables (financial statements with many periods, per Appendix F’s worked example) involve computations with the same algebraic structure NTT accelerates. Second, the Frequency Engine’s TF-IDF and BM25 computations, at corpus scale, involve term-frequency aggregation across large document sets — an operation with convolution-like structure when computed via a sliding-window or n-gram-based extension (not the base single-document TF-IDF AEGIS currently specifies, but a natural extension for corpus-level frequency analysis the monograph’s Section 5.4 does not currently detail).</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Profile AEGIS’s actual Matrix Engine correlation/covariance computation on representative large tables (following Appendix F’s financial-table worked example, scaled to realistic period counts) to confirm this computation is a measurable contributor to per-document processing latency before investing in an NTT-based replacement — this stage exists specifically because NTT’s benefit only matters if the current O(N²) computation is large enough for the asymptotic improvement to be material at AEGIS’s actual table sizes.</w:t>
      </w:r>
      <w:r>
        <w:t xml:space="preserve"> </w:t>
      </w:r>
      <w:r>
        <w:t xml:space="preserve">-</w:t>
      </w:r>
      <w:r>
        <w:t xml:space="preserve"> </w:t>
      </w:r>
      <w:r>
        <w:rPr>
          <w:iCs/>
          <w:i/>
        </w:rPr>
        <w:t xml:space="preserve">Stage 1 (Standalone Prototype):</w:t>
      </w:r>
      <w:r>
        <w:t xml:space="preserve"> </w:t>
      </w:r>
      <w:r>
        <w:t xml:space="preserve">Implement an NTT-based convolution routine (choosing a suitable NTT-friendly prime modulus for the integer or fixed-point-scaled table data AEGIS’s Matrix Engine operates on) and verify its output matches the existing floating-point computation within a specified tolerance on synthetic table data.</w:t>
      </w:r>
      <w:r>
        <w:t xml:space="preserve"> </w:t>
      </w:r>
      <w:r>
        <w:t xml:space="preserve">-</w:t>
      </w:r>
      <w:r>
        <w:t xml:space="preserve"> </w:t>
      </w:r>
      <w:r>
        <w:rPr>
          <w:iCs/>
          <w:i/>
        </w:rPr>
        <w:t xml:space="preserve">Stage 2 (Pipeline Integration):</w:t>
      </w:r>
      <w:r>
        <w:t xml:space="preserve"> </w:t>
      </w:r>
      <w:r>
        <w:t xml:space="preserve">Wire the NTT-based routine as an alternative computation path for the Matrix Engine’s correlation/covariance statistics, selected automatically above a configured table-size threshold (below which the existing O(N²) computation remains cheaper in absolute terms despite its worse asymptotic complexity).</w:t>
      </w:r>
      <w:r>
        <w:t xml:space="preserve"> </w:t>
      </w:r>
      <w:r>
        <w:t xml:space="preserve">-</w:t>
      </w:r>
      <w:r>
        <w:t xml:space="preserve"> </w:t>
      </w:r>
      <w:r>
        <w:rPr>
          <w:iCs/>
          <w:i/>
        </w:rPr>
        <w:t xml:space="preserve">Stage 3 (Production Validation):</w:t>
      </w:r>
      <w:r>
        <w:t xml:space="preserve"> </w:t>
      </w:r>
      <w:r>
        <w:t xml:space="preserve">Measure realized latency reduction on AEGIS’s actual large-table corpus (per Stage 0’s profiling), and confirm the exact-arithmetic property (no floating-point rounding drift) provides a measurable numerical-stability benefit on the specific financial-statement correlation computations Section 5.4’s Theorem-adjacent statistics rely on.</w:t>
      </w:r>
    </w:p>
    <w:p>
      <w:pPr>
        <w:pStyle w:val="BodyText"/>
      </w:pPr>
      <w:r>
        <w:rPr>
          <w:bCs/>
          <w:b/>
        </w:rPr>
        <w:t xml:space="preserve">Implementation stages (detail).</w:t>
      </w:r>
    </w:p>
    <w:p>
      <w:pPr>
        <w:pStyle w:val="SourceCode"/>
      </w:pPr>
      <w:r>
        <w:rPr>
          <w:rStyle w:val="VerbatimChar"/>
        </w:rPr>
        <w:t xml:space="preserve">def ntt_convolution(</w:t>
      </w:r>
      <w:r>
        <w:br/>
      </w:r>
      <w:r>
        <w:rPr>
          <w:rStyle w:val="VerbatimChar"/>
        </w:rPr>
        <w:t xml:space="preserve">    a: List[int],</w:t>
      </w:r>
      <w:r>
        <w:br/>
      </w:r>
      <w:r>
        <w:rPr>
          <w:rStyle w:val="VerbatimChar"/>
        </w:rPr>
        <w:t xml:space="preserve">    b: List[int],</w:t>
      </w:r>
      <w:r>
        <w:br/>
      </w:r>
      <w:r>
        <w:rPr>
          <w:rStyle w:val="VerbatimChar"/>
        </w:rPr>
        <w:t xml:space="preserve">    prime_modulus: int,     # NTT-friendly prime, e.g. of form k*2^n + 1</w:t>
      </w:r>
      <w:r>
        <w:br/>
      </w:r>
      <w:r>
        <w:rPr>
          <w:rStyle w:val="VerbatimChar"/>
        </w:rPr>
        <w:t xml:space="preserve">) -&gt; List[int]:</w:t>
      </w:r>
      <w:r>
        <w:br/>
      </w:r>
      <w:r>
        <w:rPr>
          <w:rStyle w:val="VerbatimChar"/>
        </w:rPr>
        <w:t xml:space="preserve">    n = next_power_of_two(len(a) + len(b))</w:t>
      </w:r>
      <w:r>
        <w:br/>
      </w:r>
      <w:r>
        <w:rPr>
          <w:rStyle w:val="VerbatimChar"/>
        </w:rPr>
        <w:t xml:space="preserve">    primitive_root = find_primitive_root(prime_modulus, n)</w:t>
      </w:r>
      <w:r>
        <w:br/>
      </w:r>
      <w:r>
        <w:rPr>
          <w:rStyle w:val="VerbatimChar"/>
        </w:rPr>
        <w:t xml:space="preserve">    a_hat = ntt_forward(pad(a, n), prime_modulus, primitive_root)</w:t>
      </w:r>
      <w:r>
        <w:br/>
      </w:r>
      <w:r>
        <w:rPr>
          <w:rStyle w:val="VerbatimChar"/>
        </w:rPr>
        <w:t xml:space="preserve">    b_hat = ntt_forward(pad(b, n), prime_modulus, primitive_root)</w:t>
      </w:r>
      <w:r>
        <w:br/>
      </w:r>
      <w:r>
        <w:rPr>
          <w:rStyle w:val="VerbatimChar"/>
        </w:rPr>
        <w:t xml:space="preserve">    c_hat = [(x * y) % prime_modulus for x, y in zip(a_hat, b_hat)]</w:t>
      </w:r>
      <w:r>
        <w:br/>
      </w:r>
      <w:r>
        <w:rPr>
          <w:rStyle w:val="VerbatimChar"/>
        </w:rPr>
        <w:t xml:space="preserve">    return ntt_inverse(c_hat, prime_modulus, primitive_root)</w:t>
      </w:r>
      <w:r>
        <w:br/>
      </w:r>
      <w:r>
        <w:br/>
      </w:r>
      <w:r>
        <w:rPr>
          <w:rStyle w:val="VerbatimChar"/>
        </w:rPr>
        <w:t xml:space="preserve">def matrix_engine_correlation_ntt(table: CellMatrix, threshold_size: int = 256) -&gt; CorrelationResult:</w:t>
      </w:r>
      <w:r>
        <w:br/>
      </w:r>
      <w:r>
        <w:rPr>
          <w:rStyle w:val="VerbatimChar"/>
        </w:rPr>
        <w:t xml:space="preserve">    if table.row_count &lt; threshold_size:</w:t>
      </w:r>
      <w:r>
        <w:br/>
      </w:r>
      <w:r>
        <w:rPr>
          <w:rStyle w:val="VerbatimChar"/>
        </w:rPr>
        <w:t xml:space="preserve">        return matrix_engine_correlation_standard(table)  # existing O(N^2) path, unchanged</w:t>
      </w:r>
      <w:r>
        <w:br/>
      </w:r>
      <w:r>
        <w:rPr>
          <w:rStyle w:val="VerbatimChar"/>
        </w:rPr>
        <w:t xml:space="preserve">    return compute_correlation_via_ntt_convolution(table)</w:t>
      </w:r>
    </w:p>
    <w:p>
      <w:pPr>
        <w:pStyle w:val="FirstParagraph"/>
      </w:pPr>
      <w:r>
        <w:rPr>
          <w:bCs/>
          <w:b/>
        </w:rPr>
        <w:t xml:space="preserve">Test cases.</w:t>
      </w:r>
      <w:r>
        <w:t xml:space="preserve"> </w:t>
      </w:r>
      <w:r>
        <w:t xml:space="preserve">-</w:t>
      </w:r>
      <w:r>
        <w:t xml:space="preserve"> </w:t>
      </w:r>
      <w:r>
        <w:rPr>
          <w:bCs/>
          <w:b/>
        </w:rPr>
        <w:t xml:space="preserve">TC-F-10</w:t>
      </w:r>
      <w:r>
        <w:t xml:space="preserve"> </w:t>
      </w:r>
      <w:r>
        <w:t xml:space="preserve">(Stage 0 gate): Latency profiling. Input: a representative sample of AEGIS’s largest processed tables. Expected: report what fraction of total per-document processing time the Matrix Engine’s correlation computation consumes, as the specific number gating whether Stage 1 is worth pursuing.</w:t>
      </w:r>
      <w:r>
        <w:t xml:space="preserve"> </w:t>
      </w:r>
      <w:r>
        <w:t xml:space="preserve">-</w:t>
      </w:r>
      <w:r>
        <w:t xml:space="preserve"> </w:t>
      </w:r>
      <w:r>
        <w:rPr>
          <w:bCs/>
          <w:b/>
        </w:rPr>
        <w:t xml:space="preserve">TC-F-11</w:t>
      </w:r>
      <w:r>
        <w:t xml:space="preserve"> </w:t>
      </w:r>
      <w:r>
        <w:t xml:space="preserve">(Stage 1 gate): Numerical equivalence. Input: synthetic table data run through both the existing floating-point computation and the NTT-based routine. Expected: results agree within a specified tolerance, and the NTT-based routine’s result exhibits zero rounding drift across repeated runs (an exact-arithmetic property the floating-point baseline does not share) — the specific numerical-stability benefit motivating this concept in the first place.</w:t>
      </w:r>
      <w:r>
        <w:t xml:space="preserve"> </w:t>
      </w:r>
      <w:r>
        <w:t xml:space="preserve">-</w:t>
      </w:r>
      <w:r>
        <w:t xml:space="preserve"> </w:t>
      </w:r>
      <w:r>
        <w:rPr>
          <w:bCs/>
          <w:b/>
        </w:rPr>
        <w:t xml:space="preserve">TC-F-12</w:t>
      </w:r>
      <w:r>
        <w:t xml:space="preserve"> </w:t>
      </w:r>
      <w:r>
        <w:t xml:space="preserve">(Stage 3 gate): Realized latency comparison. Input: the same large-table corpus from TC-F-10, run through both computation paths end-to-end. Expected: report measured latency reduction, confirming (or disconfirming) that the asymptotic O(N log N) vs. O(N²) advantage translates into a material real-world improvement at AEGIS’s actual table sizes.</w:t>
      </w:r>
    </w:p>
    <w:p>
      <w:r>
        <w:pict>
          <v:rect style="width:0;height:1.5pt" o:hralign="center" o:hrstd="t" o:hr="t"/>
        </w:pict>
      </w:r>
    </w:p>
    <w:bookmarkEnd w:id="31"/>
    <w:bookmarkStart w:id="32" w:name="X4b27c0e7b7bb7c044f66d69025f92728a0e7f55"/>
    <w:p>
      <w:pPr>
        <w:pStyle w:val="Heading3"/>
      </w:pPr>
      <w:r>
        <w:t xml:space="preserve">4.2 Concept N2 — Number-Theoretic Consistent Hashing for Multi-Tenant Sharding</w:t>
      </w:r>
    </w:p>
    <w:p>
      <w:pPr>
        <w:pStyle w:val="FirstParagraph"/>
      </w:pPr>
      <w:r>
        <w:rPr>
          <w:bCs/>
          <w:b/>
        </w:rPr>
        <w:t xml:space="preserve">What it is and why it applies.</w:t>
      </w:r>
      <w:r>
        <w:t xml:space="preserve"> </w:t>
      </w:r>
      <w:r>
        <w:t xml:space="preserve">Standard consistent hashing (used by Cassandra, MongoDB, and comparable distributed systems, and implicitly assumed by AEGIS’s monograph Section 4.3 polyglot persistence layer and Section 17.3 tenant-isolation design) places keys and nodes on a hash ring and routes each key to its nearest node clockwise, using virtual nodes to smooth load distribution. A distinct scheme, described by Michael Nielsen, instead assigns each machine a distinct prime number p_j and a threshold t_j, routing key k to the largest-indexed machine j for which hash(k) mod p_j falls below t_j — a construction whose load-balancing and minimal-redistribution properties are provable directly from elementary number-theoretic facts about how residues mod distinct primes distribute, rather than relying on the hash ring’s approximate, virtual-node-count-dependent uniformity.</w:t>
      </w:r>
    </w:p>
    <w:p>
      <w:pPr>
        <w:pStyle w:val="BodyText"/>
      </w:pPr>
      <w:r>
        <w:rPr>
          <w:bCs/>
          <w:b/>
        </w:rPr>
        <w:t xml:space="preserve">Where it applies.</w:t>
      </w:r>
      <w:r>
        <w:t xml:space="preserve"> </w:t>
      </w:r>
      <w:r>
        <w:t xml:space="preserve">AEGIS’s monograph Section 17.3 requires that tenant data remain correctly isolated across the lexical index, vector index, and relational metadata store independently, and Section 4.3’s polyglot persistence layer implies sharding decisions across all three. A number-theoretic hashing scheme’s chief advantage over standard consistent hashing here is analytical tractability: the fraction of keys redistributed when a node is added or removed has a closed-form expression in terms of the chosen primes, which — combined with the Feasibility and Validation Report’s Section 4.4 load-testing protocol’s already-stated concern about row-level tenant-filtering latency at scale — gives AEGIS’s infrastructure team a provable, rather than empirically-estimated, bound on redistribution cost when planning a sharding topology change.</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Model AEGIS’s current (assumed, per monograph Section 4.3) consistent-hashing-based sharding scheme’s actual redistribution behavior under a simulated node-addition event, and compare against the number-theoretic scheme’s closed-form prediction, on synthetic tenant-key distributions matching AEGIS’s expected tenant-size skew (a small number of very large tenants alongside many small ones, the realistic profile for an enterprise document-intelligence deployment).</w:t>
      </w:r>
      <w:r>
        <w:t xml:space="preserve"> </w:t>
      </w:r>
      <w:r>
        <w:t xml:space="preserve">-</w:t>
      </w:r>
      <w:r>
        <w:t xml:space="preserve"> </w:t>
      </w:r>
      <w:r>
        <w:rPr>
          <w:iCs/>
          <w:i/>
        </w:rPr>
        <w:t xml:space="preserve">Stage 1 (Standalone Prototype):</w:t>
      </w:r>
      <w:r>
        <w:t xml:space="preserve"> </w:t>
      </w:r>
      <w:r>
        <w:t xml:space="preserve">Implement the prime-and-threshold routing scheme as a standalone sharding-key-router module, verified against the closed-form redistribution-fraction prediction on synthetic key sets.</w:t>
      </w:r>
      <w:r>
        <w:t xml:space="preserve"> </w:t>
      </w:r>
      <w:r>
        <w:t xml:space="preserve">-</w:t>
      </w:r>
      <w:r>
        <w:t xml:space="preserve"> </w:t>
      </w:r>
      <w:r>
        <w:rPr>
          <w:iCs/>
          <w:i/>
        </w:rPr>
        <w:t xml:space="preserve">Stage 2 (Pipeline Integration):</w:t>
      </w:r>
      <w:r>
        <w:t xml:space="preserve"> </w:t>
      </w:r>
      <w:r>
        <w:t xml:space="preserve">Wire the router as an alternative sharding-key-assignment path for one of AEGIS’s three independently-sharded stores (Section 17.3) — the relational metadata store is the recommended first target, since it is the simplest of the three to re-shard experimentally without touching the more operationally sensitive vector and lexical indices.</w:t>
      </w:r>
      <w:r>
        <w:t xml:space="preserve"> </w:t>
      </w:r>
      <w:r>
        <w:t xml:space="preserve">-</w:t>
      </w:r>
      <w:r>
        <w:t xml:space="preserve"> </w:t>
      </w:r>
      <w:r>
        <w:rPr>
          <w:iCs/>
          <w:i/>
        </w:rPr>
        <w:t xml:space="preserve">Stage 3 (Production Validation):</w:t>
      </w:r>
      <w:r>
        <w:t xml:space="preserve"> </w:t>
      </w:r>
      <w:r>
        <w:t xml:space="preserve">Compare measured redistribution cost and load-balance quality (variance in per-shard tenant-data volume) between the existing scheme and this concept’s scheme, under a simulated realistic sequence of tenant onboarding and node-scaling events.</w:t>
      </w:r>
    </w:p>
    <w:p>
      <w:pPr>
        <w:pStyle w:val="BodyText"/>
      </w:pPr>
      <w:r>
        <w:rPr>
          <w:bCs/>
          <w:b/>
        </w:rPr>
        <w:t xml:space="preserve">Implementation stages (detail).</w:t>
      </w:r>
    </w:p>
    <w:p>
      <w:pPr>
        <w:pStyle w:val="SourceCode"/>
      </w:pPr>
      <w:r>
        <w:rPr>
          <w:rStyle w:val="VerbatimChar"/>
        </w:rPr>
        <w:t xml:space="preserve">def assign_shard_number_theoretic(</w:t>
      </w:r>
      <w:r>
        <w:br/>
      </w:r>
      <w:r>
        <w:rPr>
          <w:rStyle w:val="VerbatimChar"/>
        </w:rPr>
        <w:t xml:space="preserve">    key: str,</w:t>
      </w:r>
      <w:r>
        <w:br/>
      </w:r>
      <w:r>
        <w:rPr>
          <w:rStyle w:val="VerbatimChar"/>
        </w:rPr>
        <w:t xml:space="preserve">    primes: List[int],       # one distinct prime per machine, p_0 &lt; p_1 &lt; ... &lt; p_{n-1}</w:t>
      </w:r>
      <w:r>
        <w:br/>
      </w:r>
      <w:r>
        <w:rPr>
          <w:rStyle w:val="VerbatimChar"/>
        </w:rPr>
        <w:t xml:space="preserve">    thresholds: List[int],   # t_j, tuned so p_j-scaled load matches desired share</w:t>
      </w:r>
      <w:r>
        <w:br/>
      </w:r>
      <w:r>
        <w:rPr>
          <w:rStyle w:val="VerbatimChar"/>
        </w:rPr>
        <w:t xml:space="preserve">) -&gt; int:</w:t>
      </w:r>
      <w:r>
        <w:br/>
      </w:r>
      <w:r>
        <w:rPr>
          <w:rStyle w:val="VerbatimChar"/>
        </w:rPr>
        <w:t xml:space="preserve">    h = hash_to_int(key)</w:t>
      </w:r>
      <w:r>
        <w:br/>
      </w:r>
      <w:r>
        <w:rPr>
          <w:rStyle w:val="VerbatimChar"/>
        </w:rPr>
        <w:t xml:space="preserve">    for j in reversed(range(len(primes))):</w:t>
      </w:r>
      <w:r>
        <w:br/>
      </w:r>
      <w:r>
        <w:rPr>
          <w:rStyle w:val="VerbatimChar"/>
        </w:rPr>
        <w:t xml:space="preserve">        if h % primes[j] &lt; thresholds[j]:</w:t>
      </w:r>
      <w:r>
        <w:br/>
      </w:r>
      <w:r>
        <w:rPr>
          <w:rStyle w:val="VerbatimChar"/>
        </w:rPr>
        <w:t xml:space="preserve">            return j</w:t>
      </w:r>
      <w:r>
        <w:br/>
      </w:r>
      <w:r>
        <w:rPr>
          <w:rStyle w:val="VerbatimChar"/>
        </w:rPr>
        <w:t xml:space="preserve">    return 0  # base machine</w:t>
      </w:r>
      <w:r>
        <w:br/>
      </w:r>
      <w:r>
        <w:br/>
      </w:r>
      <w:r>
        <w:rPr>
          <w:rStyle w:val="VerbatimChar"/>
        </w:rPr>
        <w:t xml:space="preserve">def add_machine(primes: List[int], thresholds: List[int], new_prime: int, new_threshold: int):</w:t>
      </w:r>
      <w:r>
        <w:br/>
      </w:r>
      <w:r>
        <w:rPr>
          <w:rStyle w:val="VerbatimChar"/>
        </w:rPr>
        <w:t xml:space="preserve">    primes.append(new_prime)</w:t>
      </w:r>
      <w:r>
        <w:br/>
      </w:r>
      <w:r>
        <w:rPr>
          <w:rStyle w:val="VerbatimChar"/>
        </w:rPr>
        <w:t xml:space="preserve">    thresholds.append(new_threshold)</w:t>
      </w:r>
      <w:r>
        <w:br/>
      </w:r>
      <w:r>
        <w:rPr>
          <w:rStyle w:val="VerbatimChar"/>
        </w:rPr>
        <w:t xml:space="preserve">    # only keys with h % new_prime &lt; new_threshold redistribute — provably ~1/(n+1) of all keys</w:t>
      </w:r>
    </w:p>
    <w:p>
      <w:pPr>
        <w:pStyle w:val="FirstParagraph"/>
      </w:pPr>
      <w:r>
        <w:rPr>
          <w:bCs/>
          <w:b/>
        </w:rPr>
        <w:t xml:space="preserve">Test cases.</w:t>
      </w:r>
      <w:r>
        <w:t xml:space="preserve"> </w:t>
      </w:r>
      <w:r>
        <w:t xml:space="preserve">-</w:t>
      </w:r>
      <w:r>
        <w:t xml:space="preserve"> </w:t>
      </w:r>
      <w:r>
        <w:rPr>
          <w:bCs/>
          <w:b/>
        </w:rPr>
        <w:t xml:space="preserve">TC-F-13</w:t>
      </w:r>
      <w:r>
        <w:t xml:space="preserve"> </w:t>
      </w:r>
      <w:r>
        <w:t xml:space="preserve">(Stage 1 gate): Closed-form redistribution match. Input: a synthetic key set of 100,000 keys, machine count increased from n to n+1. Expected: measured redistribution fraction matches the theoretical ~1/(n+1) prediction within a small tolerance.</w:t>
      </w:r>
      <w:r>
        <w:t xml:space="preserve"> </w:t>
      </w:r>
      <w:r>
        <w:t xml:space="preserve">-</w:t>
      </w:r>
      <w:r>
        <w:t xml:space="preserve"> </w:t>
      </w:r>
      <w:r>
        <w:rPr>
          <w:bCs/>
          <w:b/>
        </w:rPr>
        <w:t xml:space="preserve">TC-F-14</w:t>
      </w:r>
      <w:r>
        <w:t xml:space="preserve"> </w:t>
      </w:r>
      <w:r>
        <w:t xml:space="preserve">(Stage 1 gate): Load-balance quality. Input: the same synthetic key set, evaluated for per-machine load variance under both the existing (assumed hash-ring) scheme and this concept’s scheme, tuned to comparable virtual-node/threshold granularity. Expected: report both schemes’ load variance side by side, since this concept’s advantage is analytical tractability, not necessarily better raw load-balance — this test should report the comparison honestly rather than assume superiority.</w:t>
      </w:r>
      <w:r>
        <w:t xml:space="preserve"> </w:t>
      </w:r>
      <w:r>
        <w:t xml:space="preserve">-</w:t>
      </w:r>
      <w:r>
        <w:t xml:space="preserve"> </w:t>
      </w:r>
      <w:r>
        <w:rPr>
          <w:bCs/>
          <w:b/>
        </w:rPr>
        <w:t xml:space="preserve">TC-F-15</w:t>
      </w:r>
      <w:r>
        <w:t xml:space="preserve"> </w:t>
      </w:r>
      <w:r>
        <w:t xml:space="preserve">(Stage 3 gate): Real tenant-distribution simulation. Input: a synthetic tenant-key distribution matching AEGIS’s expected realistic skew (few large tenants, many small ones). Expected: report redistribution cost and load-balance quality under a simulated realistic onboarding/scaling sequence, as the specific evidence needed before recommending this scheme for any of AEGIS’s three sharded stores in production.</w:t>
      </w:r>
    </w:p>
    <w:bookmarkEnd w:id="32"/>
    <w:bookmarkEnd w:id="33"/>
    <w:bookmarkStart w:id="35" w:name="Xcd7d41b60220f904367c2e2833a10a49ddfff07"/>
    <w:p>
      <w:pPr>
        <w:pStyle w:val="Heading2"/>
      </w:pPr>
      <w:r>
        <w:t xml:space="preserve">5. Mathematics Concept: Game-Theoretic Mechanism Design</w:t>
      </w:r>
    </w:p>
    <w:bookmarkStart w:id="34" w:name="Xae88c605d64a1f676f9f745b8cedec9600f7b58"/>
    <w:p>
      <w:pPr>
        <w:pStyle w:val="Heading3"/>
      </w:pPr>
      <w:r>
        <w:t xml:space="preserve">5.1 Concept M1 — Shapley-Value Fusion Weighting for the Twelve Engines</w:t>
      </w:r>
    </w:p>
    <w:p>
      <w:pPr>
        <w:pStyle w:val="FirstParagraph"/>
      </w:pPr>
      <w:r>
        <w:rPr>
          <w:bCs/>
          <w:b/>
        </w:rPr>
        <w:t xml:space="preserve">What it is and why it applies.</w:t>
      </w:r>
      <w:r>
        <w:t xml:space="preserve"> </w:t>
      </w:r>
      <w:r>
        <w:t xml:space="preserve">Cooperative game theory studies how to fairly divide the value created by a coalition of players among its members; the Shapley value is the unique attribution scheme satisfying a specific set of fairness axioms (efficiency, symmetry, additivity, and null-player elimination), computed as each player’s average marginal contribution across all possible orderings in which players could join the coalition. Applied to AEGIS’s Section 5.7 fusion problem — combining twelve engines’ scores into one relevance signal — each engine can be treated as a</w:t>
      </w:r>
      <w:r>
        <w:t xml:space="preserve"> </w:t>
      </w:r>
      <w:r>
        <w:t xml:space="preserve">“</w:t>
      </w:r>
      <w:r>
        <w:t xml:space="preserve">player</w:t>
      </w:r>
      <w:r>
        <w:t xml:space="preserve">”</w:t>
      </w:r>
      <w:r>
        <w:t xml:space="preserve"> </w:t>
      </w:r>
      <w:r>
        <w:t xml:space="preserve">whose fusion weight should reflect its actual marginal contribution to retrieval quality, rather than a fixed hand-tuned weight (the current default) or a purely reward-learned weight with no interpretability guarantee (the Section 13 bandit alternative).</w:t>
      </w:r>
    </w:p>
    <w:p>
      <w:pPr>
        <w:pStyle w:val="BodyText"/>
      </w:pPr>
      <w:r>
        <w:rPr>
          <w:bCs/>
          <w:b/>
        </w:rPr>
        <w:t xml:space="preserve">Where it applies.</w:t>
      </w:r>
      <w:r>
        <w:t xml:space="preserve"> </w:t>
      </w:r>
      <w:r>
        <w:t xml:space="preserve">This concept is a third alternative to AEGIS’s existing two fusion-weight mechanisms (monograph Section 5.7’s static or MLP-learned weights; Section 13’s contextual-bandit router), specifically valuable where interpretability matters: a Shapley-value attribution directly answers</w:t>
      </w:r>
      <w:r>
        <w:t xml:space="preserve"> </w:t>
      </w:r>
      <w:r>
        <w:t xml:space="preserve">“</w:t>
      </w:r>
      <w:r>
        <w:t xml:space="preserve">how much did the Graph Engine actually contribute to this specific query’s answer quality,</w:t>
      </w:r>
      <w:r>
        <w:t xml:space="preserve">”</w:t>
      </w:r>
      <w:r>
        <w:t xml:space="preserve"> </w:t>
      </w:r>
      <w:r>
        <w:t xml:space="preserve">a question neither the static-weight nor the bandit-learned configuration can answer with the same axiomatic guarantee, since Shapley values are the unique attribution satisfying fairness properties a bandit’s learned weights are not constructed to satisfy.</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Compute exact Shapley values (feasible at twelve players via the standard 2^12 = 4,096-coalition enumeration) for a sample of real AEGIS queries, using each coalition’s retrieval-quality score (a proxy such as the Comparative Landscape Report’s SPS metric, computed with only the engines in that coalition active) as the game’s value function, and compare the resulting per-engine attributions against AEGIS’s current static default weights to see whether the two diverge meaningfully — establishing whether the current hand-tuned weights are already close to a fair attribution (in which case this concept offers mainly interpretability, not a performance change) or diverge substantially (in which case it may also offer a performance improvement).</w:t>
      </w:r>
      <w:r>
        <w:t xml:space="preserve"> </w:t>
      </w:r>
      <w:r>
        <w:t xml:space="preserve">-</w:t>
      </w:r>
      <w:r>
        <w:t xml:space="preserve"> </w:t>
      </w:r>
      <w:r>
        <w:rPr>
          <w:iCs/>
          <w:i/>
        </w:rPr>
        <w:t xml:space="preserve">Stage 1 (Standalone Prototype):</w:t>
      </w:r>
      <w:r>
        <w:t xml:space="preserve"> </w:t>
      </w:r>
      <w:r>
        <w:t xml:space="preserve">Implement exact Shapley-value computation (tractable at AEGIS’s twelve-engine scale without requiring the Monte Carlo approximation techniques needed for larger coalitions) as a standalone offline analysis tool, verified against known small-game examples with hand-computable Shapley values.</w:t>
      </w:r>
      <w:r>
        <w:t xml:space="preserve"> </w:t>
      </w:r>
      <w:r>
        <w:t xml:space="preserve">-</w:t>
      </w:r>
      <w:r>
        <w:t xml:space="preserve"> </w:t>
      </w:r>
      <w:r>
        <w:rPr>
          <w:iCs/>
          <w:i/>
        </w:rPr>
        <w:t xml:space="preserve">Stage 2 (Pipeline Integration):</w:t>
      </w:r>
      <w:r>
        <w:t xml:space="preserve"> </w:t>
      </w:r>
      <w:r>
        <w:t xml:space="preserve">Wire Shapley-value computation as an offline, periodic (not per-query-real-time, given its coalition-enumeration cost) calibration process for Section 5.7’s fusion weights, feature-flagged as an alternative to the static-default and bandit-learned paths, with its output additionally exposed as a per-engine interpretability report through the Section 19.5 observability stack.</w:t>
      </w:r>
      <w:r>
        <w:t xml:space="preserve"> </w:t>
      </w:r>
      <w:r>
        <w:t xml:space="preserve">-</w:t>
      </w:r>
      <w:r>
        <w:t xml:space="preserve"> </w:t>
      </w:r>
      <w:r>
        <w:rPr>
          <w:iCs/>
          <w:i/>
        </w:rPr>
        <w:t xml:space="preserve">Stage 3 (Production Validation):</w:t>
      </w:r>
      <w:r>
        <w:t xml:space="preserve"> </w:t>
      </w:r>
      <w:r>
        <w:t xml:space="preserve">Compare retrieval quality (SPS, TER, RHM) under Shapley-calibrated weights versus the current static default and the Section 13 bandit-learned weights, and separately evaluate the interpretability report’s practical value to an operator debugging a specific retrieval-quality regression.</w:t>
      </w:r>
    </w:p>
    <w:p>
      <w:pPr>
        <w:pStyle w:val="BodyText"/>
      </w:pPr>
      <w:r>
        <w:rPr>
          <w:bCs/>
          <w:b/>
        </w:rPr>
        <w:t xml:space="preserve">Implementation stages (detail).</w:t>
      </w:r>
    </w:p>
    <w:p>
      <w:pPr>
        <w:pStyle w:val="SourceCode"/>
      </w:pPr>
      <w:r>
        <w:rPr>
          <w:rStyle w:val="VerbatimChar"/>
        </w:rPr>
        <w:t xml:space="preserve">def compute_shapley_weights(</w:t>
      </w:r>
      <w:r>
        <w:br/>
      </w:r>
      <w:r>
        <w:rPr>
          <w:rStyle w:val="VerbatimChar"/>
        </w:rPr>
        <w:t xml:space="preserve">    engines: List[Engine],                    # the 12 engines, or a query-relevant subset</w:t>
      </w:r>
      <w:r>
        <w:br/>
      </w:r>
      <w:r>
        <w:rPr>
          <w:rStyle w:val="VerbatimChar"/>
        </w:rPr>
        <w:t xml:space="preserve">    value_function: Callable[[Set[Engine]], float],  # coalition -&gt; retrieval-quality proxy</w:t>
      </w:r>
      <w:r>
        <w:br/>
      </w:r>
      <w:r>
        <w:rPr>
          <w:rStyle w:val="VerbatimChar"/>
        </w:rPr>
        <w:t xml:space="preserve">) -&gt; Dict[Engine, float]:</w:t>
      </w:r>
      <w:r>
        <w:br/>
      </w:r>
      <w:r>
        <w:rPr>
          <w:rStyle w:val="VerbatimChar"/>
        </w:rPr>
        <w:t xml:space="preserve">    n = len(engines)</w:t>
      </w:r>
      <w:r>
        <w:br/>
      </w:r>
      <w:r>
        <w:rPr>
          <w:rStyle w:val="VerbatimChar"/>
        </w:rPr>
        <w:t xml:space="preserve">    shapley = {e: 0.0 for e in engines}</w:t>
      </w:r>
      <w:r>
        <w:br/>
      </w:r>
      <w:r>
        <w:rPr>
          <w:rStyle w:val="VerbatimChar"/>
        </w:rPr>
        <w:t xml:space="preserve">    for engine in engines:</w:t>
      </w:r>
      <w:r>
        <w:br/>
      </w:r>
      <w:r>
        <w:rPr>
          <w:rStyle w:val="VerbatimChar"/>
        </w:rPr>
        <w:t xml:space="preserve">        for coalition in all_subsets(engines - {engine}):</w:t>
      </w:r>
      <w:r>
        <w:br/>
      </w:r>
      <w:r>
        <w:rPr>
          <w:rStyle w:val="VerbatimChar"/>
        </w:rPr>
        <w:t xml:space="preserve">            weight = factorial(len(coalition)) * factorial(n - len(coalition) - 1) / factorial(n)</w:t>
      </w:r>
      <w:r>
        <w:br/>
      </w:r>
      <w:r>
        <w:rPr>
          <w:rStyle w:val="VerbatimChar"/>
        </w:rPr>
        <w:t xml:space="preserve">            marginal = value_function(coalition | {engine}) - value_function(coalition)</w:t>
      </w:r>
      <w:r>
        <w:br/>
      </w:r>
      <w:r>
        <w:rPr>
          <w:rStyle w:val="VerbatimChar"/>
        </w:rPr>
        <w:t xml:space="preserve">            shapley[engine] += weight * marginal</w:t>
      </w:r>
      <w:r>
        <w:br/>
      </w:r>
      <w:r>
        <w:rPr>
          <w:rStyle w:val="VerbatimChar"/>
        </w:rPr>
        <w:t xml:space="preserve">    return normalize_to_fusion_weights(shapley)</w:t>
      </w:r>
    </w:p>
    <w:p>
      <w:pPr>
        <w:pStyle w:val="FirstParagraph"/>
      </w:pPr>
      <w:r>
        <w:rPr>
          <w:bCs/>
          <w:b/>
        </w:rPr>
        <w:t xml:space="preserve">Test cases.</w:t>
      </w:r>
      <w:r>
        <w:t xml:space="preserve"> </w:t>
      </w:r>
      <w:r>
        <w:t xml:space="preserve">-</w:t>
      </w:r>
      <w:r>
        <w:t xml:space="preserve"> </w:t>
      </w:r>
      <w:r>
        <w:rPr>
          <w:bCs/>
          <w:b/>
        </w:rPr>
        <w:t xml:space="preserve">TC-F-16</w:t>
      </w:r>
      <w:r>
        <w:t xml:space="preserve"> </w:t>
      </w:r>
      <w:r>
        <w:t xml:space="preserve">(Stage 1 gate): Known-game verification. Input: a synthetic 4-player game with hand-computable Shapley values (e.g., a simple weighted-voting game with a published closed-form solution). Expected: implementation reproduces the known values exactly.</w:t>
      </w:r>
      <w:r>
        <w:t xml:space="preserve"> </w:t>
      </w:r>
      <w:r>
        <w:t xml:space="preserve">-</w:t>
      </w:r>
      <w:r>
        <w:t xml:space="preserve"> </w:t>
      </w:r>
      <w:r>
        <w:rPr>
          <w:bCs/>
          <w:b/>
        </w:rPr>
        <w:t xml:space="preserve">TC-F-17</w:t>
      </w:r>
      <w:r>
        <w:t xml:space="preserve"> </w:t>
      </w:r>
      <w:r>
        <w:t xml:space="preserve">(Stage 0/2 gate): Divergence-from-default measurement. Input: a sample of real AEGIS queries, Shapley values computed per Stage 0. Expected: report the magnitude of divergence between Shapley-attributed and current static-default weights, as the specific evidence gating whether this concept is pursued primarily for interpretability or also for a potential performance gain.</w:t>
      </w:r>
      <w:r>
        <w:t xml:space="preserve"> </w:t>
      </w:r>
      <w:r>
        <w:t xml:space="preserve">-</w:t>
      </w:r>
      <w:r>
        <w:t xml:space="preserve"> </w:t>
      </w:r>
      <w:r>
        <w:rPr>
          <w:bCs/>
          <w:b/>
        </w:rPr>
        <w:t xml:space="preserve">TC-F-18</w:t>
      </w:r>
      <w:r>
        <w:t xml:space="preserve"> </w:t>
      </w:r>
      <w:r>
        <w:t xml:space="preserve">(Stage 3 gate): Head-to-head retrieval quality. Input: the Feasibility Report’s Section 4.3 benchmark protocol, run under static-default, bandit-learned (Section 13), and Shapley-calibrated fusion weights. Expected: report SPS, TER, and RHM for all three configurations side by side.</w:t>
      </w:r>
    </w:p>
    <w:bookmarkEnd w:id="34"/>
    <w:bookmarkEnd w:id="35"/>
    <w:bookmarkStart w:id="37" w:name="Xce3f13b884a518f0f3ff428d4976d4960fc29b3"/>
    <w:p>
      <w:pPr>
        <w:pStyle w:val="Heading2"/>
      </w:pPr>
      <w:r>
        <w:t xml:space="preserve">6. Physics/Graph Hybrid Concept: Percolation Theory for Infrastructure Resilience</w:t>
      </w:r>
    </w:p>
    <w:bookmarkStart w:id="36" w:name="X86449c3d42a47937076d06fa5e6420dbc1dc9eb"/>
    <w:p>
      <w:pPr>
        <w:pStyle w:val="Heading3"/>
      </w:pPr>
      <w:r>
        <w:t xml:space="preserve">6.1 Concept PG1 — Percolation-Theoretic Analysis of AEGIS’s Defense-in-Depth Design</w:t>
      </w:r>
    </w:p>
    <w:p>
      <w:pPr>
        <w:pStyle w:val="FirstParagraph"/>
      </w:pPr>
      <w:r>
        <w:rPr>
          <w:bCs/>
          <w:b/>
        </w:rPr>
        <w:t xml:space="preserve">What it is and why it applies.</w:t>
      </w:r>
      <w:r>
        <w:t xml:space="preserve"> </w:t>
      </w:r>
      <w:r>
        <w:t xml:space="preserve">Percolation theory studies how connectivity in a network changes as nodes or edges are removed, characterizing a critical threshold at which a network’s</w:t>
      </w:r>
      <w:r>
        <w:t xml:space="preserve"> </w:t>
      </w:r>
      <w:r>
        <w:t xml:space="preserve">“</w:t>
      </w:r>
      <w:r>
        <w:t xml:space="preserve">giant component</w:t>
      </w:r>
      <w:r>
        <w:t xml:space="preserve">”</w:t>
      </w:r>
      <w:r>
        <w:t xml:space="preserve"> </w:t>
      </w:r>
      <w:r>
        <w:t xml:space="preserve">(its largest connected substructure) collapses from spanning most of the network to a scattering of small fragments — a phase transition with a precise mathematical characterization borrowed originally from statistical mechanics. A 2026 PLOS One paper and an active adjacent literature on cascading failures in interdependent infrastructure networks apply this directly to systems with the same qualitative structure as AEGIS’s own multi-service architecture: independently-operated components (in AEGIS’s case, the vector database, lexical index, relational store, and cache tiers of monograph Section 4.3) whose combined failure behavior is not simply the sum of independent failure probabilities, because AEGIS’s own Section 17.5/18.5 fallback design creates</w:t>
      </w:r>
      <w:r>
        <w:t xml:space="preserve"> </w:t>
      </w:r>
      <w:r>
        <w:rPr>
          <w:iCs/>
          <w:i/>
        </w:rPr>
        <w:t xml:space="preserve">interdependencies</w:t>
      </w:r>
      <w:r>
        <w:t xml:space="preserve"> </w:t>
      </w:r>
      <w:r>
        <w:t xml:space="preserve">(a vector-database outage triggers a fallback to a warm in-memory replica, which itself depends on the same underlying infrastructure being healthy enough to have populated that replica).</w:t>
      </w:r>
    </w:p>
    <w:p>
      <w:pPr>
        <w:pStyle w:val="BodyText"/>
      </w:pPr>
      <w:r>
        <w:rPr>
          <w:bCs/>
          <w:b/>
        </w:rPr>
        <w:t xml:space="preserve">Where it applies.</w:t>
      </w:r>
      <w:r>
        <w:t xml:space="preserve"> </w:t>
      </w:r>
      <w:r>
        <w:t xml:space="preserve">Monograph Section 17.5 and Section 18.5 already specify AEGIS’s fallback behavior qualitatively (dense-retrieval failure falls back to BM25-only; a vector-database outage falls back to a warm replica; an LLM timeout falls back to a smaller model, then a cached response) but do not give a quantitative characterization of at what combined failure rate across these interdependent components the overall system’s</w:t>
      </w:r>
      <w:r>
        <w:t xml:space="preserve"> </w:t>
      </w:r>
      <w:r>
        <w:t xml:space="preserve">“</w:t>
      </w:r>
      <w:r>
        <w:t xml:space="preserve">giant component</w:t>
      </w:r>
      <w:r>
        <w:t xml:space="preserve">”</w:t>
      </w:r>
      <w:r>
        <w:t xml:space="preserve"> </w:t>
      </w:r>
      <w:r>
        <w:t xml:space="preserve">of functioning capability collapses — precisely the question percolation theory is built to answer, and precisely the kind of question the Feasibility and Validation Report’s risk R2 (unvalidated scalability assumptions) and its Section 4.4 load-testing protocol gesture toward without yet applying this specific mathematical framework.</w:t>
      </w:r>
    </w:p>
    <w:p>
      <w:pPr>
        <w:pStyle w:val="BodyText"/>
      </w:pPr>
      <w:r>
        <w:rPr>
          <w:bCs/>
          <w:b/>
        </w:rPr>
        <w:t xml:space="preserve">Development method.</w:t>
      </w:r>
      <w:r>
        <w:t xml:space="preserve"> </w:t>
      </w:r>
      <w:r>
        <w:t xml:space="preserve">-</w:t>
      </w:r>
      <w:r>
        <w:t xml:space="preserve"> </w:t>
      </w:r>
      <w:r>
        <w:rPr>
          <w:iCs/>
          <w:i/>
        </w:rPr>
        <w:t xml:space="preserve">Stage 0 (Feasibility Study):</w:t>
      </w:r>
      <w:r>
        <w:t xml:space="preserve"> </w:t>
      </w:r>
      <w:r>
        <w:t xml:space="preserve">Construct a graph model of AEGIS’s Section 4.3 infrastructure topology (nodes = services; edges = the specific fallback dependencies Section 17.5/18.5 already document) and compute its structural percolation threshold analytically (the fraction of node failures at which the giant component collapses) as a first-pass estimate, without running any actual failure-injection test — establishing a testable numeric prediction before Stage 1’s empirical work.</w:t>
      </w:r>
      <w:r>
        <w:t xml:space="preserve"> </w:t>
      </w:r>
      <w:r>
        <w:t xml:space="preserve">-</w:t>
      </w:r>
      <w:r>
        <w:t xml:space="preserve"> </w:t>
      </w:r>
      <w:r>
        <w:rPr>
          <w:iCs/>
          <w:i/>
        </w:rPr>
        <w:t xml:space="preserve">Stage 1 (Standalone Prototype):</w:t>
      </w:r>
      <w:r>
        <w:t xml:space="preserve"> </w:t>
      </w:r>
      <w:r>
        <w:t xml:space="preserve">Implement a Monte Carlo percolation simulator over the same infrastructure graph, randomly removing nodes/edges at increasing failure rates and measuring giant-component size, verified against the Stage 0 analytical prediction for simple graph topologies where a closed-form comparison exists.</w:t>
      </w:r>
      <w:r>
        <w:t xml:space="preserve"> </w:t>
      </w:r>
      <w:r>
        <w:t xml:space="preserve">-</w:t>
      </w:r>
      <w:r>
        <w:t xml:space="preserve"> </w:t>
      </w:r>
      <w:r>
        <w:rPr>
          <w:iCs/>
          <w:i/>
        </w:rPr>
        <w:t xml:space="preserve">Stage 2 (Pipeline Integration):</w:t>
      </w:r>
      <w:r>
        <w:t xml:space="preserve"> </w:t>
      </w:r>
      <w:r>
        <w:t xml:space="preserve">This concept is fundamentally an offline planning and observability tool, not a runtime pipeline component —</w:t>
      </w:r>
      <w:r>
        <w:t xml:space="preserve"> </w:t>
      </w:r>
      <w:r>
        <w:t xml:space="preserve">“</w:t>
      </w:r>
      <w:r>
        <w:t xml:space="preserve">integration</w:t>
      </w:r>
      <w:r>
        <w:t xml:space="preserve">”</w:t>
      </w:r>
      <w:r>
        <w:t xml:space="preserve"> </w:t>
      </w:r>
      <w:r>
        <w:t xml:space="preserve">here means wiring its output (the estimated percolation threshold and the specific nodes/edges whose failure contributes most to approaching it, a</w:t>
      </w:r>
      <w:r>
        <w:t xml:space="preserve"> </w:t>
      </w:r>
      <w:r>
        <w:t xml:space="preserve">“</w:t>
      </w:r>
      <w:r>
        <w:t xml:space="preserve">critical node</w:t>
      </w:r>
      <w:r>
        <w:t xml:space="preserve">”</w:t>
      </w:r>
      <w:r>
        <w:t xml:space="preserve"> </w:t>
      </w:r>
      <w:r>
        <w:t xml:space="preserve">analysis directly analogous to the critical-node-identification methods surveyed in the cited 2026 PLOS One paper) into AEGIS’s Section 19.5 observability dashboards as a standing infrastructure-resilience metric, updated whenever the topology changes.</w:t>
      </w:r>
      <w:r>
        <w:t xml:space="preserve"> </w:t>
      </w:r>
      <w:r>
        <w:t xml:space="preserve">-</w:t>
      </w:r>
      <w:r>
        <w:t xml:space="preserve"> </w:t>
      </w:r>
      <w:r>
        <w:rPr>
          <w:iCs/>
          <w:i/>
        </w:rPr>
        <w:t xml:space="preserve">Stage 3 (Production Validation):</w:t>
      </w:r>
      <w:r>
        <w:t xml:space="preserve"> </w:t>
      </w:r>
      <w:r>
        <w:t xml:space="preserve">Compare the Stage 0/1 analytical and simulated percolation-threshold predictions against AEGIS’s actual behavior under the Feasibility and Validation Report’s Section 4.5 failure-injection testing (the TC-NE-4 test case that report’s Implementation and Credibility Test Cases companion already specified as not-yet-executed), providing that pre-specified test with a quantitative prediction to validate against rather than only a qualitative</w:t>
      </w:r>
      <w:r>
        <w:t xml:space="preserve"> </w:t>
      </w:r>
      <w:r>
        <w:t xml:space="preserve">“</w:t>
      </w:r>
      <w:r>
        <w:t xml:space="preserve">does the fallback activate</w:t>
      </w:r>
      <w:r>
        <w:t xml:space="preserve">”</w:t>
      </w:r>
      <w:r>
        <w:t xml:space="preserve"> </w:t>
      </w:r>
      <w:r>
        <w:t xml:space="preserve">check.</w:t>
      </w:r>
    </w:p>
    <w:p>
      <w:pPr>
        <w:pStyle w:val="BodyText"/>
      </w:pPr>
      <w:r>
        <w:rPr>
          <w:bCs/>
          <w:b/>
        </w:rPr>
        <w:t xml:space="preserve">Implementation stages (detail).</w:t>
      </w:r>
    </w:p>
    <w:p>
      <w:pPr>
        <w:pStyle w:val="SourceCode"/>
      </w:pPr>
      <w:r>
        <w:rPr>
          <w:rStyle w:val="VerbatimChar"/>
        </w:rPr>
        <w:t xml:space="preserve">def build_infrastructure_graph(services: List[Service], fallback_deps: List[FallbackDependency]) -&gt; Graph:</w:t>
      </w:r>
      <w:r>
        <w:br/>
      </w:r>
      <w:r>
        <w:rPr>
          <w:rStyle w:val="VerbatimChar"/>
        </w:rPr>
        <w:t xml:space="preserve">    g = Graph()</w:t>
      </w:r>
      <w:r>
        <w:br/>
      </w:r>
      <w:r>
        <w:rPr>
          <w:rStyle w:val="VerbatimChar"/>
        </w:rPr>
        <w:t xml:space="preserve">    for s in services:</w:t>
      </w:r>
      <w:r>
        <w:br/>
      </w:r>
      <w:r>
        <w:rPr>
          <w:rStyle w:val="VerbatimChar"/>
        </w:rPr>
        <w:t xml:space="preserve">        g.add_node(s)</w:t>
      </w:r>
      <w:r>
        <w:br/>
      </w:r>
      <w:r>
        <w:rPr>
          <w:rStyle w:val="VerbatimChar"/>
        </w:rPr>
        <w:t xml:space="preserve">    for dep in fallback_deps:</w:t>
      </w:r>
      <w:r>
        <w:br/>
      </w:r>
      <w:r>
        <w:rPr>
          <w:rStyle w:val="VerbatimChar"/>
        </w:rPr>
        <w:t xml:space="preserve">        g.add_edge(dep.primary, dep.fallback_target, weight=dep.reliability_correlation)</w:t>
      </w:r>
      <w:r>
        <w:br/>
      </w:r>
      <w:r>
        <w:rPr>
          <w:rStyle w:val="VerbatimChar"/>
        </w:rPr>
        <w:t xml:space="preserve">    return g</w:t>
      </w:r>
      <w:r>
        <w:br/>
      </w:r>
      <w:r>
        <w:br/>
      </w:r>
      <w:r>
        <w:rPr>
          <w:rStyle w:val="VerbatimChar"/>
        </w:rPr>
        <w:t xml:space="preserve">def estimate_percolation_threshold(graph: Graph, num_trials: int = 10000) -&gt; PercolationResult:</w:t>
      </w:r>
      <w:r>
        <w:br/>
      </w:r>
      <w:r>
        <w:rPr>
          <w:rStyle w:val="VerbatimChar"/>
        </w:rPr>
        <w:t xml:space="preserve">    failure_rates = linspace(0, 1, 50)</w:t>
      </w:r>
      <w:r>
        <w:br/>
      </w:r>
      <w:r>
        <w:rPr>
          <w:rStyle w:val="VerbatimChar"/>
        </w:rPr>
        <w:t xml:space="preserve">    giant_component_sizes = []</w:t>
      </w:r>
      <w:r>
        <w:br/>
      </w:r>
      <w:r>
        <w:rPr>
          <w:rStyle w:val="VerbatimChar"/>
        </w:rPr>
        <w:t xml:space="preserve">    for p in failure_rates:</w:t>
      </w:r>
      <w:r>
        <w:br/>
      </w:r>
      <w:r>
        <w:rPr>
          <w:rStyle w:val="VerbatimChar"/>
        </w:rPr>
        <w:t xml:space="preserve">        sizes = []</w:t>
      </w:r>
      <w:r>
        <w:br/>
      </w:r>
      <w:r>
        <w:rPr>
          <w:rStyle w:val="VerbatimChar"/>
        </w:rPr>
        <w:t xml:space="preserve">        for _ in range(num_trials):</w:t>
      </w:r>
      <w:r>
        <w:br/>
      </w:r>
      <w:r>
        <w:rPr>
          <w:rStyle w:val="VerbatimChar"/>
        </w:rPr>
        <w:t xml:space="preserve">            surviving = remove_random_fraction(graph, p)</w:t>
      </w:r>
      <w:r>
        <w:br/>
      </w:r>
      <w:r>
        <w:rPr>
          <w:rStyle w:val="VerbatimChar"/>
        </w:rPr>
        <w:t xml:space="preserve">            sizes.append(largest_connected_component_size(surviving) / graph.node_count)</w:t>
      </w:r>
      <w:r>
        <w:br/>
      </w:r>
      <w:r>
        <w:rPr>
          <w:rStyle w:val="VerbatimChar"/>
        </w:rPr>
        <w:t xml:space="preserve">        giant_component_sizes.append(mean(sizes))</w:t>
      </w:r>
      <w:r>
        <w:br/>
      </w:r>
      <w:r>
        <w:rPr>
          <w:rStyle w:val="VerbatimChar"/>
        </w:rPr>
        <w:t xml:space="preserve">    threshold = find_critical_transition(failure_rates, giant_component_sizes)</w:t>
      </w:r>
      <w:r>
        <w:br/>
      </w:r>
      <w:r>
        <w:rPr>
          <w:rStyle w:val="VerbatimChar"/>
        </w:rPr>
        <w:t xml:space="preserve">    critical_nodes = rank_nodes_by_percolation_impact(graph)</w:t>
      </w:r>
      <w:r>
        <w:br/>
      </w:r>
      <w:r>
        <w:rPr>
          <w:rStyle w:val="VerbatimChar"/>
        </w:rPr>
        <w:t xml:space="preserve">    return PercolationResult(threshold=threshold, critical_nodes=critical_nodes)</w:t>
      </w:r>
    </w:p>
    <w:p>
      <w:pPr>
        <w:pStyle w:val="FirstParagraph"/>
      </w:pPr>
      <w:r>
        <w:rPr>
          <w:bCs/>
          <w:b/>
        </w:rPr>
        <w:t xml:space="preserve">Test cases.</w:t>
      </w:r>
      <w:r>
        <w:t xml:space="preserve"> </w:t>
      </w:r>
      <w:r>
        <w:t xml:space="preserve">-</w:t>
      </w:r>
      <w:r>
        <w:t xml:space="preserve"> </w:t>
      </w:r>
      <w:r>
        <w:rPr>
          <w:bCs/>
          <w:b/>
        </w:rPr>
        <w:t xml:space="preserve">TC-F-19</w:t>
      </w:r>
      <w:r>
        <w:t xml:space="preserve"> </w:t>
      </w:r>
      <w:r>
        <w:t xml:space="preserve">(Stage 1 gate): Analytical-vs-simulated agreement on a known topology. Input: a simple synthetic graph (e.g., an Erdos-Renyi random graph) with a known closed-form percolation threshold. Expected: Monte Carlo simulation’s estimated threshold matches the closed-form prediction within a small tolerance, confirming the simulator’s basic correctness before applying it to AEGIS’s actual, more complex infrastructure graph.</w:t>
      </w:r>
      <w:r>
        <w:t xml:space="preserve"> </w:t>
      </w:r>
      <w:r>
        <w:t xml:space="preserve">-</w:t>
      </w:r>
      <w:r>
        <w:t xml:space="preserve"> </w:t>
      </w:r>
      <w:r>
        <w:rPr>
          <w:bCs/>
          <w:b/>
        </w:rPr>
        <w:t xml:space="preserve">TC-F-20</w:t>
      </w:r>
      <w:r>
        <w:t xml:space="preserve"> </w:t>
      </w:r>
      <w:r>
        <w:t xml:space="preserve">(Stage 0/1 output): AEGIS topology threshold estimate. Input: AEGIS’s actual Section 4.3/17.5/18.5-documented infrastructure topology. Expected: report the estimated percolation threshold and the ranked list of critical nodes/edges, as the concrete planning artifact this concept is meant to produce for infrastructure capacity and redundancy decisions.</w:t>
      </w:r>
      <w:r>
        <w:t xml:space="preserve"> </w:t>
      </w:r>
      <w:r>
        <w:t xml:space="preserve">-</w:t>
      </w:r>
      <w:r>
        <w:t xml:space="preserve"> </w:t>
      </w:r>
      <w:r>
        <w:rPr>
          <w:bCs/>
          <w:b/>
        </w:rPr>
        <w:t xml:space="preserve">TC-F-21</w:t>
      </w:r>
      <w:r>
        <w:t xml:space="preserve"> </w:t>
      </w:r>
      <w:r>
        <w:t xml:space="preserve">(Stage 3 gate): Validation against real failure injection. Input: the Feasibility Report’s Section 4.5 failure-injection protocol (TC-NE-4), executed with the specific failure sequence this concept’s critical-node ranking predicts would be most damaging. Expected: report whether the actual system behavior under injected failure matches this concept’s predicted degradation curve, closing the loop between the analytical/simulated prediction and real system behavior.</w:t>
      </w:r>
    </w:p>
    <w:bookmarkEnd w:id="36"/>
    <w:bookmarkEnd w:id="37"/>
    <w:bookmarkStart w:id="40" w:name="master-concept-matrix"/>
    <w:p>
      <w:pPr>
        <w:pStyle w:val="Heading2"/>
      </w:pPr>
      <w:r>
        <w:t xml:space="preserve">7. Master Concept Matrix</w:t>
      </w:r>
    </w:p>
    <w:p>
      <w:pPr>
        <w:pStyle w:val="FirstParagraph"/>
      </w:pPr>
      <w:r>
        <w:t xml:space="preserve">Table 7.1 consolidates all seven concepts across their domain, target AEGIS component, current development stage recommendation, and primary new dependency, for use as a single planning reference alongside the Implementation Specification’s own Section 6 traceability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Concept</w:t>
            </w:r>
          </w:p>
        </w:tc>
        <w:tc>
          <w:tcPr/>
          <w:p>
            <w:pPr>
              <w:pStyle w:val="Compact"/>
              <w:jc w:val="left"/>
            </w:pPr>
            <w:r>
              <w:t xml:space="preserve">Domain</w:t>
            </w:r>
          </w:p>
        </w:tc>
        <w:tc>
          <w:tcPr/>
          <w:p>
            <w:pPr>
              <w:pStyle w:val="Compact"/>
              <w:jc w:val="left"/>
            </w:pPr>
            <w:r>
              <w:t xml:space="preserve">Target component</w:t>
            </w:r>
          </w:p>
        </w:tc>
        <w:tc>
          <w:tcPr/>
          <w:p>
            <w:pPr>
              <w:pStyle w:val="Compact"/>
              <w:jc w:val="left"/>
            </w:pPr>
            <w:r>
              <w:t xml:space="preserve">Recommended starting stage</w:t>
            </w:r>
          </w:p>
        </w:tc>
        <w:tc>
          <w:tcPr/>
          <w:p>
            <w:pPr>
              <w:pStyle w:val="Compact"/>
              <w:jc w:val="left"/>
            </w:pPr>
            <w:r>
              <w:t xml:space="preserve">Primary dependency</w:t>
            </w:r>
          </w:p>
        </w:tc>
      </w:tr>
      <w:tr>
        <w:tc>
          <w:tcPr/>
          <w:p>
            <w:pPr>
              <w:pStyle w:val="Compact"/>
              <w:jc w:val="left"/>
            </w:pPr>
            <w:r>
              <w:t xml:space="preserve">P1 — Ising-model master objective</w:t>
            </w:r>
          </w:p>
        </w:tc>
        <w:tc>
          <w:tcPr/>
          <w:p>
            <w:pPr>
              <w:pStyle w:val="Compact"/>
              <w:jc w:val="left"/>
            </w:pPr>
            <w:r>
              <w:t xml:space="preserve">Physics (statistical mechanics)</w:t>
            </w:r>
          </w:p>
        </w:tc>
        <w:tc>
          <w:tcPr/>
          <w:p>
            <w:pPr>
              <w:pStyle w:val="Compact"/>
              <w:jc w:val="left"/>
            </w:pPr>
            <w:r>
              <w:t xml:space="preserve">Sec. 9.4-9.7 master objective</w:t>
            </w:r>
          </w:p>
        </w:tc>
        <w:tc>
          <w:tcPr/>
          <w:p>
            <w:pPr>
              <w:pStyle w:val="Compact"/>
              <w:jc w:val="left"/>
            </w:pPr>
            <w:r>
              <w:t xml:space="preserve">Stage 0 (feasibility study)</w:t>
            </w:r>
          </w:p>
        </w:tc>
        <w:tc>
          <w:tcPr/>
          <w:p>
            <w:pPr>
              <w:pStyle w:val="Compact"/>
              <w:jc w:val="left"/>
            </w:pPr>
            <w:r>
              <w:t xml:space="preserve">None (software-only annealing)</w:t>
            </w:r>
          </w:p>
        </w:tc>
      </w:tr>
      <w:tr>
        <w:tc>
          <w:tcPr/>
          <w:p>
            <w:pPr>
              <w:pStyle w:val="Compact"/>
              <w:jc w:val="left"/>
            </w:pPr>
            <w:r>
              <w:t xml:space="preserve">P2 — RG-theoretic memory hierarchy</w:t>
            </w:r>
          </w:p>
        </w:tc>
        <w:tc>
          <w:tcPr/>
          <w:p>
            <w:pPr>
              <w:pStyle w:val="Compact"/>
              <w:jc w:val="left"/>
            </w:pPr>
            <w:r>
              <w:t xml:space="preserve">Physics (renormalization group)</w:t>
            </w:r>
          </w:p>
        </w:tc>
        <w:tc>
          <w:tcPr/>
          <w:p>
            <w:pPr>
              <w:pStyle w:val="Compact"/>
              <w:jc w:val="left"/>
            </w:pPr>
            <w:r>
              <w:t xml:space="preserve">Sec. 14.2 L0-L5 hierarchy</w:t>
            </w:r>
          </w:p>
        </w:tc>
        <w:tc>
          <w:tcPr/>
          <w:p>
            <w:pPr>
              <w:pStyle w:val="Compact"/>
              <w:jc w:val="left"/>
            </w:pPr>
            <w:r>
              <w:t xml:space="preserve">Stage 0 (promotion-regret measurement)</w:t>
            </w:r>
          </w:p>
        </w:tc>
        <w:tc>
          <w:tcPr/>
          <w:p>
            <w:pPr>
              <w:pStyle w:val="Compact"/>
              <w:jc w:val="left"/>
            </w:pPr>
            <w:r>
              <w:t xml:space="preserve">None (reuses existing summarizer infra)</w:t>
            </w:r>
          </w:p>
        </w:tc>
      </w:tr>
      <w:tr>
        <w:tc>
          <w:tcPr/>
          <w:p>
            <w:pPr>
              <w:pStyle w:val="Compact"/>
              <w:jc w:val="left"/>
            </w:pPr>
            <w:r>
              <w:t xml:space="preserve">G1 — Ollivier-Ricci curvature</w:t>
            </w:r>
          </w:p>
        </w:tc>
        <w:tc>
          <w:tcPr/>
          <w:p>
            <w:pPr>
              <w:pStyle w:val="Compact"/>
              <w:jc w:val="left"/>
            </w:pPr>
            <w:r>
              <w:t xml:space="preserve">Graph theory (discrete differential geometry)</w:t>
            </w:r>
          </w:p>
        </w:tc>
        <w:tc>
          <w:tcPr/>
          <w:p>
            <w:pPr>
              <w:pStyle w:val="Compact"/>
              <w:jc w:val="left"/>
            </w:pPr>
            <w:r>
              <w:t xml:space="preserve">Sec. 6.2 reading-order graph; Sec. 15 retrieval graph</w:t>
            </w:r>
          </w:p>
        </w:tc>
        <w:tc>
          <w:tcPr/>
          <w:p>
            <w:pPr>
              <w:pStyle w:val="Compact"/>
              <w:jc w:val="left"/>
            </w:pPr>
            <w:r>
              <w:t xml:space="preserve">Stage 0 (correlation check on real layouts)</w:t>
            </w:r>
          </w:p>
        </w:tc>
        <w:tc>
          <w:tcPr/>
          <w:p>
            <w:pPr>
              <w:pStyle w:val="Compact"/>
              <w:jc w:val="left"/>
            </w:pPr>
            <w:r>
              <w:t xml:space="preserve">POT library (shared with Enh. Report Sec. 4)</w:t>
            </w:r>
          </w:p>
        </w:tc>
      </w:tr>
      <w:tr>
        <w:tc>
          <w:tcPr/>
          <w:p>
            <w:pPr>
              <w:pStyle w:val="Compact"/>
              <w:jc w:val="left"/>
            </w:pPr>
            <w:r>
              <w:t xml:space="preserve">N1 — NTT fast convolution</w:t>
            </w:r>
          </w:p>
        </w:tc>
        <w:tc>
          <w:tcPr/>
          <w:p>
            <w:pPr>
              <w:pStyle w:val="Compact"/>
              <w:jc w:val="left"/>
            </w:pPr>
            <w:r>
              <w:t xml:space="preserve">Number theory</w:t>
            </w:r>
          </w:p>
        </w:tc>
        <w:tc>
          <w:tcPr/>
          <w:p>
            <w:pPr>
              <w:pStyle w:val="Compact"/>
              <w:jc w:val="left"/>
            </w:pPr>
            <w:r>
              <w:t xml:space="preserve">Sec. 5.4 Matrix Engine correlation/covariance</w:t>
            </w:r>
          </w:p>
        </w:tc>
        <w:tc>
          <w:tcPr/>
          <w:p>
            <w:pPr>
              <w:pStyle w:val="Compact"/>
              <w:jc w:val="left"/>
            </w:pPr>
            <w:r>
              <w:t xml:space="preserve">Stage 0 (latency profiling)</w:t>
            </w:r>
          </w:p>
        </w:tc>
        <w:tc>
          <w:tcPr/>
          <w:p>
            <w:pPr>
              <w:pStyle w:val="Compact"/>
              <w:jc w:val="left"/>
            </w:pPr>
            <w:r>
              <w:t xml:space="preserve">NTT library or custom modular-arithmetic implementation</w:t>
            </w:r>
          </w:p>
        </w:tc>
      </w:tr>
      <w:tr>
        <w:tc>
          <w:tcPr/>
          <w:p>
            <w:pPr>
              <w:pStyle w:val="Compact"/>
              <w:jc w:val="left"/>
            </w:pPr>
            <w:r>
              <w:t xml:space="preserve">N2 — Number-theoretic consistent hashing</w:t>
            </w:r>
          </w:p>
        </w:tc>
        <w:tc>
          <w:tcPr/>
          <w:p>
            <w:pPr>
              <w:pStyle w:val="Compact"/>
              <w:jc w:val="left"/>
            </w:pPr>
            <w:r>
              <w:t xml:space="preserve">Number theory</w:t>
            </w:r>
          </w:p>
        </w:tc>
        <w:tc>
          <w:tcPr/>
          <w:p>
            <w:pPr>
              <w:pStyle w:val="Compact"/>
              <w:jc w:val="left"/>
            </w:pPr>
            <w:r>
              <w:t xml:space="preserve">Sec. 17.3 tenant sharding, Sec. 4.3 persistence layer</w:t>
            </w:r>
          </w:p>
        </w:tc>
        <w:tc>
          <w:tcPr/>
          <w:p>
            <w:pPr>
              <w:pStyle w:val="Compact"/>
              <w:jc w:val="left"/>
            </w:pPr>
            <w:r>
              <w:t xml:space="preserve">Stage 0 (redistribution simulation)</w:t>
            </w:r>
          </w:p>
        </w:tc>
        <w:tc>
          <w:tcPr/>
          <w:p>
            <w:pPr>
              <w:pStyle w:val="Compact"/>
              <w:jc w:val="left"/>
            </w:pPr>
            <w:r>
              <w:t xml:space="preserve">None (pure algorithm)</w:t>
            </w:r>
          </w:p>
        </w:tc>
      </w:tr>
      <w:tr>
        <w:tc>
          <w:tcPr/>
          <w:p>
            <w:pPr>
              <w:pStyle w:val="Compact"/>
              <w:jc w:val="left"/>
            </w:pPr>
            <w:r>
              <w:t xml:space="preserve">M1 — Shapley-value fusion weighting</w:t>
            </w:r>
          </w:p>
        </w:tc>
        <w:tc>
          <w:tcPr/>
          <w:p>
            <w:pPr>
              <w:pStyle w:val="Compact"/>
              <w:jc w:val="left"/>
            </w:pPr>
            <w:r>
              <w:t xml:space="preserve">Mathematics (cooperative game theory)</w:t>
            </w:r>
          </w:p>
        </w:tc>
        <w:tc>
          <w:tcPr/>
          <w:p>
            <w:pPr>
              <w:pStyle w:val="Compact"/>
              <w:jc w:val="left"/>
            </w:pPr>
            <w:r>
              <w:t xml:space="preserve">Sec. 5.7 fusion, Sec. 13 bandit router</w:t>
            </w:r>
          </w:p>
        </w:tc>
        <w:tc>
          <w:tcPr/>
          <w:p>
            <w:pPr>
              <w:pStyle w:val="Compact"/>
              <w:jc w:val="left"/>
            </w:pPr>
            <w:r>
              <w:t xml:space="preserve">Stage 0 (divergence-from-default check)</w:t>
            </w:r>
          </w:p>
        </w:tc>
        <w:tc>
          <w:tcPr/>
          <w:p>
            <w:pPr>
              <w:pStyle w:val="Compact"/>
              <w:jc w:val="left"/>
            </w:pPr>
            <w:r>
              <w:t xml:space="preserve">None (exact enumeration tractable at 12 engines)</w:t>
            </w:r>
          </w:p>
        </w:tc>
      </w:tr>
      <w:tr>
        <w:tc>
          <w:tcPr/>
          <w:p>
            <w:pPr>
              <w:pStyle w:val="Compact"/>
              <w:jc w:val="left"/>
            </w:pPr>
            <w:r>
              <w:t xml:space="preserve">PG1 — Percolation-theoretic resilience analysis</w:t>
            </w:r>
          </w:p>
        </w:tc>
        <w:tc>
          <w:tcPr/>
          <w:p>
            <w:pPr>
              <w:pStyle w:val="Compact"/>
              <w:jc w:val="left"/>
            </w:pPr>
            <w:r>
              <w:t xml:space="preserve">Physics/graph hybrid (network science)</w:t>
            </w:r>
          </w:p>
        </w:tc>
        <w:tc>
          <w:tcPr/>
          <w:p>
            <w:pPr>
              <w:pStyle w:val="Compact"/>
              <w:jc w:val="left"/>
            </w:pPr>
            <w:r>
              <w:t xml:space="preserve">Sec. 4.3, 17.5, 18.5 infrastructure topology</w:t>
            </w:r>
          </w:p>
        </w:tc>
        <w:tc>
          <w:tcPr/>
          <w:p>
            <w:pPr>
              <w:pStyle w:val="Compact"/>
              <w:jc w:val="left"/>
            </w:pPr>
            <w:r>
              <w:t xml:space="preserve">Stage 0 (analytical threshold estimate)</w:t>
            </w:r>
          </w:p>
        </w:tc>
        <w:tc>
          <w:tcPr/>
          <w:p>
            <w:pPr>
              <w:pStyle w:val="Compact"/>
              <w:jc w:val="left"/>
            </w:pPr>
            <w:r>
              <w:t xml:space="preserve">None (graph simulation only)</w:t>
            </w:r>
          </w:p>
        </w:tc>
      </w:tr>
    </w:tbl>
    <w:bookmarkStart w:id="38" w:name="reading-the-matrix-low-cost-entry-points"/>
    <w:p>
      <w:pPr>
        <w:pStyle w:val="Heading3"/>
      </w:pPr>
      <w:r>
        <w:t xml:space="preserve">7.1 Reading the Matrix: Low-Cost Entry Points</w:t>
      </w:r>
    </w:p>
    <w:p>
      <w:pPr>
        <w:pStyle w:val="FirstParagraph"/>
      </w:pPr>
      <w:r>
        <w:t xml:space="preserve">A notable pattern across Table 7.1, worth stating explicitly: five of the seven concepts (P1, P2, N2, M1, PG1) require no new external dependency at their Stage 0/1 — each is either a pure algorithm implementable against AEGIS’s existing data structures, or reuses a dependency this body of work’s Enhancement Research Report already introduced (G1 shares the POT library with that report’s Section 4). Only N1 (NTT) potentially requires a new numerical library, and even that is a well-established, mature dependency class (comparable in maturity to the GUDHI/Ripser persistent-homology libraries the Enhancement Research Report’s Section 3 already recommended). This means every concept in this report can begin its Stage 0 feasibility study — the cheapest, lowest-commitment stage in this report’s four-stage development method — without any procurement, licensing, or infrastructure decision blocking the start of work.</w:t>
      </w:r>
    </w:p>
    <w:bookmarkEnd w:id="38"/>
    <w:bookmarkStart w:id="39" w:name="relationship-to-prior-reports-roadmaps"/>
    <w:p>
      <w:pPr>
        <w:pStyle w:val="Heading3"/>
      </w:pPr>
      <w:r>
        <w:t xml:space="preserve">7.2 Relationship to Prior Reports’ Roadmaps</w:t>
      </w:r>
    </w:p>
    <w:p>
      <w:pPr>
        <w:pStyle w:val="FirstParagraph"/>
      </w:pPr>
      <w:r>
        <w:t xml:space="preserve">Every concept in this report is additive to, not a replacement for, the roadmap already established in the Enhancement Research Report’s Section 9 and the Implementation Specification’s Section 7 — none of the seven concepts here is a prerequisite for any feature in those two documents, and none of those documents’ features is a prerequisite for starting Stage 0 on any concept here. The one explicit interaction worth noting is G1’s shared POT library dependency with the Enhancement Research Report’s Section 4 (optimal transport), meaning a team that has already reached Stage 1 or beyond on that report’s Feature A1 (Order-Preserving Wasserstein reading-order metric) will find G1’s Stage 1 prototype cheaper to build, having already integrated and validated the same underlying library.</w:t>
      </w:r>
    </w:p>
    <w:bookmarkEnd w:id="39"/>
    <w:bookmarkEnd w:id="40"/>
    <w:bookmarkStart w:id="41" w:name="conclusion"/>
    <w:p>
      <w:pPr>
        <w:pStyle w:val="Heading2"/>
      </w:pPr>
      <w:r>
        <w:t xml:space="preserve">Conclusion</w:t>
      </w:r>
    </w:p>
    <w:p>
      <w:pPr>
        <w:pStyle w:val="FirstParagraph"/>
      </w:pPr>
      <w:r>
        <w:t xml:space="preserve">This report extended AEGIS-DocIntel’s enhancement research into three domains — physics, graph theory beyond what was already covered, and number theory — that the prior Enhancement Research Report and Implementation Specification touched only partially or not at all, plus one further concept in cooperative game theory. Consistent with the discipline established across this entire body of work, every concept is presented as a staged research direction, gated by an explicit four-stage development method (feasibility study, standalone prototype, pipeline integration, production validation) with numbered test cases (TC-F-01 through TC-F-21) marking each stage’s advancement criteria, not as a claim that any of these seven concepts is ready for or guaranteed to improve AEGIS’s production system. The most immediately actionable next step, per Section 7.1’s observation, is that six of the seven concepts’ Stage 0 feasibility studies can begin without any new dependency or infrastructure commitment — meaning the actual blocking constraint on this report’s roadmap is engineering time and prioritization against the Implementation Specification’s own existing near/mid/long-term roadmap, not any external technical or procurement barrier.</w:t>
      </w:r>
    </w:p>
    <w:bookmarkEnd w:id="41"/>
    <w:bookmarkStart w:id="43" w:name="references"/>
    <w:p>
      <w:pPr>
        <w:pStyle w:val="Heading2"/>
      </w:pPr>
      <w:r>
        <w:t xml:space="preserve">References</w:t>
      </w:r>
    </w:p>
    <w:p>
      <w:pPr>
        <w:numPr>
          <w:ilvl w:val="0"/>
          <w:numId w:val="1001"/>
        </w:numPr>
        <w:pStyle w:val="Compact"/>
      </w:pPr>
      <w:r>
        <w:t xml:space="preserve">“</w:t>
      </w:r>
      <w:r>
        <w:t xml:space="preserve">Optimization by Simulated Annealing.</w:t>
      </w:r>
      <w:r>
        <w:t xml:space="preserve">”</w:t>
      </w:r>
      <w:r>
        <w:t xml:space="preserve"> </w:t>
      </w:r>
      <w:r>
        <w:t xml:space="preserve">Kirkpatrick, Gelatt, Vecchi. Science, foundational result, cross-referenced in current (2026) Ising-hardware literature.</w:t>
      </w:r>
    </w:p>
    <w:p>
      <w:pPr>
        <w:numPr>
          <w:ilvl w:val="0"/>
          <w:numId w:val="1001"/>
        </w:numPr>
        <w:pStyle w:val="Compact"/>
      </w:pPr>
      <w:r>
        <w:t xml:space="preserve">“</w:t>
      </w:r>
      <w:r>
        <w:t xml:space="preserve">Energy-efficient Ising solver implementations in forming-free memristor crossbar arrays for combinatorial optimization problems.</w:t>
      </w:r>
      <w:r>
        <w:t xml:space="preserve">”</w:t>
      </w:r>
      <w:r>
        <w:t xml:space="preserve"> </w:t>
      </w:r>
      <w:r>
        <w:t xml:space="preserve">ScienceDirect, Nano Energy, November 2025 / February 2026.</w:t>
      </w:r>
    </w:p>
    <w:p>
      <w:pPr>
        <w:numPr>
          <w:ilvl w:val="0"/>
          <w:numId w:val="1001"/>
        </w:numPr>
        <w:pStyle w:val="Compact"/>
      </w:pPr>
      <w:r>
        <w:t xml:space="preserve">“</w:t>
      </w:r>
      <w:r>
        <w:t xml:space="preserve">Efficient combinatorial optimization by quantum-inspired parallel annealing in analogue memristor crossbar.</w:t>
      </w:r>
      <w:r>
        <w:t xml:space="preserve">”</w:t>
      </w:r>
      <w:r>
        <w:t xml:space="preserve"> </w:t>
      </w:r>
      <w:r>
        <w:t xml:space="preserve">Nature Communications, with 2025-2026 follow-on citations.</w:t>
      </w:r>
    </w:p>
    <w:p>
      <w:pPr>
        <w:numPr>
          <w:ilvl w:val="0"/>
          <w:numId w:val="1001"/>
        </w:numPr>
        <w:pStyle w:val="Compact"/>
      </w:pPr>
      <w:r>
        <w:t xml:space="preserve">“</w:t>
      </w:r>
      <w:r>
        <w:t xml:space="preserve">Enhanced convergence in p-bit based simulated annealing with partial deactivation for large-scale combinatorial optimization problems.</w:t>
      </w:r>
      <w:r>
        <w:t xml:space="preserve">”</w:t>
      </w:r>
      <w:r>
        <w:t xml:space="preserve"> </w:t>
      </w:r>
      <w:r>
        <w:t xml:space="preserve">Scientific Reports, October 2025 / March 2026.</w:t>
      </w:r>
    </w:p>
    <w:p>
      <w:pPr>
        <w:numPr>
          <w:ilvl w:val="0"/>
          <w:numId w:val="1001"/>
        </w:numPr>
        <w:pStyle w:val="Compact"/>
      </w:pPr>
      <w:r>
        <w:t xml:space="preserve">“</w:t>
      </w:r>
      <w:r>
        <w:t xml:space="preserve">Improved Ising formulation of max-3-cut using higher-order spin interactions.</w:t>
      </w:r>
      <w:r>
        <w:t xml:space="preserve">”</w:t>
      </w:r>
      <w:r>
        <w:t xml:space="preserve"> </w:t>
      </w:r>
      <w:r>
        <w:t xml:space="preserve">Physical Review Applied, April 2026.</w:t>
      </w:r>
    </w:p>
    <w:p>
      <w:pPr>
        <w:numPr>
          <w:ilvl w:val="0"/>
          <w:numId w:val="1001"/>
        </w:numPr>
        <w:pStyle w:val="Compact"/>
      </w:pPr>
      <w:r>
        <w:t xml:space="preserve">“</w:t>
      </w:r>
      <w:r>
        <w:t xml:space="preserve">Diffusion-Guided Renormalization of Neural Systems via Tensor Networks.</w:t>
      </w:r>
      <w:r>
        <w:t xml:space="preserve">”</w:t>
      </w:r>
      <w:r>
        <w:t xml:space="preserve"> </w:t>
      </w:r>
      <w:r>
        <w:t xml:space="preserve">arXiv:2510.06361.</w:t>
      </w:r>
    </w:p>
    <w:p>
      <w:pPr>
        <w:numPr>
          <w:ilvl w:val="0"/>
          <w:numId w:val="1001"/>
        </w:numPr>
        <w:pStyle w:val="Compact"/>
      </w:pPr>
      <w:r>
        <w:t xml:space="preserve">“</w:t>
      </w:r>
      <w:r>
        <w:t xml:space="preserve">Neural Network Implementation of the Renormalization Group for Fault Diagnosis with Class Imbalance</w:t>
      </w:r>
      <w:r>
        <w:t xml:space="preserve">”</w:t>
      </w:r>
      <w:r>
        <w:t xml:space="preserve"> </w:t>
      </w:r>
      <w:r>
        <w:t xml:space="preserve">(RGNet). arXiv:2606.18326, June 2026.</w:t>
      </w:r>
    </w:p>
    <w:p>
      <w:pPr>
        <w:numPr>
          <w:ilvl w:val="0"/>
          <w:numId w:val="1001"/>
        </w:numPr>
        <w:pStyle w:val="Compact"/>
      </w:pPr>
      <w:r>
        <w:t xml:space="preserve">“</w:t>
      </w:r>
      <w:r>
        <w:t xml:space="preserve">A Renormalization Group Framework for Scale-Invariant Feature Learning in Deep Neural Networks.</w:t>
      </w:r>
      <w:r>
        <w:t xml:space="preserve">”</w:t>
      </w:r>
      <w:r>
        <w:t xml:space="preserve"> </w:t>
      </w:r>
      <w:r>
        <w:t xml:space="preserve">AAAI Student Abstract, 2025.</w:t>
      </w:r>
    </w:p>
    <w:p>
      <w:pPr>
        <w:numPr>
          <w:ilvl w:val="0"/>
          <w:numId w:val="1001"/>
        </w:numPr>
        <w:pStyle w:val="Compact"/>
      </w:pPr>
      <w:r>
        <w:t xml:space="preserve">“</w:t>
      </w:r>
      <w:r>
        <w:t xml:space="preserve">RGMem: Renormalization Group-inspired Memory Evolution for Language Agents.</w:t>
      </w:r>
      <w:r>
        <w:t xml:space="preserve">”</w:t>
      </w:r>
      <w:r>
        <w:t xml:space="preserve"> </w:t>
      </w:r>
      <w:r>
        <w:t xml:space="preserve">Proceedings of ICML 2026 (PMLR 306), arXiv:2510.16392.</w:t>
      </w:r>
    </w:p>
    <w:p>
      <w:pPr>
        <w:numPr>
          <w:ilvl w:val="0"/>
          <w:numId w:val="1001"/>
        </w:numPr>
        <w:pStyle w:val="Compact"/>
      </w:pPr>
      <w:r>
        <w:t xml:space="preserve">“</w:t>
      </w:r>
      <w:r>
        <w:t xml:space="preserve">Renormalization-Group Principles for Deep Neural Architectures.</w:t>
      </w:r>
      <w:r>
        <w:t xml:space="preserve">”</w:t>
      </w:r>
      <w:r>
        <w:t xml:space="preserve"> </w:t>
      </w:r>
      <w:r>
        <w:t xml:space="preserve">Sciety, March 2026.</w:t>
      </w:r>
    </w:p>
    <w:p>
      <w:pPr>
        <w:numPr>
          <w:ilvl w:val="0"/>
          <w:numId w:val="1001"/>
        </w:numPr>
        <w:pStyle w:val="Compact"/>
      </w:pPr>
      <w:r>
        <w:t xml:space="preserve">“</w:t>
      </w:r>
      <w:r>
        <w:t xml:space="preserve">Curvature-informed Graph Learning.</w:t>
      </w:r>
      <w:r>
        <w:t xml:space="preserve">”</w:t>
      </w:r>
      <w:r>
        <w:t xml:space="preserve"> </w:t>
      </w:r>
      <w:r>
        <w:t xml:space="preserve">Patrick R. Nicolas, January 2026.</w:t>
      </w:r>
    </w:p>
    <w:p>
      <w:pPr>
        <w:numPr>
          <w:ilvl w:val="0"/>
          <w:numId w:val="1001"/>
        </w:numPr>
        <w:pStyle w:val="Compact"/>
      </w:pPr>
      <w:r>
        <w:t xml:space="preserve">“</w:t>
      </w:r>
      <w:r>
        <w:t xml:space="preserve">Ollivier-Ricci Curvature of Riemannian Manifolds and Directed Graphs with Applications to Graph Neural Networks.</w:t>
      </w:r>
      <w:r>
        <w:t xml:space="preserve">”</w:t>
      </w:r>
      <w:r>
        <w:t xml:space="preserve"> </w:t>
      </w:r>
      <w:r>
        <w:t xml:space="preserve">arXiv:2604.14211.</w:t>
      </w:r>
    </w:p>
    <w:p>
      <w:pPr>
        <w:numPr>
          <w:ilvl w:val="0"/>
          <w:numId w:val="1001"/>
        </w:numPr>
        <w:pStyle w:val="Compact"/>
      </w:pPr>
      <w:r>
        <w:t xml:space="preserve">“</w:t>
      </w:r>
      <w:r>
        <w:t xml:space="preserve">Sobolev-Ricci Curvature.</w:t>
      </w:r>
      <w:r>
        <w:t xml:space="preserve">”</w:t>
      </w:r>
      <w:r>
        <w:t xml:space="preserve"> </w:t>
      </w:r>
      <w:r>
        <w:t xml:space="preserve">arXiv:2603.12652.</w:t>
      </w:r>
    </w:p>
    <w:p>
      <w:pPr>
        <w:numPr>
          <w:ilvl w:val="0"/>
          <w:numId w:val="1001"/>
        </w:numPr>
        <w:pStyle w:val="Compact"/>
      </w:pPr>
      <w:r>
        <w:t xml:space="preserve">“</w:t>
      </w:r>
      <w:r>
        <w:t xml:space="preserve">Ollivier-Ricci curvature in cycle overlap mode.</w:t>
      </w:r>
      <w:r>
        <w:t xml:space="preserve">”</w:t>
      </w:r>
      <w:r>
        <w:t xml:space="preserve"> </w:t>
      </w:r>
      <w:r>
        <w:t xml:space="preserve">arXiv:2606.03317.</w:t>
      </w:r>
    </w:p>
    <w:p>
      <w:pPr>
        <w:numPr>
          <w:ilvl w:val="0"/>
          <w:numId w:val="1001"/>
        </w:numPr>
        <w:pStyle w:val="Compact"/>
      </w:pPr>
      <w:r>
        <w:t xml:space="preserve">“</w:t>
      </w:r>
      <w:r>
        <w:t xml:space="preserve">Piecewise-linear Ricci curvature flows on weighted graphs.</w:t>
      </w:r>
      <w:r>
        <w:t xml:space="preserve">”</w:t>
      </w:r>
      <w:r>
        <w:t xml:space="preserve"> </w:t>
      </w:r>
      <w:r>
        <w:t xml:space="preserve">arXiv:2505.15395.</w:t>
      </w:r>
    </w:p>
    <w:p>
      <w:pPr>
        <w:numPr>
          <w:ilvl w:val="0"/>
          <w:numId w:val="1001"/>
        </w:numPr>
        <w:pStyle w:val="Compact"/>
      </w:pPr>
      <w:r>
        <w:t xml:space="preserve">“</w:t>
      </w:r>
      <w:r>
        <w:t xml:space="preserve">Understanding over-squashing and bottlenecks on graphs via curvature.</w:t>
      </w:r>
      <w:r>
        <w:t xml:space="preserve">”</w:t>
      </w:r>
      <w:r>
        <w:t xml:space="preserve"> </w:t>
      </w:r>
      <w:r>
        <w:t xml:space="preserve">Topping, Di Giovanni, Chamberlain, Dong, Bronstein. ICLR 2022, cited in the current curvature-for-GNN literature.</w:t>
      </w:r>
    </w:p>
    <w:p>
      <w:pPr>
        <w:numPr>
          <w:ilvl w:val="0"/>
          <w:numId w:val="1001"/>
        </w:numPr>
        <w:pStyle w:val="Compact"/>
      </w:pPr>
      <w:r>
        <w:t xml:space="preserve">“</w:t>
      </w:r>
      <w:r>
        <w:t xml:space="preserve">Code Generation for Cryptographic Kernels using Multi-word Modular Arithmetic on GPU.</w:t>
      </w:r>
      <w:r>
        <w:t xml:space="preserve">”</w:t>
      </w:r>
      <w:r>
        <w:t xml:space="preserve"> </w:t>
      </w:r>
      <w:r>
        <w:t xml:space="preserve">arXiv:2501.07535.</w:t>
      </w:r>
    </w:p>
    <w:p>
      <w:pPr>
        <w:numPr>
          <w:ilvl w:val="0"/>
          <w:numId w:val="1001"/>
        </w:numPr>
        <w:pStyle w:val="Compact"/>
      </w:pPr>
      <w:r>
        <w:t xml:space="preserve">“</w:t>
      </w:r>
      <w:r>
        <w:t xml:space="preserve">High-Performance Number Theoretic Transform on GPU Through radix2-CT and 4-Step Algorithms.</w:t>
      </w:r>
      <w:r>
        <w:t xml:space="preserve">”</w:t>
      </w:r>
      <w:r>
        <w:t xml:space="preserve"> </w:t>
      </w:r>
      <w:r>
        <w:t xml:space="preserve">IEEE Access, May 2025.</w:t>
      </w:r>
    </w:p>
    <w:p>
      <w:pPr>
        <w:numPr>
          <w:ilvl w:val="0"/>
          <w:numId w:val="1001"/>
        </w:numPr>
        <w:pStyle w:val="Compact"/>
      </w:pPr>
      <w:r>
        <w:t xml:space="preserve">“</w:t>
      </w:r>
      <w:r>
        <w:t xml:space="preserve">Improved Implementation of Number Theoretic Transform on NVIDIA GPU with Tensor Cores.</w:t>
      </w:r>
      <w:r>
        <w:t xml:space="preserve">”</w:t>
      </w:r>
      <w:r>
        <w:t xml:space="preserve"> </w:t>
      </w:r>
      <w:r>
        <w:t xml:space="preserve">SCA/HPCAsia 2026.</w:t>
      </w:r>
    </w:p>
    <w:p>
      <w:pPr>
        <w:numPr>
          <w:ilvl w:val="0"/>
          <w:numId w:val="1001"/>
        </w:numPr>
        <w:pStyle w:val="Compact"/>
      </w:pPr>
      <w:r>
        <w:t xml:space="preserve">Nielsen, Michael.</w:t>
      </w:r>
      <w:r>
        <w:t xml:space="preserve"> </w:t>
      </w:r>
      <w:r>
        <w:t xml:space="preserve">“</w:t>
      </w:r>
      <w:r>
        <w:t xml:space="preserve">A number-theoretic approach to consistent hashing.</w:t>
      </w:r>
      <w:r>
        <w:t xml:space="preserve">”</w:t>
      </w:r>
      <w:r>
        <w:t xml:space="preserve"> </w:t>
      </w:r>
      <w:r>
        <w:t xml:space="preserve">michaelnielsen.org.</w:t>
      </w:r>
    </w:p>
    <w:p>
      <w:pPr>
        <w:numPr>
          <w:ilvl w:val="0"/>
          <w:numId w:val="1001"/>
        </w:numPr>
        <w:pStyle w:val="Compact"/>
      </w:pPr>
      <w:r>
        <w:t xml:space="preserve">“</w:t>
      </w:r>
      <w:r>
        <w:t xml:space="preserve">Consistent Hashing for System Design Interviews.</w:t>
      </w:r>
      <w:r>
        <w:t xml:space="preserve">”</w:t>
      </w:r>
      <w:r>
        <w:t xml:space="preserve"> </w:t>
      </w:r>
      <w:r>
        <w:t xml:space="preserve">Hello Interview, February 2026.</w:t>
      </w:r>
    </w:p>
    <w:p>
      <w:pPr>
        <w:numPr>
          <w:ilvl w:val="0"/>
          <w:numId w:val="1001"/>
        </w:numPr>
        <w:pStyle w:val="Compact"/>
      </w:pPr>
      <w:r>
        <w:t xml:space="preserve">“</w:t>
      </w:r>
      <w:r>
        <w:t xml:space="preserve">Critical node identification and resilience analysis against cascading failures.</w:t>
      </w:r>
      <w:r>
        <w:t xml:space="preserve">”</w:t>
      </w:r>
      <w:r>
        <w:t xml:space="preserve"> </w:t>
      </w:r>
      <w:r>
        <w:t xml:space="preserve">PLOS One 21(2), February 2026.</w:t>
      </w:r>
    </w:p>
    <w:p>
      <w:pPr>
        <w:numPr>
          <w:ilvl w:val="0"/>
          <w:numId w:val="1001"/>
        </w:numPr>
        <w:pStyle w:val="Compact"/>
      </w:pPr>
      <w:r>
        <w:t xml:space="preserve">“</w:t>
      </w:r>
      <w:r>
        <w:t xml:space="preserve">Network Properties for Robust Multilayer Infrastructure Systems: A Percolation Theory Review.</w:t>
      </w:r>
      <w:r>
        <w:t xml:space="preserve">”</w:t>
      </w:r>
      <w:r>
        <w:t xml:space="preserve"> </w:t>
      </w:r>
      <w:r>
        <w:t xml:space="preserve">UCL Discovery.</w:t>
      </w:r>
    </w:p>
    <w:p>
      <w:pPr>
        <w:numPr>
          <w:ilvl w:val="0"/>
          <w:numId w:val="1001"/>
        </w:numPr>
        <w:pStyle w:val="Compact"/>
      </w:pPr>
      <w:r>
        <w:t xml:space="preserve">“</w:t>
      </w:r>
      <w:r>
        <w:t xml:space="preserve">Rare events and discontinuous percolation transitions.</w:t>
      </w:r>
      <w:r>
        <w:t xml:space="preserve">”</w:t>
      </w:r>
      <w:r>
        <w:t xml:space="preserve"> </w:t>
      </w:r>
      <w:r>
        <w:t xml:space="preserve">arXiv:1707.00348, foundational percolation-theory background.</w:t>
      </w:r>
    </w:p>
    <w:p>
      <w:pPr>
        <w:numPr>
          <w:ilvl w:val="0"/>
          <w:numId w:val="1001"/>
        </w:numPr>
        <w:pStyle w:val="Compact"/>
      </w:pPr>
      <w:r>
        <w:t xml:space="preserve">“</w:t>
      </w:r>
      <w:r>
        <w:t xml:space="preserve">Robustness and resilience of complex networks</w:t>
      </w:r>
      <w:r>
        <w:t xml:space="preserve">”</w:t>
      </w:r>
      <w:r>
        <w:t xml:space="preserve"> </w:t>
      </w:r>
      <w:r>
        <w:t xml:space="preserve">(cascading-failure survey). arXiv:2509.19867.</w:t>
      </w:r>
    </w:p>
    <w:bookmarkStart w:id="42" w:name="X79bc9f1f5e0d821a7370cc8e22f003d2124fac4"/>
    <w:p>
      <w:pPr>
        <w:pStyle w:val="Heading3"/>
      </w:pPr>
      <w:r>
        <w:t xml:space="preserve">A Note on This Report’s Own Evidentiary Status</w:t>
      </w:r>
    </w:p>
    <w:p>
      <w:pPr>
        <w:pStyle w:val="FirstParagraph"/>
      </w:pPr>
      <w:r>
        <w:t xml:space="preserve">As with the Enhancement Research Report and Implementation Specification before it, every concept in this report sits at the Proposed tier of this body of work’s evidentiary vocabulary — none has passed even Stage 0 of its own recommended development method against AEGIS’s actual codebase or data. This report’s contribution is identifying seven well-grounded, differently-sourced mathematical directions and giving each a concrete, checkable path from idea to verified component; that path’s execution, and the promotion of any concept to a higher evidentiary tier, remains future work.</w:t>
      </w:r>
    </w:p>
    <w:bookmarkEnd w:id="42"/>
    <w:bookmarkEnd w:id="43"/>
    <w:bookmarkEnd w:id="4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2026-07-19T03:47:57Z</dcterms:created>
  <dcterms:modified xsi:type="dcterms:W3CDTF">2026-07-19T03:47:57Z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Future Concepts from Mathematics, Graph Theory, Physics, and Number Theory: Development Methods, Implementation Stages, and Test Cases</vt:lpwstr>
  </property>
</Properties>
</file>