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sz w:val="34"/>
          <w:szCs w:val="34"/>
        </w:rPr>
        <w:t xml:space="preserve">Deterministic Structural Synchronization and Adaptive</w:t>
      </w:r>
    </w:p>
    <w:p>
      <w:pPr>
        <w:jc w:val="center"/>
      </w:pPr>
      <w:r>
        <w:rPr>
          <w:rFonts w:ascii="Calibri" w:cs="Calibri" w:eastAsia="Calibri" w:hAnsi="Calibri"/>
          <w:b/>
          <w:bCs/>
          <w:sz w:val="34"/>
          <w:szCs w:val="34"/>
        </w:rPr>
        <w:t xml:space="preserve">Token-Budget Context Allocation in Pre-LLM Document</w:t>
      </w:r>
    </w:p>
    <w:p>
      <w:pPr>
        <w:spacing w:after="400"/>
        <w:jc w:val="center"/>
      </w:pPr>
      <w:r>
        <w:rPr>
          <w:rFonts w:ascii="Calibri" w:cs="Calibri" w:eastAsia="Calibri" w:hAnsi="Calibri"/>
          <w:b/>
          <w:bCs/>
          <w:sz w:val="34"/>
          <w:szCs w:val="34"/>
        </w:rPr>
        <w:t xml:space="preserve">Intelligence Operating Systems</w:t>
      </w:r>
    </w:p>
    <w:p>
      <w:pPr>
        <w:spacing w:after="80"/>
        <w:jc w:val="center"/>
      </w:pPr>
      <w:r>
        <w:rPr>
          <w:rFonts w:ascii="Calibri" w:cs="Calibri" w:eastAsia="Calibri" w:hAnsi="Calibri"/>
          <w:i/>
          <w:iCs/>
          <w:sz w:val="24"/>
          <w:szCs w:val="24"/>
        </w:rPr>
        <w:t xml:space="preserve">A Reference Architecture, Mathematical Formalization, and Correctness Analysis</w:t>
      </w:r>
    </w:p>
    <w:p>
      <w:pPr>
        <w:spacing w:before="400"/>
        <w:jc w:val="center"/>
      </w:pPr>
      <w:r>
        <w:rPr>
          <w:rFonts w:ascii="Calibri" w:cs="Calibri" w:eastAsia="Calibri" w:hAnsi="Calibri"/>
          <w:sz w:val="22"/>
          <w:szCs w:val="22"/>
        </w:rPr>
        <w:t xml:space="preserve">Author: AI Research Collaborator</w:t>
      </w:r>
    </w:p>
    <w:p>
      <w:pPr>
        <w:spacing w:after="800"/>
        <w:jc w:val="center"/>
      </w:pPr>
      <w:r>
        <w:rPr>
          <w:rFonts w:ascii="Calibri" w:cs="Calibri" w:eastAsia="Calibri" w:hAnsi="Calibri"/>
          <w:sz w:val="22"/>
          <w:szCs w:val="22"/>
        </w:rPr>
        <w:t xml:space="preserve">Revised Edition — July 2026</w:t>
      </w:r>
    </w:p>
    <w:p>
      <w:pPr>
        <w:pStyle w:val="Heading2"/>
        <w:spacing w:after="120" w:before="240"/>
      </w:pPr>
      <w:r>
        <w:t xml:space="preserve">Abstract</w:t>
      </w:r>
    </w:p>
    <w:p>
      <w:pPr>
        <w:spacing w:after="160" w:line="276"/>
      </w:pPr>
      <w:r>
        <w:rPr>
          <w:rFonts w:ascii="Calibri" w:cs="Calibri" w:eastAsia="Calibri" w:hAnsi="Calibri"/>
          <w:sz w:val="22"/>
          <w:szCs w:val="22"/>
        </w:rPr>
        <w:t xml:space="preserve">Modern Retrieval-Augmented Generation (RAG) and document-centric AI agent pipelines are bound by two compounding failure modes: structural degradation during extraction, and economic limitations imposed by fixed context windows. Standard chunk-and-embed pipelines routinely strip layout geometry, reading order, and tabular semantics from dense, multi-modal documents, and pack retrieved context using similarity rank alone, which wastes token budget on redundant material while truncating high-value structural units such as tables mid-row. This paper analyzes AEGIS-DocIntel, a document intelligence architecture positioned as a "pre-LLM operating system" that converts unstructured documents into synchronized mathematical representations prior to vectorization. Building on that architecture, we formalize three engineering interventions — Graph-Driven Spatial Topology Anchoring, Layout-Aware Elastic Chunking, and Budget-Aware Context Packing via 0/1 Knapsack optimization — and, distinct from the original conceptual proposal, we implement, test, and correct each component against a reference codebase. This revised edition documents four concrete correctness defects discovered during implementation (a non-terminating reading-order recovery algorithm, an unimplemented chunking stage, an unbounded memory profile in the packing solver, and the absence of empirical validation), the fixes applied, and the resulting test evidence. It then extends the architecture to non-textual assets — images, flowcharts, vector graphics, and tabular data — generalizing context packing from single-choice to Multi-Choice Knapsack selection across representation tiers, adding a genuinely distinct Lagrangian relaxation solver for large-scale instances (correcting an external draft that had mislabeled a greedy heuristic as Lagrangian), and evaluating and explicitly rejecting a proposed Fiedler-vector reading-order design on mathematical grounds. We conclude with a scalability analysis, threats to validity, and a concrete evaluation protocol for future empirical work.</w:t>
      </w:r>
    </w:p>
    <w:p>
      <w:r>
        <w:br w:type="page"/>
      </w:r>
    </w:p>
    <w:p>
      <w:pPr>
        <w:pStyle w:val="Heading1"/>
        <w:spacing w:after="160" w:before="320"/>
      </w:pPr>
      <w:r>
        <w:t xml:space="preserve">1. Introduction &amp; Core System Paradigm</w:t>
      </w:r>
    </w:p>
    <w:p>
      <w:pPr>
        <w:spacing w:after="160" w:line="276"/>
      </w:pPr>
      <w:r>
        <w:rPr>
          <w:rFonts w:ascii="Calibri" w:cs="Calibri" w:eastAsia="Calibri" w:hAnsi="Calibri"/>
          <w:sz w:val="22"/>
          <w:szCs w:val="22"/>
        </w:rPr>
        <w:t xml:space="preserve">Document intelligence frameworks sit between highly volatile unstructured enterprise data (PDFs, schematics, scanned invoices) and downstream Large Language Model (LLM) agents. Traditional approaches rely heavily on raw optical character recognition (OCR) flat-text dumps. This process detaches text from its physical coordinates, rendering spatial relationships — form fields, table headings, sidebars, multi-column layouts — non-retrievable once the document has been linearized.</w:t>
      </w:r>
    </w:p>
    <w:p>
      <w:pPr>
        <w:spacing w:after="160" w:line="276"/>
      </w:pPr>
      <w:r>
        <w:rPr>
          <w:rFonts w:ascii="Calibri" w:cs="Calibri" w:eastAsia="Calibri" w:hAnsi="Calibri"/>
          <w:sz w:val="22"/>
          <w:szCs w:val="22"/>
        </w:rPr>
        <w:t xml:space="preserve">AEGIS-DocIntel mitigates this loss by converting documents into synchronized mathematical representations: a unified geometric structure in which bounding boxes, semantic hierarchies, and reading flows are explicitly modeled before vectorization. By establishing this structural scaffolding ahead of embedding, downstream agents gain spatial awareness, which in principle improves grounding accuracy and reduces hallucination.</w:t>
      </w:r>
    </w:p>
    <w:p>
      <w:pPr>
        <w:spacing w:after="160" w:line="276"/>
      </w:pPr>
      <w:r>
        <w:rPr>
          <w:rFonts w:ascii="Calibri" w:cs="Calibri" w:eastAsia="Calibri" w:hAnsi="Calibri"/>
          <w:sz w:val="22"/>
          <w:szCs w:val="22"/>
        </w:rPr>
        <w:t xml:space="preserve">This paper treats that architectural framing as a starting hypothesis rather than a settled result. Sections 2–4 restate and formalize the proposed system. Section 5 departs from the original proposal: it reports what happened when each component was actually implemented and tested, including defects that a purely conceptual description did not surface. This distinction — proposed design versus verified implementation — is maintained throughout, since a central claim of the paper is that structural correctness in this domain is only demonstrable by construction, not by architecture diagrams alone.</w:t>
      </w:r>
    </w:p>
    <w:p>
      <w:pPr>
        <w:pStyle w:val="Heading1"/>
        <w:spacing w:after="160" w:before="320"/>
      </w:pPr>
      <w:r>
        <w:t xml:space="preserve">2. Identified Engineering Bottlenecks</w:t>
      </w:r>
    </w:p>
    <w:p>
      <w:pPr>
        <w:spacing w:after="160" w:line="276"/>
      </w:pPr>
      <w:r>
        <w:rPr>
          <w:rFonts w:ascii="Calibri" w:cs="Calibri" w:eastAsia="Calibri" w:hAnsi="Calibri"/>
          <w:sz w:val="22"/>
          <w:szCs w:val="22"/>
        </w:rPr>
        <w:t xml:space="preserve">While a synchronized pre-LLM approach yields stability improvements over naive chunking, three structural limits recur under enterprise document loads:</w:t>
      </w:r>
    </w:p>
    <w:p>
      <w:pPr>
        <w:pStyle w:val="ListParagraph"/>
        <w:numPr>
          <w:ilvl w:val="0"/>
          <w:numId w:val="1"/>
        </w:numPr>
        <w:spacing w:after="100"/>
      </w:pPr>
      <w:r>
        <w:rPr>
          <w:rFonts w:ascii="Calibri" w:cs="Calibri" w:eastAsia="Calibri" w:hAnsi="Calibri"/>
          <w:sz w:val="22"/>
          <w:szCs w:val="22"/>
        </w:rPr>
        <w:t xml:space="preserve">Deterministic reading-order failure in dynamic visual contexts — multi-column structures, nested callout boxes, and irregular wrapping cause layout engines to misindex reading sequences.</w:t>
      </w:r>
    </w:p>
    <w:p>
      <w:pPr>
        <w:pStyle w:val="ListParagraph"/>
        <w:numPr>
          <w:ilvl w:val="0"/>
          <w:numId w:val="1"/>
        </w:numPr>
        <w:spacing w:after="100"/>
      </w:pPr>
      <w:r>
        <w:rPr>
          <w:rFonts w:ascii="Calibri" w:cs="Calibri" w:eastAsia="Calibri" w:hAnsi="Calibri"/>
          <w:sz w:val="22"/>
          <w:szCs w:val="22"/>
        </w:rPr>
        <w:t xml:space="preserve">Semantic boundary blindness in chunking — splitting documents by character or fixed token counts fractures tables and code snippets, severing key contextual links.</w:t>
      </w:r>
    </w:p>
    <w:p>
      <w:pPr>
        <w:pStyle w:val="ListParagraph"/>
        <w:numPr>
          <w:ilvl w:val="0"/>
          <w:numId w:val="1"/>
        </w:numPr>
        <w:spacing w:after="100"/>
      </w:pPr>
      <w:r>
        <w:rPr>
          <w:rFonts w:ascii="Calibri" w:cs="Calibri" w:eastAsia="Calibri" w:hAnsi="Calibri"/>
          <w:sz w:val="22"/>
          <w:szCs w:val="22"/>
        </w:rPr>
        <w:t xml:space="preserve">Naïve context packing under fixed token budgets — assembling context by similarity rank alone wastes tokens on redundant passages while truncating large, high-value structural blocks such as tables.</w:t>
      </w:r>
    </w:p>
    <w:p>
      <w:pPr>
        <w:pStyle w:val="Heading1"/>
        <w:spacing w:after="160" w:before="320"/>
      </w:pPr>
      <w:r>
        <w:t xml:space="preserve">3. Proposed System Architecture</w:t>
      </w:r>
    </w:p>
    <w:p>
      <w:pPr>
        <w:spacing w:after="160" w:line="276"/>
      </w:pPr>
      <w:r>
        <w:rPr>
          <w:rFonts w:ascii="Calibri" w:cs="Calibri" w:eastAsia="Calibri" w:hAnsi="Calibri"/>
          <w:sz w:val="22"/>
          <w:szCs w:val="22"/>
        </w:rPr>
        <w:t xml:space="preserve">The proposed pipeline resolves each bottleneck with a dedicated, mathematically defined stage. Input flows top to bottom through three stages before reaching the downstream LLM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0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w:t>
            </w:r>
          </w:p>
        </w:tc>
        <w:tc>
          <w:tcPr>
            <w:tcW w:type="dxa" w:w="4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Mechanism</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Output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0. Ingestion</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Unstructured PDF / document input</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Raw geometric text blocks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1. Graph-Driven Spatial Parsing</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Spatial adjacency matrix + layout model</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Synchronized geometric nodes, deterministic reading order</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2. Layout-Aware Elastic Chunking</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Structural boundary detection (font, gap, block type)</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Structurally intact chunks (Cᵢ, Vᵢ, Wᵢ)</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3. Budget-Aware Context Packing</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0/1 knapsack solver (dynamic programming)</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Token-budget-safe context payload</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4. Generation</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Downstream LLM agent</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Grounded response</w:t>
            </w:r>
          </w:p>
        </w:tc>
      </w:tr>
    </w:tbl>
    <w:p>
      <w:pPr>
        <w:spacing w:after="240" w:before="60"/>
        <w:jc w:val="center"/>
      </w:pPr>
      <w:r>
        <w:rPr>
          <w:rFonts w:ascii="Calibri" w:cs="Calibri" w:eastAsia="Calibri" w:hAnsi="Calibri"/>
          <w:i/>
          <w:iCs/>
          <w:color w:val="555555"/>
          <w:sz w:val="20"/>
          <w:szCs w:val="20"/>
        </w:rPr>
        <w:t xml:space="preserve">Figure 1. Three-stage pre-LLM pipeline, ingestion through generation.</w:t>
      </w:r>
    </w:p>
    <w:p>
      <w:pPr>
        <w:pStyle w:val="Heading2"/>
        <w:spacing w:after="120" w:before="240"/>
      </w:pPr>
      <w:r>
        <w:t xml:space="preserve">3.1 Graph-Driven Spatial Topology Anchoring</w:t>
      </w:r>
    </w:p>
    <w:p>
      <w:pPr>
        <w:spacing w:after="160" w:line="276"/>
      </w:pPr>
      <w:r>
        <w:rPr>
          <w:rFonts w:ascii="Calibri" w:cs="Calibri" w:eastAsia="Calibri" w:hAnsi="Calibri"/>
          <w:sz w:val="22"/>
          <w:szCs w:val="22"/>
        </w:rPr>
        <w:t xml:space="preserve">Text blocks are modeled as nodes V in a directed spatial graph G = (V, E) rather than read top-to-bottom as a flat string. Edges are populated using a spatial adjacency function combining three geometric constraints:</w:t>
      </w:r>
    </w:p>
    <w:p>
      <w:pPr>
        <w:pStyle w:val="ListParagraph"/>
        <w:numPr>
          <w:ilvl w:val="0"/>
          <w:numId w:val="1"/>
        </w:numPr>
        <w:spacing w:after="100"/>
      </w:pPr>
      <w:r>
        <w:rPr>
          <w:rFonts w:ascii="Calibri" w:cs="Calibri" w:eastAsia="Calibri" w:hAnsi="Calibri"/>
          <w:sz w:val="22"/>
          <w:szCs w:val="22"/>
        </w:rPr>
        <w:t xml:space="preserve">Minimum boundary-to-boundary Euclidean distance D(bᵢ, bⱼ), rather than centroid distance, which fails on long, flat text boxes.</w:t>
      </w:r>
    </w:p>
    <w:p>
      <w:pPr>
        <w:pStyle w:val="ListParagraph"/>
        <w:numPr>
          <w:ilvl w:val="0"/>
          <w:numId w:val="1"/>
        </w:numPr>
        <w:spacing w:after="100"/>
      </w:pPr>
      <w:r>
        <w:rPr>
          <w:rFonts w:ascii="Calibri" w:cs="Calibri" w:eastAsia="Calibri" w:hAnsi="Calibri"/>
          <w:sz w:val="22"/>
          <w:szCs w:val="22"/>
        </w:rPr>
        <w:t xml:space="preserve">Vertical sweep / angular bias θᵢⱼ = atan2(Δy, Δx), penalizing upward or sharply diagonal transitions relative to a natural reading-flow angle θ_flow.</w:t>
      </w:r>
    </w:p>
    <w:p>
      <w:pPr>
        <w:pStyle w:val="ListParagraph"/>
        <w:numPr>
          <w:ilvl w:val="0"/>
          <w:numId w:val="1"/>
        </w:numPr>
        <w:spacing w:after="100"/>
      </w:pPr>
      <w:r>
        <w:rPr>
          <w:rFonts w:ascii="Calibri" w:cs="Calibri" w:eastAsia="Calibri" w:hAnsi="Calibri"/>
          <w:sz w:val="22"/>
          <w:szCs w:val="22"/>
        </w:rPr>
        <w:t xml:space="preserve">Structural (horizontal) overlap coefficient Φᵢⱼ, which prevents multi-column layouts from blending horizontally across column boundaries.</w:t>
      </w:r>
    </w:p>
    <w:p>
      <w:pPr>
        <w:spacing w:after="160" w:line="276"/>
      </w:pPr>
      <w:r>
        <w:rPr>
          <w:rFonts w:ascii="Calibri" w:cs="Calibri" w:eastAsia="Calibri" w:hAnsi="Calibri"/>
          <w:sz w:val="22"/>
          <w:szCs w:val="22"/>
        </w:rPr>
        <w:t xml:space="preserve">The combined edge weight function is:</w:t>
      </w:r>
    </w:p>
    <w:p>
      <w:pPr>
        <w:spacing w:after="120" w:before="120"/>
        <w:ind w:left="576"/>
      </w:pPr>
      <w:r>
        <w:rPr>
          <w:rFonts w:ascii="Cambria Math" w:cs="Cambria Math" w:eastAsia="Cambria Math" w:hAnsi="Cambria Math"/>
          <w:i/>
          <w:iCs/>
          <w:sz w:val="22"/>
          <w:szCs w:val="22"/>
        </w:rPr>
        <w:t xml:space="preserve">Wᵢⱼ = α·exp(−Dᵢⱼ/σ) + β·max(0, cos(θᵢⱼ − θ_flow)) + γ·Φᵢⱼ</w:t>
      </w:r>
    </w:p>
    <w:p>
      <w:pPr>
        <w:spacing w:after="160" w:line="276"/>
      </w:pPr>
      <w:r>
        <w:rPr>
          <w:rFonts w:ascii="Calibri" w:cs="Calibri" w:eastAsia="Calibri" w:hAnsi="Calibri"/>
          <w:sz w:val="22"/>
          <w:szCs w:val="22"/>
        </w:rPr>
        <w:t xml:space="preserve">subject to a hard reading-order gate that forbids upward transitions beyond a small tolerance ε, and a distance threshold τ_dist beyond which candidate edges are dropped outright. A topological sort over the resulting graph yields the deterministic, human-intended reading sequence.</w:t>
      </w:r>
    </w:p>
    <w:p>
      <w:pPr>
        <w:pStyle w:val="Heading2"/>
        <w:spacing w:after="120" w:before="240"/>
      </w:pPr>
      <w:r>
        <w:t xml:space="preserve">3.2 Layout-Aware Elastic Chunking</w:t>
      </w:r>
    </w:p>
    <w:p>
      <w:pPr>
        <w:spacing w:after="160" w:line="276"/>
      </w:pPr>
      <w:r>
        <w:rPr>
          <w:rFonts w:ascii="Calibri" w:cs="Calibri" w:eastAsia="Calibri" w:hAnsi="Calibri"/>
          <w:sz w:val="22"/>
          <w:szCs w:val="22"/>
        </w:rPr>
        <w:t xml:space="preserve">Chunk boundaries must adapt to structural change rather than to a rigid token count. A boundary is drawn between two adjacent nodes in reading order when their visual features diverge sharply — a shift in font metrics, a change in block type (heading vs. body vs. table cell), or an abnormal vertical gap consistent with a section break. Protected structural types (tables, code blocks, equations, figures) are never merged with neighboring prose and are never internally split, up to a hard token ceiling used only as a last-resort safety valve.</w:t>
      </w:r>
    </w:p>
    <w:p>
      <w:pPr>
        <w:pStyle w:val="Heading2"/>
        <w:spacing w:after="120" w:before="240"/>
      </w:pPr>
      <w:r>
        <w:t xml:space="preserve">3.3 Budget-Aware Context Packing via Knapsack Optimization</w:t>
      </w:r>
    </w:p>
    <w:p>
      <w:pPr>
        <w:spacing w:after="160" w:line="276"/>
      </w:pPr>
      <w:r>
        <w:rPr>
          <w:rFonts w:ascii="Calibri" w:cs="Calibri" w:eastAsia="Calibri" w:hAnsi="Calibri"/>
          <w:sz w:val="22"/>
          <w:szCs w:val="22"/>
        </w:rPr>
        <w:t xml:space="preserve">Context assembly is framed as a 0/1 Knapsack Problem. Each chunk cᵢ carries a value Vᵢ (derived from semantic similarity plus structural and temporal metadata) and a weight Wᵢ (its exact token count). Given a hard token budget C, the system selects the value-maximizing subset without exceeding the budget:</w:t>
      </w:r>
    </w:p>
    <w:p>
      <w:pPr>
        <w:spacing w:after="120" w:before="120"/>
        <w:ind w:left="576"/>
      </w:pPr>
      <w:r>
        <w:rPr>
          <w:rFonts w:ascii="Cambria Math" w:cs="Cambria Math" w:eastAsia="Cambria Math" w:hAnsi="Cambria Math"/>
          <w:i/>
          <w:iCs/>
          <w:sz w:val="22"/>
          <w:szCs w:val="22"/>
        </w:rPr>
        <w:t xml:space="preserve">maximize  Σ Vᵢxᵢ    subject to   Σ Wᵢxᵢ ≤ C,   xᵢ ∈ {0, 1}</w:t>
      </w:r>
    </w:p>
    <w:p>
      <w:pPr>
        <w:spacing w:after="160" w:line="276"/>
      </w:pPr>
      <w:r>
        <w:rPr>
          <w:rFonts w:ascii="Calibri" w:cs="Calibri" w:eastAsia="Calibri" w:hAnsi="Calibri"/>
          <w:sz w:val="22"/>
          <w:szCs w:val="22"/>
        </w:rPr>
        <w:t xml:space="preserve">This differs from top-K similarity truncation in one decisive respect: the solver evaluates combinations globally, and can choose to drop a moderately relevant small chunk specifically to keep a large, highly valuable structural block — such as a complete table — intact, rather than truncating it mid-row.</w:t>
      </w:r>
    </w:p>
    <w:p>
      <w:pPr>
        <w:pStyle w:val="Heading1"/>
        <w:spacing w:after="160" w:before="320"/>
      </w:pPr>
      <w:r>
        <w:t xml:space="preserve">4. Mathematical Formalization</w:t>
      </w:r>
    </w:p>
    <w:p>
      <w:pPr>
        <w:spacing w:after="160" w:line="276"/>
      </w:pPr>
      <w:r>
        <w:rPr>
          <w:rFonts w:ascii="Calibri" w:cs="Calibri" w:eastAsia="Calibri" w:hAnsi="Calibri"/>
          <w:sz w:val="22"/>
          <w:szCs w:val="22"/>
        </w:rPr>
        <w:t xml:space="preserve">This section restates the architecture as a rigorous sequence of vector-space and constrained-optimization operations, independent of any specific implementation.</w:t>
      </w:r>
    </w:p>
    <w:p>
      <w:pPr>
        <w:pStyle w:val="Heading2"/>
        <w:spacing w:after="120" w:before="240"/>
      </w:pPr>
      <w:r>
        <w:t xml:space="preserve">4.1 Stage 1 — Spatial Parsing and Graph Representation</w:t>
      </w:r>
    </w:p>
    <w:p>
      <w:pPr>
        <w:spacing w:after="160" w:line="276"/>
      </w:pPr>
      <w:r>
        <w:rPr>
          <w:rFonts w:ascii="Calibri" w:cs="Calibri" w:eastAsia="Calibri" w:hAnsi="Calibri"/>
          <w:sz w:val="22"/>
          <w:szCs w:val="22"/>
        </w:rPr>
        <w:t xml:space="preserve">A document page is a continuous space ℝ². Parsing extracts a vertex set V = {v₁, …, vₙ}, each mapped to a bounding-box tuple bᵢ = (x_min,i, y_min,i, x_max,i, y_max,i) ∈ ℝ⁴. The edge-weight matrix A ∈ ℝ|V|×|V| is:</w:t>
      </w:r>
    </w:p>
    <w:p>
      <w:pPr>
        <w:spacing w:after="120" w:before="120"/>
        <w:ind w:left="576"/>
      </w:pPr>
      <w:r>
        <w:rPr>
          <w:rFonts w:ascii="Cambria Math" w:cs="Cambria Math" w:eastAsia="Cambria Math" w:hAnsi="Cambria Math"/>
          <w:i/>
          <w:iCs/>
          <w:sz w:val="22"/>
          <w:szCs w:val="22"/>
        </w:rPr>
        <w:t xml:space="preserve">Aᵢⱼ = 𝟙[Δyᵢⱼ ≥ −ε] · ( α·exp(−D(bᵢ,bⱼ)/σ) + β·max(0, cos(θᵢⱼ − θ_flow)) + γ·Φ(bᵢ,bⱼ) )</w:t>
      </w:r>
    </w:p>
    <w:p>
      <w:pPr>
        <w:spacing w:after="160" w:line="276"/>
      </w:pPr>
      <w:r>
        <w:rPr>
          <w:rFonts w:ascii="Calibri" w:cs="Calibri" w:eastAsia="Calibri" w:hAnsi="Calibri"/>
          <w:sz w:val="22"/>
          <w:szCs w:val="22"/>
        </w:rPr>
        <w:t xml:space="preserve">where 𝟙[·] is the indicator function enforcing the asymmetric reading-direction constraint, D(bᵢ,bⱼ) is the minimum boundary distance, θᵢⱼ = atan2(Δyᵢⱼ, Δxᵢⱼ) is the centroid orientation, and Φ(bᵢ,bⱼ) is the horizontal overlap projection protecting column integrity. The deterministic reading sequence S is the topological sort of G, satisfying: if (vᵢ, vⱼ) ∈ E then index(vᵢ) &lt; index(vⱼ).</w:t>
      </w:r>
    </w:p>
    <w:p>
      <w:pPr>
        <w:pStyle w:val="Heading2"/>
        <w:spacing w:after="120" w:before="240"/>
      </w:pPr>
      <w:r>
        <w:t xml:space="preserve">4.2 Stage 2 — Vector Space Embedding and Hybrid Retrieval</w:t>
      </w:r>
    </w:p>
    <w:p>
      <w:pPr>
        <w:spacing w:after="160" w:line="276"/>
      </w:pPr>
      <w:r>
        <w:rPr>
          <w:rFonts w:ascii="Calibri" w:cs="Calibri" w:eastAsia="Calibri" w:hAnsi="Calibri"/>
          <w:sz w:val="22"/>
          <w:szCs w:val="22"/>
        </w:rPr>
        <w:t xml:space="preserve">A joint text–layout encoder E: X × ℝ⁴ → ℝᵈ maps each chunk cᵢ to a unit-norm vector dᵢ = E(tᵢ, bᵢ), and maps the query analogously to q = E(t_q, b_q). Retrieval value is a blended, normalized score rather than raw similarity alone:</w:t>
      </w:r>
    </w:p>
    <w:p>
      <w:pPr>
        <w:spacing w:after="120" w:before="120"/>
        <w:ind w:left="576"/>
      </w:pPr>
      <w:r>
        <w:rPr>
          <w:rFonts w:ascii="Cambria Math" w:cs="Cambria Math" w:eastAsia="Cambria Math" w:hAnsi="Cambria Math"/>
          <w:i/>
          <w:iCs/>
          <w:sz w:val="22"/>
          <w:szCs w:val="22"/>
        </w:rPr>
        <w:t xml:space="preserve">Vᵢ(q) = w₁·( q·dᵢ / (‖q‖‖dᵢ‖) )  +  w₂·Mᵢ  +  w₃·T(t_query − tᵢ),      Σwₖ = 1</w:t>
      </w:r>
    </w:p>
    <w:p>
      <w:pPr>
        <w:spacing w:after="160" w:line="276"/>
      </w:pPr>
      <w:r>
        <w:rPr>
          <w:rFonts w:ascii="Calibri" w:cs="Calibri" w:eastAsia="Calibri" w:hAnsi="Calibri"/>
          <w:sz w:val="22"/>
          <w:szCs w:val="22"/>
        </w:rPr>
        <w:t xml:space="preserve">where Mᵢ ∈ [0,1] is a structural priority flag (e.g. table cell vs. footer) and T(Δt) = exp(−λΔt) is an exponential recency decay.</w:t>
      </w:r>
    </w:p>
    <w:p>
      <w:pPr>
        <w:pStyle w:val="Heading2"/>
        <w:spacing w:after="120" w:before="240"/>
      </w:pPr>
      <w:r>
        <w:t xml:space="preserve">4.3 Stage 3 — Constrained Dynamic Programming Context Packing</w:t>
      </w:r>
    </w:p>
    <w:p>
      <w:pPr>
        <w:spacing w:after="160" w:line="276"/>
      </w:pPr>
      <w:r>
        <w:rPr>
          <w:rFonts w:ascii="Calibri" w:cs="Calibri" w:eastAsia="Calibri" w:hAnsi="Calibri"/>
          <w:sz w:val="22"/>
          <w:szCs w:val="22"/>
        </w:rPr>
        <w:t xml:space="preserve">Each chunk carries token weight Wᵢ ∈ ℤ⁺ from a tokenizer mapping K: X → ℤ⁺. Given a language-model context ceiling K_max, the optimal assignment vector x ∈ {0,1}ⁿ solves:</w:t>
      </w:r>
    </w:p>
    <w:p>
      <w:pPr>
        <w:spacing w:after="120" w:before="120"/>
        <w:ind w:left="576"/>
      </w:pPr>
      <w:r>
        <w:rPr>
          <w:rFonts w:ascii="Cambria Math" w:cs="Cambria Math" w:eastAsia="Cambria Math" w:hAnsi="Cambria Math"/>
          <w:i/>
          <w:iCs/>
          <w:sz w:val="22"/>
          <w:szCs w:val="22"/>
        </w:rPr>
        <w:t xml:space="preserve">maximize Σ ⌊Vᵢ(q)·Ω⌋·xᵢ    subject to   Σ Wᵢ·xᵢ ≤ K_max</w:t>
      </w:r>
    </w:p>
    <w:p>
      <w:pPr>
        <w:spacing w:after="160" w:line="276"/>
      </w:pPr>
      <w:r>
        <w:rPr>
          <w:rFonts w:ascii="Calibri" w:cs="Calibri" w:eastAsia="Calibri" w:hAnsi="Calibri"/>
          <w:sz w:val="22"/>
          <w:szCs w:val="22"/>
        </w:rPr>
        <w:t xml:space="preserve">where Ω ∈ ℤ⁺ is an integer quantization scale (e.g. 10⁴) mapping continuous utility into the integer coordinate space required for exact dynamic programming. The Bellman recurrence is:</w:t>
      </w:r>
    </w:p>
    <w:p>
      <w:pPr>
        <w:spacing w:after="120" w:before="120"/>
        <w:ind w:left="576"/>
      </w:pPr>
      <w:r>
        <w:rPr>
          <w:rFonts w:ascii="Cambria Math" w:cs="Cambria Math" w:eastAsia="Cambria Math" w:hAnsi="Cambria Math"/>
          <w:i/>
          <w:iCs/>
          <w:sz w:val="22"/>
          <w:szCs w:val="22"/>
        </w:rPr>
        <w:t xml:space="preserve">DP[i][w] = DP[i−1][w]                                              if Wᵢ &gt; w</w:t>
      </w:r>
    </w:p>
    <w:p>
      <w:pPr>
        <w:spacing w:after="120" w:before="120"/>
        <w:ind w:left="576"/>
      </w:pPr>
      <w:r>
        <w:rPr>
          <w:rFonts w:ascii="Cambria Math" w:cs="Cambria Math" w:eastAsia="Cambria Math" w:hAnsi="Cambria Math"/>
          <w:i/>
          <w:iCs/>
          <w:sz w:val="22"/>
          <w:szCs w:val="22"/>
        </w:rPr>
        <w:t xml:space="preserve">DP[i][w] = max( DP[i−1][w],  DP[i−1][w−Wᵢ] + ⌊Vᵢ(q)·Ω⌋ )           if Wᵢ ≤ w</w:t>
      </w:r>
    </w:p>
    <w:p>
      <w:pPr>
        <w:pStyle w:val="Heading2"/>
        <w:spacing w:after="120" w:before="240"/>
      </w:pPr>
      <w:r>
        <w:t xml:space="preserve">4.4 Stage 4 — Fused Context Generation</w:t>
      </w:r>
    </w:p>
    <w:p>
      <w:pPr>
        <w:spacing w:after="160" w:line="276"/>
      </w:pPr>
      <w:r>
        <w:rPr>
          <w:rFonts w:ascii="Calibri" w:cs="Calibri" w:eastAsia="Calibri" w:hAnsi="Calibri"/>
          <w:sz w:val="22"/>
          <w:szCs w:val="22"/>
        </w:rPr>
        <w:t xml:space="preserve">The optimal subset C* recovered by backtracking through the DP state grid is re-sorted according to the reading sequence S from Stage 1, and passed to an autoregressive language model as a conditional generation problem:</w:t>
      </w:r>
    </w:p>
    <w:p>
      <w:pPr>
        <w:spacing w:after="120" w:before="120"/>
        <w:ind w:left="576"/>
      </w:pPr>
      <w:r>
        <w:rPr>
          <w:rFonts w:ascii="Cambria Math" w:cs="Cambria Math" w:eastAsia="Cambria Math" w:hAnsi="Cambria Math"/>
          <w:i/>
          <w:iCs/>
          <w:sz w:val="22"/>
          <w:szCs w:val="22"/>
        </w:rPr>
        <w:t xml:space="preserve">P(Y | q, C*) = Π P(yₘ | y&lt;ₘ, q, S(C*))</w:t>
      </w:r>
    </w:p>
    <w:p>
      <w:pPr>
        <w:spacing w:after="160" w:line="276"/>
      </w:pPr>
      <w:r>
        <w:rPr>
          <w:rFonts w:ascii="Calibri" w:cs="Calibri" w:eastAsia="Calibri" w:hAnsi="Calibri"/>
          <w:sz w:val="22"/>
          <w:szCs w:val="22"/>
        </w:rPr>
        <w:t xml:space="preserve">The architecture is intended to ensure that the final output Y is simultaneously optimized for semantic relevance, spatial/structural continuity, and hard cost accountability.</w:t>
      </w:r>
    </w:p>
    <w:p>
      <w:r>
        <w:br w:type="page"/>
      </w:r>
    </w:p>
    <w:p>
      <w:pPr>
        <w:pStyle w:val="Heading1"/>
        <w:spacing w:after="160" w:before="320"/>
      </w:pPr>
      <w:r>
        <w:t xml:space="preserve">5. Correctness Analysis and Implementation Hardening</w:t>
      </w:r>
    </w:p>
    <w:p>
      <w:pPr>
        <w:spacing w:after="160" w:line="276"/>
      </w:pPr>
      <w:r>
        <w:rPr>
          <w:rFonts w:ascii="Calibri" w:cs="Calibri" w:eastAsia="Calibri" w:hAnsi="Calibri"/>
          <w:sz w:val="22"/>
          <w:szCs w:val="22"/>
        </w:rPr>
        <w:t xml:space="preserve">The formalization in Section 4 is necessary but not sufficient: several defects in the original conceptual design only become visible once each stage is actually implemented and exercised against adversarial or edge-case input. This section documents four such defects, found and corrected in a reference implementation built directly from the proposal, along with the verification method used for each fix.</w:t>
      </w:r>
    </w:p>
    <w:p>
      <w:pPr>
        <w:pStyle w:val="Heading2"/>
        <w:spacing w:after="120" w:before="240"/>
      </w:pPr>
      <w:r>
        <w:t xml:space="preserve">5.1 Reading-order recovery could fail to terminate cleanly</w:t>
      </w:r>
    </w:p>
    <w:p>
      <w:pPr>
        <w:spacing w:after="160" w:line="276"/>
      </w:pPr>
      <w:r>
        <w:rPr>
          <w:rFonts w:ascii="Calibri" w:cs="Calibri" w:eastAsia="Calibri" w:hAnsi="Calibri"/>
          <w:sz w:val="22"/>
          <w:szCs w:val="22"/>
        </w:rPr>
        <w:t xml:space="preserve">The original topological-sort routine built a dense adjacency matrix and recovered reading order via recursive depth-first search, selecting successors by descending edge weight. Because edge construction only pruned by distance and a soft y-coordinate gate (Δy ≥ −ε), two nodes positioned on the same visual row could receive a positive edge weight in both directions simultaneously. In a language whose recursion depth is bounded, or under adversarial page layouts with many same-row ties, this both (a) does not guarantee an acyclic structure, and (b) is not deterministic — a reordering of the input node list can change which node is visited first, silently producing a different reading order for the same document.</w:t>
      </w:r>
    </w:p>
    <w:p>
      <w:pPr>
        <w:spacing w:after="160" w:line="276"/>
      </w:pPr>
      <w:r>
        <w:rPr>
          <w:rFonts w:ascii="Calibri" w:cs="Calibri" w:eastAsia="Calibri" w:hAnsi="Calibri"/>
          <w:sz w:val="22"/>
          <w:szCs w:val="22"/>
        </w:rPr>
        <w:t xml:space="preserve">Fix: edges are now constructed to be acyclic by definition, not by post-hoc pruning. A directed edge i → j is created only if j is a strict reading-forward successor of i — either to the right of i within the same row, or below i — which makes the relation antisymmetric by construction. Reading order is recovered with Kahn's algorithm using a priority queue keyed on (y_min, x_min, node_id) for deterministic tie-breaking. This guarantees termination in O(|V| + |E|) with no recursion, and guarantees the same input always produces the same order regardless of original list ordering.</w:t>
      </w:r>
    </w:p>
    <w:p>
      <w:pPr>
        <w:spacing w:after="160" w:line="276"/>
      </w:pPr>
      <w:r>
        <w:rPr>
          <w:rFonts w:ascii="Calibri" w:cs="Calibri" w:eastAsia="Calibri" w:hAnsi="Calibri"/>
          <w:sz w:val="22"/>
          <w:szCs w:val="22"/>
        </w:rPr>
        <w:t xml:space="preserve">Verification: a 4×4 dense-grid stress test (16 nodes, every pair within threshold distance) confirms all nodes are visited exactly once with no infinite recursion; a determinism test confirms that reversing the input node list before processing produces an identical output order.</w:t>
      </w:r>
    </w:p>
    <w:p>
      <w:pPr>
        <w:pStyle w:val="Heading2"/>
        <w:spacing w:after="120" w:before="240"/>
      </w:pPr>
      <w:r>
        <w:t xml:space="preserve">5.2 Layout-Aware Elastic Chunking was unimplemented</w:t>
      </w:r>
    </w:p>
    <w:p>
      <w:pPr>
        <w:spacing w:after="160" w:line="276"/>
      </w:pPr>
      <w:r>
        <w:rPr>
          <w:rFonts w:ascii="Calibri" w:cs="Calibri" w:eastAsia="Calibri" w:hAnsi="Calibri"/>
          <w:sz w:val="22"/>
          <w:szCs w:val="22"/>
        </w:rPr>
        <w:t xml:space="preserve">The chunking stage was described only in prose ("introduce cross-attention windowing... look for abrupt shifts...") with no accompanying code in any draft of the proposal. Without an implementation, the central claim of Section 3.2 — that chunk boundaries adapt to structure rather than token count — was unverifiable.</w:t>
      </w:r>
    </w:p>
    <w:p>
      <w:pPr>
        <w:spacing w:after="160" w:line="276"/>
      </w:pPr>
      <w:r>
        <w:rPr>
          <w:rFonts w:ascii="Calibri" w:cs="Calibri" w:eastAsia="Calibri" w:hAnsi="Calibri"/>
          <w:sz w:val="22"/>
          <w:szCs w:val="22"/>
        </w:rPr>
        <w:t xml:space="preserve">Fix: a concrete boundary-detection algorithm was implemented with four rules, evaluated in reading order over consecutive node pairs: (1) either node being a protected structural type (table, code, equation, figure) forces a hard boundary on both sides; (2) a relative font-size delta beyond a configurable threshold forces a boundary (heading/body transition proxy); (3) a vertical gap beyond a configurable multiple of node height forces a boundary (section-break proxy); (4) projected token count exceeding a soft budget forces a boundary once the running chunk is non-trivial.</w:t>
      </w:r>
    </w:p>
    <w:p>
      <w:pPr>
        <w:spacing w:after="160" w:line="276"/>
      </w:pPr>
      <w:r>
        <w:rPr>
          <w:rFonts w:ascii="Calibri" w:cs="Calibri" w:eastAsia="Calibri" w:hAnsi="Calibri"/>
          <w:sz w:val="22"/>
          <w:szCs w:val="22"/>
        </w:rPr>
        <w:t xml:space="preserve">Verification: unit tests confirm a table node is never merged with adjacent prose regardless of proximity; a large font-size shift between two nodes produces two chunks; two similar-font paragraphs merge into one chunk when under budget; and a long run of text is split once the soft token budget is exceeded.</w:t>
      </w:r>
    </w:p>
    <w:p>
      <w:pPr>
        <w:pStyle w:val="Heading2"/>
        <w:spacing w:after="120" w:before="240"/>
      </w:pPr>
      <w:r>
        <w:t xml:space="preserve">5.3 Unbounded memory profile in the knapsack solver</w:t>
      </w:r>
    </w:p>
    <w:p>
      <w:pPr>
        <w:spacing w:after="160" w:line="276"/>
      </w:pPr>
      <w:r>
        <w:rPr>
          <w:rFonts w:ascii="Calibri" w:cs="Calibri" w:eastAsia="Calibri" w:hAnsi="Calibri"/>
          <w:sz w:val="22"/>
          <w:szCs w:val="22"/>
        </w:rPr>
        <w:t xml:space="preserve">The original packer's exact backtracking scheme stores a boolean decision matrix of shape (n, C+1) to recover the selected item set. This is O(n·C) memory with no upper bound declared or enforced — for a large candidate pool (e.g. thousands of chunks from a multi-document corpus) against a large context window (e.g. 200K tokens for a long-context model), this matrix can reach tens of gigabytes, a scaling failure mode not addressed in the original proposal despite it being marketed as "high-performance."</w:t>
      </w:r>
    </w:p>
    <w:p>
      <w:pPr>
        <w:spacing w:after="160" w:line="276"/>
      </w:pPr>
      <w:r>
        <w:rPr>
          <w:rFonts w:ascii="Calibri" w:cs="Calibri" w:eastAsia="Calibri" w:hAnsi="Calibri"/>
          <w:sz w:val="22"/>
          <w:szCs w:val="22"/>
        </w:rPr>
        <w:t xml:space="preserve">Fix: a configurable max_dp_cells guard bounds n·C. When the exact problem instance would exceed it, the solver falls back to a value-density greedy heuristic (sort by Vᵢ/Wᵢ descending, take while budget remains) — O(n log n) time, O(n) memory, non-optimal but budget-safe. The result object explicitly reports whether the exact solver ran, so callers can distinguish guaranteed-optimal from heuristic packing.</w:t>
      </w:r>
    </w:p>
    <w:p>
      <w:pPr>
        <w:spacing w:after="160" w:line="276"/>
      </w:pPr>
      <w:r>
        <w:rPr>
          <w:rFonts w:ascii="Calibri" w:cs="Calibri" w:eastAsia="Calibri" w:hAnsi="Calibri"/>
          <w:sz w:val="22"/>
          <w:szCs w:val="22"/>
        </w:rPr>
        <w:t xml:space="preserve">Verification: on small synthetic instances (n ≤ 20), the exact solver's selected value is checked against brute-force enumeration of all 2ⁿ subsets and found to match exactly. A forced-fallback test (artificially small max_dp_cells) confirms the greedy path still respects the hard token ceiling.</w:t>
      </w:r>
    </w:p>
    <w:p>
      <w:pPr>
        <w:pStyle w:val="Heading2"/>
        <w:spacing w:after="120" w:before="240"/>
      </w:pPr>
      <w:r>
        <w:t xml:space="preserve">5.4 Absence of empirical or test validation</w:t>
      </w:r>
    </w:p>
    <w:p>
      <w:pPr>
        <w:spacing w:after="160" w:line="276"/>
      </w:pPr>
      <w:r>
        <w:rPr>
          <w:rFonts w:ascii="Calibri" w:cs="Calibri" w:eastAsia="Calibri" w:hAnsi="Calibri"/>
          <w:sz w:val="22"/>
          <w:szCs w:val="22"/>
        </w:rPr>
        <w:t xml:space="preserve">No test suite accompanied any version of the original proposal; correctness was argued from the mathematics and from a single hand-constructed example. This is insufficient for a system whose principal claim is deterministic, budget-safe behavior under adversarial document structure.</w:t>
      </w:r>
    </w:p>
    <w:p>
      <w:pPr>
        <w:spacing w:after="160" w:line="276"/>
      </w:pPr>
      <w:r>
        <w:rPr>
          <w:rFonts w:ascii="Calibri" w:cs="Calibri" w:eastAsia="Calibri" w:hAnsi="Calibri"/>
          <w:sz w:val="22"/>
          <w:szCs w:val="22"/>
        </w:rPr>
        <w:t xml:space="preserve">Fix: an 18-case automated test suite was built covering graph acyclicity and determinism, knapsack optimality against brute force and hard-budget compliance, chunk boundary correctness, and end-to-end pipeline behavior (ingestion through packed-context output). All 18 tests pass in the current reference implementation; the suite is intended as a regression gate for any future change to the scoring or boundary-detection heuristics.</w:t>
      </w:r>
    </w:p>
    <w:p>
      <w:pPr>
        <w:pStyle w:val="Heading2"/>
        <w:spacing w:after="120" w:before="240"/>
      </w:pPr>
      <w:r>
        <w:t xml:space="preserve">5.5 Summary of defects and fixes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60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Component</w:t>
            </w:r>
          </w:p>
        </w:tc>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Defect in original proposal</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Fix</w:t>
            </w:r>
          </w:p>
        </w:tc>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Verification method</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Reading-order recovery</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Recursive DFS over a possibly-cyclic weighted matrix; non-deterministic under ties</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Reading-forward edges constructed acyclic by definition; Kahn's algorithm with deterministic tie-break</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Dense-grid stress test; input-order-invariance test</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Elastic chunking</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Described in prose only; no implementation existed</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Rule-based structural boundary detector (protected types, font delta, gap, soft budget)</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Unit tests per boundary rule</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Knapsack packer</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O(n·C) backtracking memory, no upper bound declared</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max_dp_cells guard + greedy value-density fallback with explicit exact/approximate flag</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Brute-force match on small n; forced-fallback budget test</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System-wide</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No automated tests; single manual example only</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18-case pytest suite covering all stages + end-to-end pipeline</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CI-style local run: 18/18 passing</w:t>
            </w:r>
          </w:p>
        </w:tc>
      </w:tr>
    </w:tbl>
    <w:p>
      <w:pPr>
        <w:spacing w:after="160" w:line="276"/>
      </w:pPr>
      <w:r>
        <w:rPr>
          <w:rFonts w:ascii="Calibri" w:cs="Calibri" w:eastAsia="Calibri" w:hAnsi="Calibri"/>
          <w:sz w:val="22"/>
          <w:szCs w:val="22"/>
        </w:rPr>
        <w:t xml:space="preserve"/>
      </w:r>
    </w:p>
    <w:p>
      <w:pPr>
        <w:pStyle w:val="Heading1"/>
        <w:spacing w:after="160" w:before="320"/>
      </w:pPr>
      <w:r>
        <w:t xml:space="preserve">6. Complexity and Scalability Analysis</w:t>
      </w:r>
    </w:p>
    <w:p>
      <w:pPr>
        <w:spacing w:after="160" w:line="276"/>
      </w:pPr>
      <w:r>
        <w:rPr>
          <w:rFonts w:ascii="Calibri" w:cs="Calibri" w:eastAsia="Calibri" w:hAnsi="Calibri"/>
          <w:sz w:val="22"/>
          <w:szCs w:val="22"/>
        </w:rPr>
        <w:t xml:space="preserve">Stage-by-stage asymptotic behavior of the reference implementation, given n text nodes/chunks and a token capacity C:</w:t>
      </w:r>
    </w:p>
    <w:p>
      <w:pPr>
        <w:pStyle w:val="ListParagraph"/>
        <w:numPr>
          <w:ilvl w:val="0"/>
          <w:numId w:val="1"/>
        </w:numPr>
        <w:spacing w:after="100"/>
      </w:pPr>
      <w:r>
        <w:rPr>
          <w:rFonts w:ascii="Calibri" w:cs="Calibri" w:eastAsia="Calibri" w:hAnsi="Calibri"/>
          <w:sz w:val="22"/>
          <w:szCs w:val="22"/>
        </w:rPr>
        <w:t xml:space="preserve">Spatial graph construction: O(n²) candidate edge evaluation per page. This is acceptable for typical page node counts (tens to low hundreds) but would need spatial indexing (e.g. an R-tree or grid bucketing on the y-axis) for pages with node counts in the thousands, which is left as an open engineering item (Section 8).</w:t>
      </w:r>
    </w:p>
    <w:p>
      <w:pPr>
        <w:pStyle w:val="ListParagraph"/>
        <w:numPr>
          <w:ilvl w:val="0"/>
          <w:numId w:val="1"/>
        </w:numPr>
        <w:spacing w:after="100"/>
      </w:pPr>
      <w:r>
        <w:rPr>
          <w:rFonts w:ascii="Calibri" w:cs="Calibri" w:eastAsia="Calibri" w:hAnsi="Calibri"/>
          <w:sz w:val="22"/>
          <w:szCs w:val="22"/>
        </w:rPr>
        <w:t xml:space="preserve">Reading-order recovery: O(n + E) via Kahn's algorithm, where E is bounded by the distance-threshold pruning.</w:t>
      </w:r>
    </w:p>
    <w:p>
      <w:pPr>
        <w:pStyle w:val="ListParagraph"/>
        <w:numPr>
          <w:ilvl w:val="0"/>
          <w:numId w:val="1"/>
        </w:numPr>
        <w:spacing w:after="100"/>
      </w:pPr>
      <w:r>
        <w:rPr>
          <w:rFonts w:ascii="Calibri" w:cs="Calibri" w:eastAsia="Calibri" w:hAnsi="Calibri"/>
          <w:sz w:val="22"/>
          <w:szCs w:val="22"/>
        </w:rPr>
        <w:t xml:space="preserve">Elastic chunking: O(n) single pass over reading-ordered nodes.</w:t>
      </w:r>
    </w:p>
    <w:p>
      <w:pPr>
        <w:pStyle w:val="ListParagraph"/>
        <w:numPr>
          <w:ilvl w:val="0"/>
          <w:numId w:val="1"/>
        </w:numPr>
        <w:spacing w:after="100"/>
      </w:pPr>
      <w:r>
        <w:rPr>
          <w:rFonts w:ascii="Calibri" w:cs="Calibri" w:eastAsia="Calibri" w:hAnsi="Calibri"/>
          <w:sz w:val="22"/>
          <w:szCs w:val="22"/>
        </w:rPr>
        <w:t xml:space="preserve">Exact knapsack packing: O(n·C) time and, in the current backtracking formulation, O(n·C) memory. The max_dp_cells guard converts this into a soft ceiling: beyond it, the system trades optimality for an O(n log n) greedy fallback rather than failing or exhausting memory.</w:t>
      </w:r>
    </w:p>
    <w:p>
      <w:pPr>
        <w:spacing w:after="160" w:line="276"/>
      </w:pPr>
      <w:r>
        <w:rPr>
          <w:rFonts w:ascii="Calibri" w:cs="Calibri" w:eastAsia="Calibri" w:hAnsi="Calibri"/>
          <w:sz w:val="22"/>
          <w:szCs w:val="22"/>
        </w:rPr>
        <w:t xml:space="preserve">The dominant scaling risk in the pipeline is therefore the packing stage under large candidate pools and long-context models (100K+ token budgets). A production deployment should either (a) pre-filter candidates with a cheap similarity top-K before packing to bound n, or (b) replace the boolean backtracking matrix with a divide-and-conquer knapsack reconstruction (O(C) memory, O(n·C) time), which preserves exactness while removing the memory ceiling entirely — noted as priority future work.</w:t>
      </w:r>
    </w:p>
    <w:p>
      <w:pPr>
        <w:pStyle w:val="Heading1"/>
        <w:spacing w:after="160" w:before="320"/>
      </w:pPr>
      <w:r>
        <w:t xml:space="preserve">7. Evaluation Strategy</w:t>
      </w:r>
    </w:p>
    <w:p>
      <w:pPr>
        <w:spacing w:after="160" w:line="276"/>
      </w:pPr>
      <w:r>
        <w:rPr>
          <w:rFonts w:ascii="Calibri" w:cs="Calibri" w:eastAsia="Calibri" w:hAnsi="Calibri"/>
          <w:sz w:val="22"/>
          <w:szCs w:val="22"/>
        </w:rPr>
        <w:t xml:space="preserve">Beyond unit-level correctness, architectural claims should be validated against standard document-understanding benchmarks using three metrics:</w:t>
      </w:r>
    </w:p>
    <w:p>
      <w:pPr>
        <w:pStyle w:val="ListParagraph"/>
        <w:numPr>
          <w:ilvl w:val="0"/>
          <w:numId w:val="1"/>
        </w:numPr>
        <w:spacing w:after="100"/>
      </w:pPr>
      <w:r>
        <w:rPr>
          <w:rFonts w:ascii="Calibri" w:cs="Calibri" w:eastAsia="Calibri" w:hAnsi="Calibri"/>
          <w:sz w:val="22"/>
          <w:szCs w:val="22"/>
        </w:rPr>
        <w:t xml:space="preserve">Structural Preservation Score (SPS) — table layout accuracy and reading-order continuity, measured via tree-edit distance between extracted structure and ground truth.</w:t>
      </w:r>
    </w:p>
    <w:p>
      <w:pPr>
        <w:pStyle w:val="ListParagraph"/>
        <w:numPr>
          <w:ilvl w:val="0"/>
          <w:numId w:val="1"/>
        </w:numPr>
        <w:spacing w:after="100"/>
      </w:pPr>
      <w:r>
        <w:rPr>
          <w:rFonts w:ascii="Calibri" w:cs="Calibri" w:eastAsia="Calibri" w:hAnsi="Calibri"/>
          <w:sz w:val="22"/>
          <w:szCs w:val="22"/>
        </w:rPr>
        <w:t xml:space="preserve">Token Efficiency Ratio (TER) — downstream answer accuracy divided by total tokens consumed, measuring semantic density of the packed context.</w:t>
      </w:r>
    </w:p>
    <w:p>
      <w:pPr>
        <w:pStyle w:val="ListParagraph"/>
        <w:numPr>
          <w:ilvl w:val="0"/>
          <w:numId w:val="1"/>
        </w:numPr>
        <w:spacing w:after="100"/>
      </w:pPr>
      <w:r>
        <w:rPr>
          <w:rFonts w:ascii="Calibri" w:cs="Calibri" w:eastAsia="Calibri" w:hAnsi="Calibri"/>
          <w:sz w:val="22"/>
          <w:szCs w:val="22"/>
        </w:rPr>
        <w:t xml:space="preserve">Retrieval Hallucination Minimization (RHM) — grounding rate, i.e. how cleanly a generated answer traces back to exact document coordinates.</w:t>
      </w:r>
    </w:p>
    <w:p>
      <w:pPr>
        <w:spacing w:after="160" w:line="276"/>
      </w:pPr>
      <w:r>
        <w:rPr>
          <w:rFonts w:ascii="Calibri" w:cs="Calibri" w:eastAsia="Calibri" w:hAnsi="Calibri"/>
          <w:sz w:val="22"/>
          <w:szCs w:val="22"/>
        </w:rPr>
        <w:t xml:space="preserve">Proposed benchmark protocol: evaluate on DocVQA (Mathew et al., 2021) for general visual-document question answering and on TAT-QA (Zhu et al., 2021) for hybrid tabular-and-textual reasoning, comparing this pipeline against (i) naive fixed-size chunking with top-K similarity packing, and (ii) the pre-hardening version of this pipeline described in Section 5, to isolate the empirical effect of each correctness fix. This benchmarking pass has not yet been run against the reference implementation and is the primary open empirical item for this line of work.</w:t>
      </w:r>
    </w:p>
    <w:p>
      <w:pPr>
        <w:pStyle w:val="Heading1"/>
        <w:spacing w:after="160" w:before="320"/>
      </w:pPr>
      <w:r>
        <w:t xml:space="preserve">8. Limitations and Threats to Validity</w:t>
      </w:r>
    </w:p>
    <w:p>
      <w:pPr>
        <w:pStyle w:val="ListParagraph"/>
        <w:numPr>
          <w:ilvl w:val="0"/>
          <w:numId w:val="1"/>
        </w:numPr>
        <w:spacing w:after="100"/>
      </w:pPr>
      <w:r>
        <w:rPr>
          <w:rFonts w:ascii="Calibri" w:cs="Calibri" w:eastAsia="Calibri" w:hAnsi="Calibri"/>
          <w:sz w:val="22"/>
          <w:szCs w:val="22"/>
        </w:rPr>
        <w:t xml:space="preserve">The reference encoder used for testing is a deterministic mock (hash-seeded pseudo-random vectors), not a trained text–layout joint model such as LayoutLMv3. All correctness results in Section 5 concern structural and algorithmic behavior (ordering, chunk boundaries, budget compliance), not semantic retrieval quality, which depends entirely on the encoder actually deployed.</w:t>
      </w:r>
    </w:p>
    <w:p>
      <w:pPr>
        <w:pStyle w:val="ListParagraph"/>
        <w:numPr>
          <w:ilvl w:val="0"/>
          <w:numId w:val="1"/>
        </w:numPr>
        <w:spacing w:after="100"/>
      </w:pPr>
      <w:r>
        <w:rPr>
          <w:rFonts w:ascii="Calibri" w:cs="Calibri" w:eastAsia="Calibri" w:hAnsi="Calibri"/>
          <w:sz w:val="22"/>
          <w:szCs w:val="22"/>
        </w:rPr>
        <w:t xml:space="preserve">The reading-order heuristic (Section 5.1) assumes left-to-right, top-to-bottom reading flow. It has not been validated against right-to-left scripts, vertical scripts, or non-standard multi-column newspaper-style layouts with irregular column counts per page.</w:t>
      </w:r>
    </w:p>
    <w:p>
      <w:pPr>
        <w:pStyle w:val="ListParagraph"/>
        <w:numPr>
          <w:ilvl w:val="0"/>
          <w:numId w:val="1"/>
        </w:numPr>
        <w:spacing w:after="100"/>
      </w:pPr>
      <w:r>
        <w:rPr>
          <w:rFonts w:ascii="Calibri" w:cs="Calibri" w:eastAsia="Calibri" w:hAnsi="Calibri"/>
          <w:sz w:val="22"/>
          <w:szCs w:val="22"/>
        </w:rPr>
        <w:t xml:space="preserve">Font-size delta and vertical-gap thresholds in the elastic chunker (Section 5.2) are fixed hyperparameters tuned by inspection, not learned or validated against a labeled chunking-quality dataset.</w:t>
      </w:r>
    </w:p>
    <w:p>
      <w:pPr>
        <w:pStyle w:val="ListParagraph"/>
        <w:numPr>
          <w:ilvl w:val="0"/>
          <w:numId w:val="1"/>
        </w:numPr>
        <w:spacing w:after="100"/>
      </w:pPr>
      <w:r>
        <w:rPr>
          <w:rFonts w:ascii="Calibri" w:cs="Calibri" w:eastAsia="Calibri" w:hAnsi="Calibri"/>
          <w:sz w:val="22"/>
          <w:szCs w:val="22"/>
        </w:rPr>
        <w:t xml:space="preserve">The O(n²) spatial adjacency construction has not been stress-tested against pages with node counts beyond the low hundreds; behavior on extremely dense pages (e.g. dense financial statements with thousands of cell-level nodes) is unverified.</w:t>
      </w:r>
    </w:p>
    <w:p>
      <w:pPr>
        <w:pStyle w:val="ListParagraph"/>
        <w:numPr>
          <w:ilvl w:val="0"/>
          <w:numId w:val="1"/>
        </w:numPr>
        <w:spacing w:after="100"/>
      </w:pPr>
      <w:r>
        <w:rPr>
          <w:rFonts w:ascii="Calibri" w:cs="Calibri" w:eastAsia="Calibri" w:hAnsi="Calibri"/>
          <w:sz w:val="22"/>
          <w:szCs w:val="22"/>
        </w:rPr>
        <w:t xml:space="preserve">No benchmark evaluation (Section 7) has been conducted; all evaluation-metric definitions remain proposed, not measured.</w:t>
      </w:r>
    </w:p>
    <w:p>
      <w:pPr>
        <w:pStyle w:val="ListParagraph"/>
        <w:numPr>
          <w:ilvl w:val="0"/>
          <w:numId w:val="1"/>
        </w:numPr>
        <w:spacing w:after="100"/>
      </w:pPr>
      <w:r>
        <w:rPr>
          <w:rFonts w:ascii="Calibri" w:cs="Calibri" w:eastAsia="Calibri" w:hAnsi="Calibri"/>
          <w:sz w:val="22"/>
          <w:szCs w:val="22"/>
        </w:rPr>
        <w:t xml:space="preserve">The image asset encoder (Section 9.1) is a deterministic mock, not a trained CLIP/SigLIP-class model; image retrieval similarity is not semantically meaningful until it is replaced with a real joint text-image encoder sharing an actual trained embedding space with the text encoder.</w:t>
      </w:r>
    </w:p>
    <w:p>
      <w:pPr>
        <w:pStyle w:val="ListParagraph"/>
        <w:numPr>
          <w:ilvl w:val="0"/>
          <w:numId w:val="1"/>
        </w:numPr>
        <w:spacing w:after="100"/>
      </w:pPr>
      <w:r>
        <w:rPr>
          <w:rFonts w:ascii="Calibri" w:cs="Calibri" w:eastAsia="Calibri" w:hAnsi="Calibri"/>
          <w:sz w:val="22"/>
          <w:szCs w:val="22"/>
        </w:rPr>
        <w:t xml:space="preserve">The flowchart/diagram structural encoder (Section 9.1) uses randomly initialized, untrained propagation weights; it produces a stable topological fingerprint but not a semantically meaningful embedding until trained against a labeled diagram-similarity or diagram-QA objective.</w:t>
      </w:r>
    </w:p>
    <w:p>
      <w:pPr>
        <w:pStyle w:val="ListParagraph"/>
        <w:numPr>
          <w:ilvl w:val="0"/>
          <w:numId w:val="1"/>
        </w:numPr>
        <w:spacing w:after="100"/>
      </w:pPr>
      <w:r>
        <w:rPr>
          <w:rFonts w:ascii="Calibri" w:cs="Calibri" w:eastAsia="Calibri" w:hAnsi="Calibri"/>
          <w:sz w:val="22"/>
          <w:szCs w:val="22"/>
        </w:rPr>
        <w:t xml:space="preserve">The SVG path parser (Section 9.1) covers the M/L/C/Z command subset only; arcs (A) and quadratic curves (Q/T) are not parsed and are silently skipped rather than approximated.</w:t>
      </w:r>
    </w:p>
    <w:p>
      <w:pPr>
        <w:pStyle w:val="ListParagraph"/>
        <w:numPr>
          <w:ilvl w:val="0"/>
          <w:numId w:val="1"/>
        </w:numPr>
        <w:spacing w:after="100"/>
      </w:pPr>
      <w:r>
        <w:rPr>
          <w:rFonts w:ascii="Calibri" w:cs="Calibri" w:eastAsia="Calibri" w:hAnsi="Calibri"/>
          <w:sz w:val="22"/>
          <w:szCs w:val="22"/>
        </w:rPr>
        <w:t xml:space="preserve">The Lagrangian relaxation solver (Section 9.3) uses a simple greedy repair step to recover feasibility from an infeasible relaxed solution; more sophisticated repair (e.g. local search around the relaxed solution) would likely tighten the reported optimality gap further but has not been implemented or measured.</w:t>
      </w:r>
    </w:p>
    <w:p>
      <w:r>
        <w:br w:type="page"/>
      </w:r>
    </w:p>
    <w:p>
      <w:pPr>
        <w:pStyle w:val="Heading1"/>
        <w:spacing w:after="160" w:before="320"/>
      </w:pPr>
      <w:r>
        <w:t xml:space="preserve">9. Extension: Multi-Modal Assets, Multi-Choice Packing, and Multi-Agent Orchestration</w:t>
      </w:r>
    </w:p>
    <w:p>
      <w:pPr>
        <w:spacing w:after="160" w:line="276"/>
      </w:pPr>
      <w:r>
        <w:rPr>
          <w:rFonts w:ascii="Calibri" w:cs="Calibri" w:eastAsia="Calibri" w:hAnsi="Calibri"/>
          <w:sz w:val="22"/>
          <w:szCs w:val="22"/>
        </w:rPr>
        <w:t xml:space="preserve">The base architecture in Sections 3–4 treats every retrieval unit as plain text. Real enterprise documents also contain raster images, flowcharts/diagrams, vector graphics, and tabular data, each of which loses essential structure if flattened into a single text token stream. This section extends the pipeline with dedicated per-format transformations, generalizes context packing from single-choice to multi-choice selection to support them, and adds two complementary structural/routing tools. As in Section 5, every addition here was implemented and tested rather than left as a diagram; one candidate design was evaluated and explicitly rejected.</w:t>
      </w:r>
    </w:p>
    <w:p>
      <w:pPr>
        <w:pStyle w:val="Heading2"/>
        <w:spacing w:after="120" w:before="240"/>
      </w:pPr>
      <w:r>
        <w:t xml:space="preserve">9.1 Per-Format Asset Transformations</w:t>
      </w:r>
    </w:p>
    <w:p>
      <w:pPr>
        <w:spacing w:after="160" w:line="276"/>
      </w:pPr>
      <w:r>
        <w:rPr>
          <w:rFonts w:ascii="Calibri" w:cs="Calibri" w:eastAsia="Calibri" w:hAnsi="Calibri"/>
          <w:sz w:val="22"/>
          <w:szCs w:val="22"/>
        </w:rPr>
        <w:t xml:space="preserve">Each non-text asset type is mapped through a dedicated transformation before entering the shared context-packing stage, rather than being treated as an opaque attachment: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600"/>
      </w:tblGrid>
      <w:tr>
        <w:trPr>
          <w:tblHeader/>
        </w:trPr>
        <w:tc>
          <w:tcPr>
            <w:tcW w:type="dxa" w:w="2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Asset type</w:t>
            </w:r>
          </w:p>
        </w:tc>
        <w:tc>
          <w:tcPr>
            <w:tcW w:type="dxa" w:w="4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Transformation</w:t>
            </w:r>
          </w:p>
        </w:tc>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Output</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Raster image</w:t>
            </w:r>
          </w:p>
        </w:tc>
        <w:tc>
          <w:tcPr>
            <w:tcW w:type="dxa" w:w="4800"/>
            <w:tcMar>
              <w:top w:type="dxa" w:w="80"/>
              <w:left w:type="dxa" w:w="100"/>
              <w:bottom w:type="dxa" w:w="80"/>
              <w:right w:type="dxa" w:w="100"/>
            </w:tcMar>
          </w:tcPr>
          <w:p>
            <w:r>
              <w:rPr>
                <w:rFonts w:ascii="Calibri" w:cs="Calibri" w:eastAsia="Calibri" w:hAnsi="Calibri"/>
                <w:b w:val="false"/>
                <w:bCs w:val="false"/>
                <w:color w:val="000000"/>
                <w:sz w:val="20"/>
                <w:szCs w:val="20"/>
              </w:rPr>
              <w:t xml:space="preserve">Dual visual/text encoder projects pixels into the shared embedding space: v = LayerNorm(W_v·VisionEncoder(I) + e_2D_bbox(b))</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Full base64 payload tier + short caption tier</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Flowchart / diagram</w:t>
            </w:r>
          </w:p>
        </w:tc>
        <w:tc>
          <w:tcPr>
            <w:tcW w:type="dxa" w:w="4800"/>
            <w:tcMar>
              <w:top w:type="dxa" w:w="80"/>
              <w:left w:type="dxa" w:w="100"/>
              <w:bottom w:type="dxa" w:w="80"/>
              <w:right w:type="dxa" w:w="100"/>
            </w:tcMar>
          </w:tcPr>
          <w:p>
            <w:r>
              <w:rPr>
                <w:rFonts w:ascii="Calibri" w:cs="Calibri" w:eastAsia="Calibri" w:hAnsi="Calibri"/>
                <w:b w:val="false"/>
                <w:bCs w:val="false"/>
                <w:color w:val="000000"/>
                <w:sz w:val="20"/>
                <w:szCs w:val="20"/>
              </w:rPr>
              <w:t xml:space="preserve">Parsed into an explicit graph G=(V,E) of step labels and flow arrows; one normalized-adjacency propagation step (GCN-style) produces a structural fingerprint</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Topology-sensitive embedding for similarity/dedup</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SVG (vector graphics)</w:t>
            </w:r>
          </w:p>
        </w:tc>
        <w:tc>
          <w:tcPr>
            <w:tcW w:type="dxa" w:w="4800"/>
            <w:tcMar>
              <w:top w:type="dxa" w:w="80"/>
              <w:left w:type="dxa" w:w="100"/>
              <w:bottom w:type="dxa" w:w="80"/>
              <w:right w:type="dxa" w:w="100"/>
            </w:tcMar>
          </w:tcPr>
          <w:p>
            <w:r>
              <w:rPr>
                <w:rFonts w:ascii="Calibri" w:cs="Calibri" w:eastAsia="Calibri" w:hAnsi="Calibri"/>
                <w:b w:val="false"/>
                <w:bCs w:val="false"/>
                <w:color w:val="000000"/>
                <w:sz w:val="20"/>
                <w:szCs w:val="20"/>
              </w:rPr>
              <w:t xml:space="preserve">XML path commands (M, L, C, Z) parsed directly rather than rasterized; coordinates normalized to the view box</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Normalized coordinate point sequence</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CSV / tabular data</w:t>
            </w:r>
          </w:p>
        </w:tc>
        <w:tc>
          <w:tcPr>
            <w:tcW w:type="dxa" w:w="4800"/>
            <w:tcMar>
              <w:top w:type="dxa" w:w="80"/>
              <w:left w:type="dxa" w:w="100"/>
              <w:bottom w:type="dxa" w:w="80"/>
              <w:right w:type="dxa" w:w="100"/>
            </w:tcMar>
          </w:tcPr>
          <w:p>
            <w:r>
              <w:rPr>
                <w:rFonts w:ascii="Calibri" w:cs="Calibri" w:eastAsia="Calibri" w:hAnsi="Calibri"/>
                <w:b w:val="false"/>
                <w:bCs w:val="false"/>
                <w:color w:val="000000"/>
                <w:sz w:val="20"/>
                <w:szCs w:val="20"/>
              </w:rPr>
              <w:t xml:space="preserve">Every cell mapped to an explicit (table, row, column, header) coordinate tag rather than flattened row-by-row</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Dense coordinate-anchored tier + compressed statistical-summary tier</w:t>
            </w:r>
          </w:p>
        </w:tc>
      </w:tr>
    </w:tbl>
    <w:p>
      <w:pPr>
        <w:spacing w:after="160" w:line="276"/>
      </w:pPr>
      <w:r>
        <w:rPr>
          <w:rFonts w:ascii="Calibri" w:cs="Calibri" w:eastAsia="Calibri" w:hAnsi="Calibri"/>
          <w:sz w:val="22"/>
          <w:szCs w:val="22"/>
        </w:rPr>
        <w:t xml:space="preserve">The image and flowchart transformations are shipped with reference implementations that are explicitly not production-ready as semantic encoders: the image encoder is a deterministic hash-based mock standing in for a trained CLIP/SigLIP model, and the flowchart encoder's projection weights are randomly initialized rather than trained. Both are structurally correct (they produce stable, well-shaped embeddings) but carry no learned semantic content — see Section 8 for the corresponding limitation entries. The tabular and SVG transformations, by contrast, are deterministic geometric/text operations with no learned component, and are treated as production-ready within the scope tested.</w:t>
      </w:r>
    </w:p>
    <w:p>
      <w:pPr>
        <w:pStyle w:val="Heading2"/>
        <w:spacing w:after="120" w:before="240"/>
      </w:pPr>
      <w:r>
        <w:t xml:space="preserve">9.2 Multi-Choice Knapsack: Generalizing Context Packing to Asset Tiers</w:t>
      </w:r>
    </w:p>
    <w:p>
      <w:pPr>
        <w:spacing w:after="160" w:line="276"/>
      </w:pPr>
      <w:r>
        <w:rPr>
          <w:rFonts w:ascii="Calibri" w:cs="Calibri" w:eastAsia="Calibri" w:hAnsi="Calibri"/>
          <w:sz w:val="22"/>
          <w:szCs w:val="22"/>
        </w:rPr>
        <w:t xml:space="preserve">Section 4.3 formalized context packing as a 0/1 knapsack over independent chunks. Once an asset can be represented at more than one fidelity tier (e.g. full image payload vs. caption, dense table vs. summary), the correct formulation is no longer independent binary choices but a Multi-Choice Knapsack Problem (MCKP): each asset is a group of mutually exclusive tiers, and the solver selects at most one tier per group.</w:t>
      </w:r>
    </w:p>
    <w:p>
      <w:pPr>
        <w:spacing w:after="120" w:before="120"/>
        <w:ind w:left="576"/>
      </w:pPr>
      <w:r>
        <w:rPr>
          <w:rFonts w:ascii="Cambria Math" w:cs="Cambria Math" w:eastAsia="Cambria Math" w:hAnsi="Cambria Math"/>
          <w:i/>
          <w:iCs/>
          <w:sz w:val="22"/>
          <w:szCs w:val="22"/>
        </w:rPr>
        <w:t xml:space="preserve">maximize  ΣᵍΣᵢ Vᵍᵢ·xᵍᵢ    subject to   ΣᵍΣᵢ Wᵍᵢ·xᵍᵢ ≤ C,   Σᵢ xᵍᵢ ≤ 1 ∀g,   xᵍᵢ ∈ {0,1}</w:t>
      </w:r>
    </w:p>
    <w:p>
      <w:pPr>
        <w:spacing w:after="160" w:line="276"/>
      </w:pPr>
      <w:r>
        <w:rPr>
          <w:rFonts w:ascii="Calibri" w:cs="Calibri" w:eastAsia="Calibri" w:hAnsi="Calibri"/>
          <w:sz w:val="22"/>
          <w:szCs w:val="22"/>
        </w:rPr>
        <w:t xml:space="preserve">with Bellman recurrence over groups g = 1..m (processing entire groups atomically, so at most one item per group is ever selected):</w:t>
      </w:r>
    </w:p>
    <w:p>
      <w:pPr>
        <w:spacing w:after="120" w:before="120"/>
        <w:ind w:left="576"/>
      </w:pPr>
      <w:r>
        <w:rPr>
          <w:rFonts w:ascii="Cambria Math" w:cs="Cambria Math" w:eastAsia="Cambria Math" w:hAnsi="Cambria Math"/>
          <w:i/>
          <w:iCs/>
          <w:sz w:val="22"/>
          <w:szCs w:val="22"/>
        </w:rPr>
        <w:t xml:space="preserve">DP[g][w] = max( DP[g−1][w],  max over item i in group g with Wᵍᵢ≤w of  DP[g−1][w−Wᵍᵢ] + Vᵍᵢ )</w:t>
      </w:r>
    </w:p>
    <w:p>
      <w:pPr>
        <w:spacing w:after="160" w:line="276"/>
      </w:pPr>
      <w:r>
        <w:rPr>
          <w:rFonts w:ascii="Calibri" w:cs="Calibri" w:eastAsia="Calibri" w:hAnsi="Calibri"/>
          <w:sz w:val="22"/>
          <w:szCs w:val="22"/>
        </w:rPr>
        <w:t xml:space="preserve">This is a strict generalization of Section 4.3: a group containing exactly one item reduces the recurrence to the ordinary 0/1 knapsack case, so plain text chunks (single-tier) and multi-tier assets are packed in the same pass under one shared budget. The reference implementation was checked against brute-force enumeration over all group/tier combinations on small synthetic instances and found to match exactly on total selected value in every case tested; it inherits the same max_dp_cells memory guard and greedy-density fallback discussed in Section 5.3 for large instances.</w:t>
      </w:r>
    </w:p>
    <w:p>
      <w:pPr>
        <w:pStyle w:val="Heading2"/>
        <w:spacing w:after="120" w:before="240"/>
      </w:pPr>
      <w:r>
        <w:t xml:space="preserve">9.3 Lagrangian Relaxation for Large-Scale Allocation</w:t>
      </w:r>
    </w:p>
    <w:p>
      <w:pPr>
        <w:spacing w:after="160" w:line="276"/>
      </w:pPr>
      <w:r>
        <w:rPr>
          <w:rFonts w:ascii="Calibri" w:cs="Calibri" w:eastAsia="Calibri" w:hAnsi="Calibri"/>
          <w:sz w:val="22"/>
          <w:szCs w:val="22"/>
        </w:rPr>
        <w:t xml:space="preserve">An external draft of a large-scale allocation component labeled itself "Lagrangian" while actually implementing a plain per-group value-density greedy heuristic — sorting each asset's tiers by value/token ratio and taking the best that still fits. That heuristic is a reasonable fast fallback (and is in fact what Section 5.3's own fallback path does, honestly labeled as greedy), but it is not Lagrangian relaxation, and mislabeling it forfeits the actual benefit of the Lagrangian approach: a certified bound on how far a fast heuristic solution can be from optimal.</w:t>
      </w:r>
    </w:p>
    <w:p>
      <w:pPr>
        <w:spacing w:after="160" w:line="276"/>
      </w:pPr>
      <w:r>
        <w:rPr>
          <w:rFonts w:ascii="Calibri" w:cs="Calibri" w:eastAsia="Calibri" w:hAnsi="Calibri"/>
          <w:sz w:val="22"/>
          <w:szCs w:val="22"/>
        </w:rPr>
        <w:t xml:space="preserve">A true Lagrangian relaxation instead relaxes the capacity constraint into the objective with multiplier λ ≥ 0, which decomposes the problem into n independent per-item decisions for any fixed λ:</w:t>
      </w:r>
    </w:p>
    <w:p>
      <w:pPr>
        <w:spacing w:after="120" w:before="120"/>
        <w:ind w:left="576"/>
      </w:pPr>
      <w:r>
        <w:rPr>
          <w:rFonts w:ascii="Cambria Math" w:cs="Cambria Math" w:eastAsia="Cambria Math" w:hAnsi="Cambria Math"/>
          <w:i/>
          <w:iCs/>
          <w:sz w:val="22"/>
          <w:szCs w:val="22"/>
        </w:rPr>
        <w:t xml:space="preserve">L(λ) = maxₓ Σᵢ (Vᵢ − λWᵢ)xᵢ + λC,     xᵢ* = 1 iff (Vᵢ − λWᵢ) &gt; 0</w:t>
      </w:r>
    </w:p>
    <w:p>
      <w:pPr>
        <w:spacing w:after="160" w:line="276"/>
      </w:pPr>
      <w:r>
        <w:rPr>
          <w:rFonts w:ascii="Calibri" w:cs="Calibri" w:eastAsia="Calibri" w:hAnsi="Calibri"/>
          <w:sz w:val="22"/>
          <w:szCs w:val="22"/>
        </w:rPr>
        <w:t xml:space="preserve">L(λ) is a valid upper bound on the true optimum for every λ ≥ 0 (weak duality). Subgradient descent on the capacity violation tightens this bound:</w:t>
      </w:r>
    </w:p>
    <w:p>
      <w:pPr>
        <w:spacing w:after="120" w:before="120"/>
        <w:ind w:left="576"/>
      </w:pPr>
      <w:r>
        <w:rPr>
          <w:rFonts w:ascii="Cambria Math" w:cs="Cambria Math" w:eastAsia="Cambria Math" w:hAnsi="Cambria Math"/>
          <w:i/>
          <w:iCs/>
          <w:sz w:val="22"/>
          <w:szCs w:val="22"/>
        </w:rPr>
        <w:t xml:space="preserve">λ_{t+1} = max(0,  λₜ − stepₜ · (C − Σᵢ Wᵢxᵢ*(λₜ)) )</w:t>
      </w:r>
    </w:p>
    <w:p>
      <w:pPr>
        <w:spacing w:after="160" w:line="276"/>
      </w:pPr>
      <w:r>
        <w:rPr>
          <w:rFonts w:ascii="Calibri" w:cs="Calibri" w:eastAsia="Calibri" w:hAnsi="Calibri"/>
          <w:sz w:val="22"/>
          <w:szCs w:val="22"/>
        </w:rPr>
        <w:t xml:space="preserve">Because the relaxed solution at each iteration may itself violate the true budget, the reference implementation additionally repairs it to feasibility by greedily dropping the lowest-density items until it fits, and tracks the best feasible value found across all iterations alongside the best (tightest) dual bound. Reporting both gives a certified optimality gap — (dual bound − feasible value) / dual bound — even when neither individually is provably optimal. On brute-forceable synthetic instances, the implementation was verified to satisfy the required weak-duality sandwich: feasible value ≤ true optimum ≤ dual bound, in every trial.</w:t>
      </w:r>
    </w:p>
    <w:p>
      <w:pPr>
        <w:pStyle w:val="Heading2"/>
        <w:spacing w:after="120" w:before="240"/>
      </w:pPr>
      <w:r>
        <w:t xml:space="preserve">9.4 Spectral Topology Embedding and Random-Walk Routing Scores</w:t>
      </w:r>
    </w:p>
    <w:p>
      <w:pPr>
        <w:spacing w:after="160" w:line="276"/>
      </w:pPr>
      <w:r>
        <w:rPr>
          <w:rFonts w:ascii="Calibri" w:cs="Calibri" w:eastAsia="Calibri" w:hAnsi="Calibri"/>
          <w:sz w:val="22"/>
          <w:szCs w:val="22"/>
        </w:rPr>
        <w:t xml:space="preserve">Two additional structural signals complement (but do not replace) the deterministic reading-order DAG from Section 5.1. A Laplace-Beltrami-style spectral embedding computes the symmetric normalized graph Laplacian L = I − D⁻¹ᐟ²WD⁻¹ᐟ² over the node affinity matrix and embeds each node using the eigenvectors of its smallest non-trivial eigenvalues; nodes that are topologically close (e.g. belonging to the same reading column, even across a gap such as an embedded image) cluster together in this space even when a raw distance rule would miss the connection. Separately, a random-walk hitting-time score — the expected number of steps for a Markov chain over the (row-normalized) layout affinity matrix to reach a target node — gives a continuous "structural closeness to an anchor" measure, computed by solving the standard absorbing-chain linear system for expected first-passage time. Both were verified on synthetic graphs with known ground truth (disconnected block-diagonal affinity for clustering; a simple path graph, where hitting time must increase monotonically with graph distance from the target, for the random-walk score).</w:t>
      </w:r>
    </w:p>
    <w:p>
      <w:pPr>
        <w:pStyle w:val="Heading2"/>
        <w:spacing w:after="120" w:before="240"/>
      </w:pPr>
      <w:r>
        <w:t xml:space="preserve">9.5 Contextual Bandit Routing (LinUCB) for Pipeline Selection</w:t>
      </w:r>
    </w:p>
    <w:p>
      <w:pPr>
        <w:spacing w:after="160" w:line="276"/>
      </w:pPr>
      <w:r>
        <w:rPr>
          <w:rFonts w:ascii="Calibri" w:cs="Calibri" w:eastAsia="Calibri" w:hAnsi="Calibri"/>
          <w:sz w:val="22"/>
          <w:szCs w:val="22"/>
        </w:rPr>
        <w:t xml:space="preserve">Rather than a hand-written rule choosing between a lightweight text-only pipeline configuration and a heavier layout-aware one, a LinUCB contextual multi-armed bandit learns the routing policy online from cheap query/document features (token count, bounding-box density, detected table count). Each candidate pipeline configuration is an "arm" with its own ridge-regression design matrix; selection maximizes an upper confidence bound theta_a^T x + α√(x^T A_a⁻¹x) balancing expected reward against uncertainty, and every observed outcome (e.g. downstream answer accuracy minus a token-cost penalty) updates the corresponding arm online. This was verified to converge toward the higher-reward arm under repeated simulated feedback on a fixed context vector.</w:t>
      </w:r>
    </w:p>
    <w:p>
      <w:pPr>
        <w:pStyle w:val="Heading2"/>
        <w:spacing w:after="120" w:before="240"/>
      </w:pPr>
      <w:r>
        <w:t xml:space="preserve">9.6 Correctness Note: Rejected Fiedler-Vector Reading Order</w:t>
      </w:r>
    </w:p>
    <w:p>
      <w:pPr>
        <w:spacing w:after="160" w:line="276"/>
      </w:pPr>
      <w:r>
        <w:rPr>
          <w:rFonts w:ascii="Calibri" w:cs="Calibri" w:eastAsia="Calibri" w:hAnsi="Calibri"/>
          <w:sz w:val="22"/>
          <w:szCs w:val="22"/>
        </w:rPr>
        <w:t xml:space="preserve">A separate external draft proposed deriving document reading order directly from the graph Laplacian's Fiedler vector — the eigenvector associated with the second-smallest eigenvalue — sorting nodes by their coordinate along it. This design was evaluated and not adopted. The Fiedler vector encodes spectral bisection structure (it is the standard tool for graph partitioning and bandwidth reduction), not reading direction: nothing in its derivation encodes left-to-right or top-to-bottom flow, a symmetric Gaussian-kernel affinity matrix is direction-agnostic by construction, and eigenvectors are sign-ambiguous, so an ordering and its exact mirror image are equally valid outputs of the same computation for the same document. Reading order in this system continues to be produced exclusively by the directionally-constructed DAG and Kahn's-algorithm sequencing described in Section 5.1, which is the only component in the pipeline carrying a provable ordering guarantee. The spectral tooling from Section 9.4 is retained for the different task it is actually suited to — structural grouping, not sequencing.</w:t>
      </w:r>
    </w:p>
    <w:p>
      <w:pPr>
        <w:pStyle w:val="Heading2"/>
        <w:spacing w:after="120" w:before="240"/>
      </w:pPr>
      <w:r>
        <w:t xml:space="preserve">9.7 Summary of Extension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Component</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Concept</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Verification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Multi-choice packer</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0/1 Multi-Choice Knapsack DP</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Exact match vs. brute force on synthetic multi-tier instances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Lagrangian solver</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Subgradient relaxation, dual/primal bound</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Weak-duality sandwich confirmed vs. brute-force optimum</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Spectral embedder</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Laplace-Beltrami graph Laplacian</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Block-diagonal affinity correctly separates into clusters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Hitting-time score</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Absorbing Markov chain first-passage time</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Monotonic increase with graph distance on a path graph</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LinUCB router</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Contextual multi-armed bandit</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Converges to higher-reward arm under repeated feedback</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Tabular compiler</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Relational coordinate invariance</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Header binding preserved per cell; ragged rows handled</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Image / flowchart encoders</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Contrastive projection / GCN readout</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Structurally verified only — semantically untrained, not production-ready</w:t>
            </w:r>
          </w:p>
        </w:tc>
      </w:tr>
    </w:tbl>
    <w:p>
      <w:pPr>
        <w:spacing w:after="160" w:line="276"/>
      </w:pPr>
      <w:r>
        <w:rPr>
          <w:rFonts w:ascii="Calibri" w:cs="Calibri" w:eastAsia="Calibri" w:hAnsi="Calibri"/>
          <w:sz w:val="22"/>
          <w:szCs w:val="22"/>
        </w:rPr>
        <w:t xml:space="preserve"/>
      </w:r>
    </w:p>
    <w:p>
      <w:pPr>
        <w:pStyle w:val="Heading1"/>
        <w:spacing w:after="160" w:before="320"/>
      </w:pPr>
      <w:r>
        <w:t xml:space="preserve">10. Future Work</w:t>
      </w:r>
    </w:p>
    <w:p>
      <w:pPr>
        <w:pStyle w:val="ListParagraph"/>
        <w:numPr>
          <w:ilvl w:val="0"/>
          <w:numId w:val="1"/>
        </w:numPr>
        <w:spacing w:after="100"/>
      </w:pPr>
      <w:r>
        <w:rPr>
          <w:rFonts w:ascii="Calibri" w:cs="Calibri" w:eastAsia="Calibri" w:hAnsi="Calibri"/>
          <w:sz w:val="22"/>
          <w:szCs w:val="22"/>
        </w:rPr>
        <w:t xml:space="preserve">Replace the mock encoder with a trained LayoutLMv3-class text+layout joint model, per the spatial feature augmentation hᵢ = LayerNorm(e_text(vᵢ) + e_2D_bbox(bᵢ)) described in Section 4.2, and replace the mock/untrained image and flowchart encoders from Section 9.1 with trained models sharing that same embedding space.</w:t>
      </w:r>
    </w:p>
    <w:p>
      <w:pPr>
        <w:pStyle w:val="ListParagraph"/>
        <w:numPr>
          <w:ilvl w:val="0"/>
          <w:numId w:val="1"/>
        </w:numPr>
        <w:spacing w:after="100"/>
      </w:pPr>
      <w:r>
        <w:rPr>
          <w:rFonts w:ascii="Calibri" w:cs="Calibri" w:eastAsia="Calibri" w:hAnsi="Calibri"/>
          <w:sz w:val="22"/>
          <w:szCs w:val="22"/>
        </w:rPr>
        <w:t xml:space="preserve">Replace the O(n·C)-memory backtracking knapsack reconstruction (both the single-choice and multi-choice solvers) with a divide-and-conquer variant to remove the memory ceiling while preserving exactness.</w:t>
      </w:r>
    </w:p>
    <w:p>
      <w:pPr>
        <w:pStyle w:val="ListParagraph"/>
        <w:numPr>
          <w:ilvl w:val="0"/>
          <w:numId w:val="1"/>
        </w:numPr>
        <w:spacing w:after="100"/>
      </w:pPr>
      <w:r>
        <w:rPr>
          <w:rFonts w:ascii="Calibri" w:cs="Calibri" w:eastAsia="Calibri" w:hAnsi="Calibri"/>
          <w:sz w:val="22"/>
          <w:szCs w:val="22"/>
        </w:rPr>
        <w:t xml:space="preserve">Add spatial indexing (grid bucketing or an R-tree) to reduce adjacency construction from O(n²) toward O(n log n) for dense pages.</w:t>
      </w:r>
    </w:p>
    <w:p>
      <w:pPr>
        <w:pStyle w:val="ListParagraph"/>
        <w:numPr>
          <w:ilvl w:val="0"/>
          <w:numId w:val="1"/>
        </w:numPr>
        <w:spacing w:after="100"/>
      </w:pPr>
      <w:r>
        <w:rPr>
          <w:rFonts w:ascii="Calibri" w:cs="Calibri" w:eastAsia="Calibri" w:hAnsi="Calibri"/>
          <w:sz w:val="22"/>
          <w:szCs w:val="22"/>
        </w:rPr>
        <w:t xml:space="preserve">Run the DocVQA / TAT-QA benchmark protocol from Section 7 and report SPS, TER, and RHM against both a naive-chunking baseline and the pre-hardening pipeline.</w:t>
      </w:r>
    </w:p>
    <w:p>
      <w:pPr>
        <w:pStyle w:val="ListParagraph"/>
        <w:numPr>
          <w:ilvl w:val="0"/>
          <w:numId w:val="1"/>
        </w:numPr>
        <w:spacing w:after="100"/>
      </w:pPr>
      <w:r>
        <w:rPr>
          <w:rFonts w:ascii="Calibri" w:cs="Calibri" w:eastAsia="Calibri" w:hAnsi="Calibri"/>
          <w:sz w:val="22"/>
          <w:szCs w:val="22"/>
        </w:rPr>
        <w:t xml:space="preserve">Extend reading-order construction with an explicit multi-script mode (RTL / vertical text) rather than assuming a fixed reading-flow angle.</w:t>
      </w:r>
    </w:p>
    <w:p>
      <w:pPr>
        <w:pStyle w:val="ListParagraph"/>
        <w:numPr>
          <w:ilvl w:val="0"/>
          <w:numId w:val="1"/>
        </w:numPr>
        <w:spacing w:after="100"/>
      </w:pPr>
      <w:r>
        <w:rPr>
          <w:rFonts w:ascii="Calibri" w:cs="Calibri" w:eastAsia="Calibri" w:hAnsi="Calibri"/>
          <w:sz w:val="22"/>
          <w:szCs w:val="22"/>
        </w:rPr>
        <w:t xml:space="preserve">Extend the SVG parser (Section 9.1) to cover arc and quadratic path commands rather than skipping them.</w:t>
      </w:r>
    </w:p>
    <w:p>
      <w:pPr>
        <w:pStyle w:val="ListParagraph"/>
        <w:numPr>
          <w:ilvl w:val="0"/>
          <w:numId w:val="1"/>
        </w:numPr>
        <w:spacing w:after="100"/>
      </w:pPr>
      <w:r>
        <w:rPr>
          <w:rFonts w:ascii="Calibri" w:cs="Calibri" w:eastAsia="Calibri" w:hAnsi="Calibri"/>
          <w:sz w:val="22"/>
          <w:szCs w:val="22"/>
        </w:rPr>
        <w:t xml:space="preserve">Evaluate the remaining candidate mathematical tools not adopted in this pass — persistent homology / topological data analysis for tabular-grid detection, Riemannian manifold metric tensors for curvilinear text-flow distance, Von Neumann spectral entropy and Wasserstein/optimal-transport distances as alternative chunking signals, Pareto-frontier multi-objective search and Markov Decision Process formulations for multi-turn agent loops, and Dirichlet process mixture models for query clustering — each against a concrete, unit-testable correctness criterion before inclusion, following the same standard applied throughout Sections 5 and 9.</w:t>
      </w:r>
    </w:p>
    <w:p>
      <w:pPr>
        <w:pStyle w:val="Heading1"/>
        <w:spacing w:after="160" w:before="320"/>
      </w:pPr>
      <w:r>
        <w:t xml:space="preserve">11. Conclusion</w:t>
      </w:r>
    </w:p>
    <w:p>
      <w:pPr>
        <w:spacing w:after="160" w:line="276"/>
      </w:pPr>
      <w:r>
        <w:rPr>
          <w:rFonts w:ascii="Calibri" w:cs="Calibri" w:eastAsia="Calibri" w:hAnsi="Calibri"/>
          <w:sz w:val="22"/>
          <w:szCs w:val="22"/>
        </w:rPr>
        <w:t xml:space="preserve">Moving document analysis from crude text linearization to disciplined, synchronized mathematical mapping is a substantive step for enterprise AI pipelines — but the gap between a conceptual architecture and a correct implementation is not cosmetic. Three of the four defects identified in Section 5 (non-deterministic reading order, an unimplemented chunking stage, and an unbounded-memory packing solver) would have shipped silently in a system evaluated only by inspection of its equations and a single hand-built example. Section 9 extended the same discipline to multi-modal assets and large-scale allocation: context packing was generalized from single-choice to multi-choice selection with an exact solver verified against brute force, a genuinely distinct Lagrangian relaxation method replaced a heuristic that had been mislabeled as one, and a spectral reading-order design proposed elsewhere was evaluated, found mathematically unsound for the purpose, and explicitly rejected rather than silently adopted. The reference implementation accompanying this paper closes these gaps: reading order is acyclic by construction and deterministic, chunking is a tested rule-based implementation rather than prose, context packing is exact within a declared and enforced memory bound across both single- and multi-tier assets, and every claimed optimization carries either a passing test against a known-good baseline or an explicit, undisguised limitation. What remains open is empirical, not architectural — the benchmark protocol in Section 7, and training the mock/untrained encoders introduced in Section 9.1, are the necessary next steps to establish whether these structural guarantees translate into measurable gains in grounding accuracy and token efficiency against real document-understanding workloads.</w:t>
      </w:r>
    </w:p>
    <w:p>
      <w:pPr>
        <w:pStyle w:val="Heading1"/>
        <w:spacing w:after="160" w:before="320"/>
      </w:pPr>
      <w:r>
        <w:t xml:space="preserve">References</w:t>
      </w:r>
    </w:p>
    <w:p>
      <w:pPr>
        <w:spacing w:after="160" w:line="276"/>
      </w:pPr>
      <w:r>
        <w:rPr>
          <w:rFonts w:ascii="Calibri" w:cs="Calibri" w:eastAsia="Calibri" w:hAnsi="Calibri"/>
          <w:i w:val="false"/>
          <w:iCs w:val="false"/>
          <w:sz w:val="22"/>
          <w:szCs w:val="22"/>
        </w:rPr>
        <w:t xml:space="preserve">Huang, Y., Lv, T., Cui, L., Lu, Y., &amp; Wei, F. (2022). LayoutLMv3: Pre-training for Document AI with Unified Text and Image Masking.</w:t>
      </w:r>
    </w:p>
    <w:p>
      <w:pPr>
        <w:spacing w:after="160" w:line="276"/>
      </w:pPr>
      <w:r>
        <w:rPr>
          <w:rFonts w:ascii="Calibri" w:cs="Calibri" w:eastAsia="Calibri" w:hAnsi="Calibri"/>
          <w:i w:val="false"/>
          <w:iCs w:val="false"/>
          <w:sz w:val="22"/>
          <w:szCs w:val="22"/>
        </w:rPr>
        <w:t xml:space="preserve">Mathew, M., Karatzas, D., &amp; Jawahar, C. V. (2021). DocVQA: A Dataset for VQA on Document Images.</w:t>
      </w:r>
    </w:p>
    <w:p>
      <w:pPr>
        <w:spacing w:after="160" w:line="276"/>
      </w:pPr>
      <w:r>
        <w:rPr>
          <w:rFonts w:ascii="Calibri" w:cs="Calibri" w:eastAsia="Calibri" w:hAnsi="Calibri"/>
          <w:i w:val="false"/>
          <w:iCs w:val="false"/>
          <w:sz w:val="22"/>
          <w:szCs w:val="22"/>
        </w:rPr>
        <w:t xml:space="preserve">Zhu, F., Lei, W., Huang, Y., Wang, C., Zhang, S., Lv, J., Feng, F., &amp; Chua, T.-S. (2021). TAT-QA: A Question Answering Benchmark on a Hybrid of Tabular and Textual Content in Finance.</w:t>
      </w:r>
    </w:p>
    <w:p>
      <w:pPr>
        <w:spacing w:after="160" w:line="276"/>
      </w:pPr>
      <w:r>
        <w:rPr>
          <w:rFonts w:ascii="Calibri" w:cs="Calibri" w:eastAsia="Calibri" w:hAnsi="Calibri"/>
          <w:i w:val="false"/>
          <w:iCs w:val="false"/>
          <w:sz w:val="22"/>
          <w:szCs w:val="22"/>
        </w:rPr>
        <w:t xml:space="preserve">Kellerer, H., Pferschy, U., &amp; Pisinger, D. (2004). Knapsack Problems. Springer.</w:t>
      </w:r>
    </w:p>
    <w:p>
      <w:pPr>
        <w:spacing w:after="160" w:line="276"/>
      </w:pPr>
      <w:r>
        <w:rPr>
          <w:rFonts w:ascii="Calibri" w:cs="Calibri" w:eastAsia="Calibri" w:hAnsi="Calibri"/>
          <w:i w:val="false"/>
          <w:iCs w:val="false"/>
          <w:sz w:val="22"/>
          <w:szCs w:val="22"/>
        </w:rPr>
        <w:t xml:space="preserve">Fisher, M. L. (1981). The Lagrangian Relaxation Method for Solving Integer Programming Problems. Management Science, 27(1).</w:t>
      </w:r>
    </w:p>
    <w:p>
      <w:pPr>
        <w:spacing w:after="160" w:line="276"/>
      </w:pPr>
      <w:r>
        <w:rPr>
          <w:rFonts w:ascii="Calibri" w:cs="Calibri" w:eastAsia="Calibri" w:hAnsi="Calibri"/>
          <w:i w:val="false"/>
          <w:iCs w:val="false"/>
          <w:sz w:val="22"/>
          <w:szCs w:val="22"/>
        </w:rPr>
        <w:t xml:space="preserve">Li, L., Chu, W., Langford, J., &amp; Schapire, R. E. (2010). A Contextual-Bandit Approach to Personalized News Article Recommendation. Proceedings of WWW 2010.</w:t>
      </w:r>
    </w:p>
    <w:p>
      <w:pPr>
        <w:spacing w:after="160" w:line="276"/>
      </w:pPr>
      <w:r>
        <w:rPr>
          <w:rFonts w:ascii="Calibri" w:cs="Calibri" w:eastAsia="Calibri" w:hAnsi="Calibri"/>
          <w:i w:val="false"/>
          <w:iCs w:val="false"/>
          <w:sz w:val="22"/>
          <w:szCs w:val="22"/>
        </w:rPr>
        <w:t xml:space="preserve">Von Luxburg, U. (2007). A Tutorial on Spectral Clustering. Statistics and Computing, 17(4).</w:t>
      </w:r>
    </w:p>
    <w:p>
      <w:pPr>
        <w:spacing w:after="160" w:line="276"/>
      </w:pPr>
      <w:r>
        <w:rPr>
          <w:rFonts w:ascii="Calibri" w:cs="Calibri" w:eastAsia="Calibri" w:hAnsi="Calibri"/>
          <w:i w:val="false"/>
          <w:iCs w:val="false"/>
          <w:sz w:val="22"/>
          <w:szCs w:val="22"/>
        </w:rPr>
        <w:t xml:space="preserve">Lin, J. (1991). Divergence Measures Based on the Shannon Entropy. IEEE Transactions on Information Theory, 37(1).</w:t>
      </w:r>
    </w:p>
    <w:p>
      <w:pPr>
        <w:spacing w:after="160" w:line="276"/>
      </w:pPr>
      <w:r>
        <w:rPr>
          <w:rFonts w:ascii="Calibri" w:cs="Calibri" w:eastAsia="Calibri" w:hAnsi="Calibri"/>
          <w:i w:val="false"/>
          <w:iCs w:val="false"/>
          <w:sz w:val="22"/>
          <w:szCs w:val="22"/>
        </w:rPr>
        <w:t xml:space="preserve">Radford, A., Kim, J. W., Hallacy, C., et al. (2021). Learning Transferable Visual Models From Natural Language Supervision (CLIP).</w:t>
      </w:r>
    </w:p>
    <w:p>
      <w:pPr>
        <w:spacing w:after="160" w:line="276"/>
      </w:pPr>
      <w:r>
        <w:rPr>
          <w:rFonts w:ascii="Calibri" w:cs="Calibri" w:eastAsia="Calibri" w:hAnsi="Calibri"/>
          <w:i w:val="false"/>
          <w:iCs w:val="false"/>
          <w:sz w:val="22"/>
          <w:szCs w:val="22"/>
        </w:rPr>
        <w:t xml:space="preserve">Kipf, T. N., &amp; Welling, M. (2017). Semi-Supervised Classification with Graph Convolutional Networks. ICLR 2017.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1F3864"/>
      <w:sz w:val="30"/>
      <w:szCs w:val="30"/>
    </w:rPr>
  </w:style>
  <w:style w:type="paragraph" w:styleId="Heading2">
    <w:name w:val="Heading 2"/>
    <w:basedOn w:val="Normal"/>
    <w:next w:val="Normal"/>
    <w:rPr>
      <w:b/>
      <w:bCs/>
      <w:color w:val="2E5395"/>
      <w:sz w:val="26"/>
      <w:szCs w:val="26"/>
    </w:rPr>
  </w:style>
  <w:style w:type="paragraph" w:styleId="Heading3">
    <w:name w:val="Heading 3"/>
    <w:basedOn w:val="Normal"/>
    <w:next w:val="Normal"/>
    <w:rPr>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2026-07-11T15:26:30.331Z</dcterms:created>
  <dcterms:modified xsi:type="dcterms:W3CDTF">2026-07-11T15:26:30.345Z</dcterms:modified>
</cp:coreProperties>
</file>

<file path=docProps/custom.xml><?xml version="1.0" encoding="utf-8"?>
<Properties xmlns="http://schemas.openxmlformats.org/officeDocument/2006/custom-properties" xmlns:vt="http://schemas.openxmlformats.org/officeDocument/2006/docPropsVTypes"/>
</file>