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AEGIS-DocIntel</w:t>
      </w:r>
      <w:r>
        <w:t xml:space="preserve"> </w:t>
      </w:r>
      <w:r>
        <w:t xml:space="preserve">/</w:t>
      </w:r>
      <w:r>
        <w:t xml:space="preserve"> </w:t>
      </w:r>
      <w:r>
        <w:t xml:space="preserve">AMDI-OS</w:t>
      </w:r>
    </w:p>
    <w:p>
      <w:pPr>
        <w:pStyle w:val="Subtitle"/>
      </w:pPr>
      <w:r>
        <w:t xml:space="preserve">Comparative</w:t>
      </w:r>
      <w:r>
        <w:t xml:space="preserve"> </w:t>
      </w:r>
      <w:r>
        <w:t xml:space="preserve">Landscape</w:t>
      </w:r>
      <w:r>
        <w:t xml:space="preserve"> </w:t>
      </w:r>
      <w:r>
        <w:t xml:space="preserve">Report:</w:t>
      </w:r>
      <w:r>
        <w:t xml:space="preserve"> </w:t>
      </w:r>
      <w:r>
        <w:t xml:space="preserve">Workflows,</w:t>
      </w:r>
      <w:r>
        <w:t xml:space="preserve"> </w:t>
      </w:r>
      <w:r>
        <w:t xml:space="preserve">Models,</w:t>
      </w:r>
      <w:r>
        <w:t xml:space="preserve"> </w:t>
      </w:r>
      <w:r>
        <w:t xml:space="preserve">and</w:t>
      </w:r>
      <w:r>
        <w:t xml:space="preserve"> </w:t>
      </w:r>
      <w:r>
        <w:t xml:space="preserve">Systems</w:t>
      </w:r>
      <w:r>
        <w:t xml:space="preserve"> </w:t>
      </w:r>
      <w:r>
        <w:t xml:space="preserve">in</w:t>
      </w:r>
      <w:r>
        <w:t xml:space="preserve"> </w:t>
      </w:r>
      <w:r>
        <w:t xml:space="preserve">Document</w:t>
      </w:r>
      <w:r>
        <w:t xml:space="preserve"> </w:t>
      </w:r>
      <w:r>
        <w:t xml:space="preserve">Intelligence</w:t>
      </w:r>
      <w:r>
        <w:t xml:space="preserve"> </w:t>
      </w:r>
      <w:r>
        <w:t xml:space="preserve">and</w:t>
      </w:r>
      <w:r>
        <w:t xml:space="preserve"> </w:t>
      </w:r>
      <w:r>
        <w:t xml:space="preserve">RAG</w:t>
      </w:r>
    </w:p>
    <w:p>
      <w:pPr>
        <w:pStyle w:val="Author"/>
      </w:pPr>
      <w:r>
        <w:t xml:space="preserve">Sahil</w:t>
      </w:r>
      <w:r>
        <w:t xml:space="preserve"> </w:t>
      </w:r>
      <w:r>
        <w:t xml:space="preserve">Khutey,</w:t>
      </w:r>
      <w:r>
        <w:t xml:space="preserve"> </w:t>
      </w:r>
      <w:r>
        <w:t xml:space="preserve">with</w:t>
      </w:r>
      <w:r>
        <w:t xml:space="preserve"> </w:t>
      </w:r>
      <w:r>
        <w:t xml:space="preserve">AI</w:t>
      </w:r>
      <w:r>
        <w:t xml:space="preserve"> </w:t>
      </w:r>
      <w:r>
        <w:t xml:space="preserve">Research</w:t>
      </w:r>
      <w:r>
        <w:t xml:space="preserve"> </w:t>
      </w:r>
      <w:r>
        <w:t xml:space="preserve">Collaborator</w:t>
      </w:r>
      <w:r>
        <w:t xml:space="preserve"> </w:t>
      </w:r>
      <w:r>
        <w:t xml:space="preserve">(Gensouls</w:t>
      </w:r>
      <w:r>
        <w:t xml:space="preserve"> </w:t>
      </w:r>
      <w:r>
        <w:t xml:space="preserve">Lab)</w:t>
      </w:r>
    </w:p>
    <w:p>
      <w:pPr>
        <w:pStyle w:val="Date"/>
      </w:pPr>
      <w:r>
        <w:t xml:space="preserve">July</w:t>
      </w:r>
      <w:r>
        <w:t xml:space="preserve"> </w:t>
      </w:r>
      <w:r>
        <w:t xml:space="preserve">2026</w:t>
      </w:r>
    </w:p>
    <w:bookmarkStart w:id="20" w:name="table-of-contents"/>
    <w:p>
      <w:pPr>
        <w:pStyle w:val="Heading1"/>
      </w:pPr>
      <w:r>
        <w:t xml:space="preserve">Table of Contents</w:t>
      </w:r>
    </w:p>
    <w:p>
      <w:pPr>
        <w:pStyle w:val="FirstParagraph"/>
      </w:pPr>
      <w:r>
        <w:t xml:space="preserve">Executive Summary …………………………………………………………. 3</w:t>
      </w:r>
      <w:r>
        <w:br/>
      </w:r>
      <w:r>
        <w:t xml:space="preserve">1. Methodology and Scope …………………………………………………… 4</w:t>
      </w:r>
      <w:r>
        <w:br/>
      </w:r>
      <w:r>
        <w:t xml:space="preserve">2. Landscape Taxonomy ……………………………………………………… 6</w:t>
      </w:r>
      <w:r>
        <w:br/>
      </w:r>
      <w:r>
        <w:t xml:space="preserve">3. Layer 1: Document Parsing and Intelligent Document Processing ……………….. 8</w:t>
      </w:r>
      <w:r>
        <w:br/>
      </w:r>
      <w:r>
        <w:t xml:space="preserve">4. Layer 2: Reading-Order Recovery – Deep-Dive Comparison …………………….. 12</w:t>
      </w:r>
      <w:r>
        <w:br/>
      </w:r>
      <w:r>
        <w:t xml:space="preserve">5. Layer 3: Chunking Strategies …………………………………………….. 16</w:t>
      </w:r>
      <w:r>
        <w:br/>
      </w:r>
      <w:r>
        <w:t xml:space="preserve">6. Layer 4: Context-Budget Optimization – Deep-Dive Comparison ………………… 19</w:t>
      </w:r>
      <w:r>
        <w:br/>
      </w:r>
      <w:r>
        <w:t xml:space="preserve">7. Layer 5: Retrieval Fusion ……………………………………………….. 23</w:t>
      </w:r>
      <w:r>
        <w:br/>
      </w:r>
      <w:r>
        <w:t xml:space="preserve">8. Layer 6: Visual and Multimodal Document Retrieval ………………………….. 24</w:t>
      </w:r>
      <w:r>
        <w:br/>
      </w:r>
      <w:r>
        <w:t xml:space="preserve">9. Adjacent Paradigm: GraphRAG vs. AEGIS’s Spatial Graph ………………………. 26</w:t>
      </w:r>
      <w:r>
        <w:br/>
      </w:r>
      <w:r>
        <w:t xml:space="preserve">10. Layer 7: Orchestration, Enterprise Platforms, and Platform Positioning ………. 28</w:t>
      </w:r>
      <w:r>
        <w:br/>
      </w:r>
      <w:r>
        <w:t xml:space="preserve">11. Accuracy and Cost Benchmarks in Context ………………………………….. 30</w:t>
      </w:r>
      <w:r>
        <w:br/>
      </w:r>
      <w:r>
        <w:t xml:space="preserve">12. Master Comparison Matrix ……………………………………………….. 32</w:t>
      </w:r>
      <w:r>
        <w:br/>
      </w:r>
      <w:r>
        <w:t xml:space="preserve">13. Strategic Implications and Recommendations ……………………………….. 35</w:t>
      </w:r>
      <w:r>
        <w:br/>
      </w:r>
      <w:r>
        <w:t xml:space="preserve">14. Conclusion ……………………………………………………………. 37</w:t>
      </w:r>
      <w:r>
        <w:br/>
      </w:r>
      <w:r>
        <w:t xml:space="preserve">References ……………………………………………………………….. 38</w:t>
      </w:r>
    </w:p>
    <w:bookmarkEnd w:id="20"/>
    <w:bookmarkStart w:id="92" w:name="executive-summary"/>
    <w:p>
      <w:pPr>
        <w:pStyle w:val="Heading1"/>
      </w:pPr>
      <w:r>
        <w:t xml:space="preserve">Executive Summary</w:t>
      </w:r>
    </w:p>
    <w:p>
      <w:pPr>
        <w:pStyle w:val="FirstParagraph"/>
      </w:pPr>
      <w:r>
        <w:t xml:space="preserve">This report places AEGIS-DocIntel/AMDI-OS side by side with the document-intelligence and retrieval-augmented-generation (RAG) systems it would actually compete with or be built on top of in a real deployment: document-parsing and intelligent-document-processing (IDP) platforms, reading-order and layout-analysis research, chunking strategies used in production RAG, context-budget optimization techniques (including a directly comparable knapsack-based system shipped by Databricks in 2026), retrieval-fusion practice, visual/multimodal document retrieval, GraphRAG, and the orchestration frameworks and enterprise platforms that most teams currently build on. Every comparison in this report is grounded in a named, dated source; where no public source describes a technique precisely enough to compare, this report says so rather than filling the gap with speculation.</w:t>
      </w:r>
    </w:p>
    <w:p>
      <w:pPr>
        <w:pStyle w:val="BodyText"/>
      </w:pPr>
      <w:r>
        <w:rPr>
          <w:bCs/>
          <w:b/>
        </w:rPr>
        <w:t xml:space="preserve">Headline finding.</w:t>
      </w:r>
      <w:r>
        <w:t xml:space="preserve"> </w:t>
      </w:r>
      <w:r>
        <w:t xml:space="preserve">AEGIS-DocIntel’s specific combination of an acyclic-by-construction reading-order graph, structure-first elastic chunking, and an exact dynamic-programming knapsack solver with a proven approximation-bounded fallback is not offered as a single integrated system by any platform surveyed here. Individual pieces of this combination exist elsewhere and in some cases are more mature: production-grade layout analysis and reading-order recovery is available today from IBM’s Docling/DocLayNet/TableFormer stack and from commercial parsers (LandingAI ADE, LlamaParse), and — materially — Databricks’ Mosaic research team shipped a production knapsack-based context compositor in April 2026 serving 8,000 requests/minute, which is the closest direct precedent to AEGIS’s Section 9 formulation found anywhere in this survey. What is comparatively rare is the</w:t>
      </w:r>
      <w:r>
        <w:t xml:space="preserve"> </w:t>
      </w:r>
      <w:r>
        <w:rPr>
          <w:iCs/>
          <w:i/>
        </w:rPr>
        <w:t xml:space="preserve">exact</w:t>
      </w:r>
      <w:r>
        <w:t xml:space="preserve"> </w:t>
      </w:r>
      <w:r>
        <w:t xml:space="preserve">(not fractional or greedy-only) DP formulation with a formally proven approximation-bounded fallback and an explicit multi-choice extension for multimodal representation tiers — most production systems in this space use fractional allocation or marginal-utility greedy heuristics, not exact combinatorial optimization with a stated optimality guarantee.</w:t>
      </w:r>
    </w:p>
    <w:p>
      <w:pPr>
        <w:pStyle w:val="BodyText"/>
      </w:pPr>
      <w:r>
        <w:rPr>
          <w:bCs/>
          <w:b/>
        </w:rPr>
        <w:t xml:space="preserve">Headline caution.</w:t>
      </w:r>
      <w:r>
        <w:t xml:space="preserve"> </w:t>
      </w:r>
      <w:r>
        <w:t xml:space="preserve">The comparison is not uniformly favorable. On reading-order recovery specifically, several 2025-2026 research systems (a training-free graph-based directed-transition-graph method, MLARP’s pairwise relation prediction, and Docling’s production RT-DETR-based layout model) report evaluation against real, large, human-annotated benchmarks (DocLayNet, OmniDocBench) with published quantitative reading-order-edit-distance scores; AEGIS’s Theorem 6.1/6.2 guarantees are proven mathematically and tested against synthetic adversarial layouts (per the Feasibility and Validation Report’s Established tier) but have not yet been benchmarked against a real, large, human-annotated layout corpus. On visual/multimodal retrieval, the ColPali/ColQwen family has largely displaced the LayoutLMv3-class text-layout fusion approach AEGIS’s semantic engine is designed around, and does so with a trained, benchmarked model family (ViDoRe leaderboard) where AEGIS’s semantic engine remains, by the monograph’s own account, a structurally-verified mock. This report treats both the favorable and unfavorable findings with the same evidentiary discipline as the rest of this body of work.</w:t>
      </w:r>
    </w:p>
    <w:bookmarkStart w:id="25" w:name="methodology-and-scope"/>
    <w:p>
      <w:pPr>
        <w:pStyle w:val="Heading2"/>
      </w:pPr>
      <w:r>
        <w:t xml:space="preserve">1. Methodology and Scope</w:t>
      </w:r>
    </w:p>
    <w:bookmarkStart w:id="21" w:name="what-counts-as-a-comparable-system"/>
    <w:p>
      <w:pPr>
        <w:pStyle w:val="Heading3"/>
      </w:pPr>
      <w:r>
        <w:t xml:space="preserve">1.1 What Counts as a Comparable System</w:t>
      </w:r>
    </w:p>
    <w:p>
      <w:pPr>
        <w:pStyle w:val="FirstParagraph"/>
      </w:pPr>
      <w:r>
        <w:t xml:space="preserve">This report compares AEGIS-DocIntel/AMDI-OS against systems in six adjacent categories, chosen because a real deployment decision would weigh AEGIS against exactly these alternatives, either as a whole-system substitute or as a component-level substitute for one of AEGIS’s twelve engines: (1) document parsing and intelligent document processing (IDP) platforms — the ingestion-layer substitute for AEGIS’s Section 5 element-extraction stage; (2) reading-order and layout-analysis research — the direct research literature against which monograph Section 6’s graph construction and Theorem 6.1/6.2 should be read; (3) chunking strategies in production RAG — the comparison set for monograph Section 7’s elastic chunker; (4) context-budget optimization techniques — the comparison set for monograph Sections 8-9’s knapsack packer, including one system (Databricks Mosaic) close enough in formulation to warrant a dedicated head-to-head; (5) retrieval-fusion practice and visual/multimodal document retrieval — the comparison set for monograph Section 15’s hybrid retrieval and Section 12.3’s image/flowchart encoders; and (6) orchestration frameworks, enterprise RAG platforms, and GraphRAG — the comparison set for the operating-system framing of monograph Section 4.1.</w:t>
      </w:r>
    </w:p>
    <w:bookmarkEnd w:id="21"/>
    <w:bookmarkStart w:id="22" w:name="source-discipline"/>
    <w:p>
      <w:pPr>
        <w:pStyle w:val="Heading3"/>
      </w:pPr>
      <w:r>
        <w:t xml:space="preserve">1.2 Source Discipline</w:t>
      </w:r>
    </w:p>
    <w:p>
      <w:pPr>
        <w:pStyle w:val="FirstParagraph"/>
      </w:pPr>
      <w:r>
        <w:t xml:space="preserve">Every comparative claim in this report is attributed to a named, dated source, drawn from vendor documentation, technical reports, peer-reviewed or arXiv research, or independent benchmark leaderboards current as of July 2026. Where a source reports a specific number (an accuracy percentage, a latency figure, a cost figure), this report states it as that source’s reported figure, not as an independently verified fact — the same evidentiary discipline the Feasibility and Validation Report applies to AEGIS’s own claims. Where this report could not find a public, sufficiently detailed source for a technique it would otherwise want to compare (for instance, the exact internals of several closed commercial parsing APIs), it says so explicitly rather than presenting an inference as a documented fact.</w:t>
      </w:r>
    </w:p>
    <w:bookmarkEnd w:id="22"/>
    <w:bookmarkStart w:id="23" w:name="comparison-axes"/>
    <w:p>
      <w:pPr>
        <w:pStyle w:val="Heading3"/>
      </w:pPr>
      <w:r>
        <w:t xml:space="preserve">1.3 Comparison Axes</w:t>
      </w:r>
    </w:p>
    <w:p>
      <w:pPr>
        <w:pStyle w:val="FirstParagraph"/>
      </w:pPr>
      <w:r>
        <w:t xml:space="preserve">Each category is compared along the axes that matter most for the specific claim it bears on: for reading-order recovery, whether the method offers a correctness guarantee (proof-backed, like AEGIS, or empirically-benchmarked, like most of the research literature) and what evaluation corpus backs it; for chunking, whether boundaries are structure-aware or fixed-size, and at what computational cost; for context assembly, whether selection is optimal, approximately optimal with a proven bound, or heuristic with no bound; for retrieval, how many independently-scored signals are fused and by what method; and for the platform layer, what layer of the stack (parsing only, orchestration only, or full managed pipeline) the comparable system actually occupies, since — as one 2026 market analysis put it — most enterprise evaluators conflate these layers when they are in fact separable purchase decisions.</w:t>
      </w:r>
    </w:p>
    <w:bookmarkEnd w:id="23"/>
    <w:bookmarkStart w:id="24" w:name="what-this-report-does-not-claim"/>
    <w:p>
      <w:pPr>
        <w:pStyle w:val="Heading3"/>
      </w:pPr>
      <w:r>
        <w:t xml:space="preserve">1.4 What This Report Does Not Claim</w:t>
      </w:r>
    </w:p>
    <w:p>
      <w:pPr>
        <w:pStyle w:val="FirstParagraph"/>
      </w:pPr>
      <w:r>
        <w:t xml:space="preserve">This report does not run its own benchmarks; it compares published, dated claims from each system’s own documentation, technical reports, or independent third-party evaluation, and flags disagreement between sources where it exists. It does not treat AEGIS’s Established-tier correctness proofs (monograph Sections 6, 9, 11) as automatically superior to an empirically-benchmarked competitor’s real-corpus accuracy figure — a mathematical guarantee about acyclicity and an 87%+ reading-order accuracy score on a 100,000-page human-annotated benchmark are different kinds of evidence, answering different questions, and this report keeps them distinct rather than collapsing them into a single ranking. Finally, this report does not evaluate pricing beyond what is publicly published, since several of the platforms compared here quote enterprise pricing only through a sales conversation.</w:t>
      </w:r>
    </w:p>
    <w:bookmarkEnd w:id="24"/>
    <w:bookmarkEnd w:id="25"/>
    <w:bookmarkStart w:id="31" w:name="landscape-taxonomy"/>
    <w:p>
      <w:pPr>
        <w:pStyle w:val="Heading2"/>
      </w:pPr>
      <w:r>
        <w:t xml:space="preserve">2. Landscape Taxonomy</w:t>
      </w:r>
    </w:p>
    <w:bookmarkStart w:id="26" w:name="X4ddf52dbf8ac0f7af20a7541cb831c02d25affd"/>
    <w:p>
      <w:pPr>
        <w:pStyle w:val="Heading3"/>
      </w:pPr>
      <w:r>
        <w:t xml:space="preserve">2.1 The Market Splits Into Layers, Not a Single Category</w:t>
      </w:r>
    </w:p>
    <w:p>
      <w:pPr>
        <w:pStyle w:val="FirstParagraph"/>
      </w:pPr>
      <w:r>
        <w:t xml:space="preserve">The document-intelligence and RAG market in 2026 is not one market but a stack of at least four separable layers, and a central finding of this report is that AEGIS-DocIntel spans more of that stack in a single architecture than most named competitors do. One 2026 enterprise-RAG market analysis describes the stack as: orchestration frameworks that assemble pipelines and coordinate agents; vector databases that store and search embeddings at scale; managed RAG-as-a-service platforms that offer a full pipeline behind one API; and cloud-native retrieval services tied to a single hyperscaler ecosystem, with data governance as a distinct layer sitting upstream of all of them. The same analysis notes that most enterprise buyers evaluate these layers as if they were one product category, when picking a platform is really a stack-composition decision, not a single vendor choice.</w:t>
      </w:r>
    </w:p>
    <w:p>
      <w:pPr>
        <w:pStyle w:val="BodyText"/>
      </w:pPr>
      <w:r>
        <w:t xml:space="preserve">Table 2.1 places AEGIS-DocIntel and the systems compared in this report against that four-layer model, plus two layers the market analysis above does not separately name but that this report’s monograph treats as first-class: reading-order/structural-fidelity and context-budget optimization.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Representative systems</w:t>
            </w:r>
          </w:p>
        </w:tc>
        <w:tc>
          <w:tcPr/>
          <w:p>
            <w:pPr>
              <w:pStyle w:val="Compact"/>
              <w:jc w:val="left"/>
            </w:pPr>
            <w:r>
              <w:t xml:space="preserve">AEGIS-DocIntel’s coverage</w:t>
            </w:r>
          </w:p>
        </w:tc>
      </w:tr>
      <w:tr>
        <w:tc>
          <w:tcPr/>
          <w:p>
            <w:pPr>
              <w:pStyle w:val="Compact"/>
              <w:jc w:val="left"/>
            </w:pPr>
            <w:r>
              <w:t xml:space="preserve">Document parsing / IDP</w:t>
            </w:r>
          </w:p>
        </w:tc>
        <w:tc>
          <w:tcPr/>
          <w:p>
            <w:pPr>
              <w:pStyle w:val="Compact"/>
              <w:jc w:val="left"/>
            </w:pPr>
            <w:r>
              <w:t xml:space="preserve">Unstructured, LlamaParse, Docling, LandingAI ADE, AWS Textract, Azure Document Intelligence, Google Document AI</w:t>
            </w:r>
          </w:p>
        </w:tc>
        <w:tc>
          <w:tcPr/>
          <w:p>
            <w:pPr>
              <w:pStyle w:val="Compact"/>
              <w:jc w:val="left"/>
            </w:pPr>
            <w:r>
              <w:t xml:space="preserve">Monograph Section 5 (twelve engines), Section 6 (reading order)</w:t>
            </w:r>
          </w:p>
        </w:tc>
      </w:tr>
      <w:tr>
        <w:tc>
          <w:tcPr/>
          <w:p>
            <w:pPr>
              <w:pStyle w:val="Compact"/>
              <w:jc w:val="left"/>
            </w:pPr>
            <w:r>
              <w:t xml:space="preserve">Reading-order / structural fidelity</w:t>
            </w:r>
          </w:p>
        </w:tc>
        <w:tc>
          <w:tcPr/>
          <w:p>
            <w:pPr>
              <w:pStyle w:val="Compact"/>
              <w:jc w:val="left"/>
            </w:pPr>
            <w:r>
              <w:t xml:space="preserve">XY-Cut / XY-Cut++, LayoutReader, MLARP, Docling (DocLayNet + TableFormer), RT-DocLayout</w:t>
            </w:r>
          </w:p>
        </w:tc>
        <w:tc>
          <w:tcPr/>
          <w:p>
            <w:pPr>
              <w:pStyle w:val="Compact"/>
              <w:jc w:val="left"/>
            </w:pPr>
            <w:r>
              <w:t xml:space="preserve">Monograph Section 6, Theorems 6.1-6.2</w:t>
            </w:r>
          </w:p>
        </w:tc>
      </w:tr>
      <w:tr>
        <w:tc>
          <w:tcPr/>
          <w:p>
            <w:pPr>
              <w:pStyle w:val="Compact"/>
              <w:jc w:val="left"/>
            </w:pPr>
            <w:r>
              <w:t xml:space="preserve">Chunking</w:t>
            </w:r>
          </w:p>
        </w:tc>
        <w:tc>
          <w:tcPr/>
          <w:p>
            <w:pPr>
              <w:pStyle w:val="Compact"/>
              <w:jc w:val="left"/>
            </w:pPr>
            <w:r>
              <w:t xml:space="preserve">LangChain RecursiveCharacterTextSplitter, semantic/late/parent-child chunking (Jina AI), agentic LLM-driven chunking</w:t>
            </w:r>
          </w:p>
        </w:tc>
        <w:tc>
          <w:tcPr/>
          <w:p>
            <w:pPr>
              <w:pStyle w:val="Compact"/>
              <w:jc w:val="left"/>
            </w:pPr>
            <w:r>
              <w:t xml:space="preserve">Monograph Section 7, four-rule elastic chunker</w:t>
            </w:r>
          </w:p>
        </w:tc>
      </w:tr>
      <w:tr>
        <w:tc>
          <w:tcPr/>
          <w:p>
            <w:pPr>
              <w:pStyle w:val="Compact"/>
              <w:jc w:val="left"/>
            </w:pPr>
            <w:r>
              <w:t xml:space="preserve">Context-budget optimization</w:t>
            </w:r>
          </w:p>
        </w:tc>
        <w:tc>
          <w:tcPr/>
          <w:p>
            <w:pPr>
              <w:pStyle w:val="Compact"/>
              <w:jc w:val="left"/>
            </w:pPr>
            <w:r>
              <w:t xml:space="preserve">Top-k truncation (default in most frameworks), Databricks Mosaic knapsack compositor, FlashRank, AdaGReS, academic 0/1-knapsack selectors</w:t>
            </w:r>
          </w:p>
        </w:tc>
        <w:tc>
          <w:tcPr/>
          <w:p>
            <w:pPr>
              <w:pStyle w:val="Compact"/>
              <w:jc w:val="left"/>
            </w:pPr>
            <w:r>
              <w:t xml:space="preserve">Monograph Sections 8-9, exact DP + multi-choice + Lagrangian</w:t>
            </w:r>
          </w:p>
        </w:tc>
      </w:tr>
      <w:tr>
        <w:tc>
          <w:tcPr/>
          <w:p>
            <w:pPr>
              <w:pStyle w:val="Compact"/>
              <w:jc w:val="left"/>
            </w:pPr>
            <w:r>
              <w:t xml:space="preserve">Retrieval fusion</w:t>
            </w:r>
          </w:p>
        </w:tc>
        <w:tc>
          <w:tcPr/>
          <w:p>
            <w:pPr>
              <w:pStyle w:val="Compact"/>
              <w:jc w:val="left"/>
            </w:pPr>
            <w:r>
              <w:t xml:space="preserve">Reciprocal Rank Fusion (near-universal standard), Anthropic Contextual Retrieval, hybrid BM25+dense</w:t>
            </w:r>
          </w:p>
        </w:tc>
        <w:tc>
          <w:tcPr/>
          <w:p>
            <w:pPr>
              <w:pStyle w:val="Compact"/>
              <w:jc w:val="left"/>
            </w:pPr>
            <w:r>
              <w:t xml:space="preserve">Monograph Section 15, seven-method fusion</w:t>
            </w:r>
          </w:p>
        </w:tc>
      </w:tr>
      <w:tr>
        <w:tc>
          <w:tcPr/>
          <w:p>
            <w:pPr>
              <w:pStyle w:val="Compact"/>
              <w:jc w:val="left"/>
            </w:pPr>
            <w:r>
              <w:t xml:space="preserve">Visual/multimodal retrieval</w:t>
            </w:r>
          </w:p>
        </w:tc>
        <w:tc>
          <w:tcPr/>
          <w:p>
            <w:pPr>
              <w:pStyle w:val="Compact"/>
              <w:jc w:val="left"/>
            </w:pPr>
            <w:r>
              <w:t xml:space="preserve">ColPali/ColQwen family, LayoutLMv3, DSE, VisRAG</w:t>
            </w:r>
          </w:p>
        </w:tc>
        <w:tc>
          <w:tcPr/>
          <w:p>
            <w:pPr>
              <w:pStyle w:val="Compact"/>
              <w:jc w:val="left"/>
            </w:pPr>
            <w:r>
              <w:t xml:space="preserve">Monograph Section 12.3, 5.6 (Proposed tier)</w:t>
            </w:r>
          </w:p>
        </w:tc>
      </w:tr>
      <w:tr>
        <w:tc>
          <w:tcPr/>
          <w:p>
            <w:pPr>
              <w:pStyle w:val="Compact"/>
              <w:jc w:val="left"/>
            </w:pPr>
            <w:r>
              <w:t xml:space="preserve">Orchestration / platform</w:t>
            </w:r>
          </w:p>
        </w:tc>
        <w:tc>
          <w:tcPr/>
          <w:p>
            <w:pPr>
              <w:pStyle w:val="Compact"/>
              <w:jc w:val="left"/>
            </w:pPr>
            <w:r>
              <w:t xml:space="preserve">LangChain, LlamaIndex, Haystack, RAGFlow, GraphRAG (Microsoft), enterprise platforms (Glean, Writer, Cohere North)</w:t>
            </w:r>
          </w:p>
        </w:tc>
        <w:tc>
          <w:tcPr/>
          <w:p>
            <w:pPr>
              <w:pStyle w:val="Compact"/>
              <w:jc w:val="left"/>
            </w:pPr>
            <w:r>
              <w:t xml:space="preserve">Monograph Section 4 (operating-system framing)</w:t>
            </w:r>
          </w:p>
        </w:tc>
      </w:tr>
    </w:tbl>
    <w:bookmarkEnd w:id="26"/>
    <w:bookmarkStart w:id="30" w:name="reading-the-table"/>
    <w:p>
      <w:pPr>
        <w:pStyle w:val="Heading3"/>
      </w:pPr>
      <w:r>
        <w:t xml:space="preserve">2.2 Reading the Table</w:t>
      </w:r>
    </w:p>
    <w:p>
      <w:pPr>
        <w:pStyle w:val="FirstParagraph"/>
      </w:pPr>
      <w:r>
        <w:t xml:space="preserve">No single row of Table 2.1 is a fair one-to-one competitor to AEGIS-DocIntel as a whole, because AEGIS is architected to span all seven layers in one synchronized representation (monograph Section 5.1’s master document tuple), while most named systems occupy one or two layers and compose with others via integration, not native design. This is itself a comparative finding, developed further in Section 11: AEGIS’s breadth is a genuine differentiator, but breadth-in-one-architecture is a different claim from depth-in-each-layer, and Sections 3-9 of this report assess depth layer-by-layer against specialists in each one.</w:t>
      </w:r>
    </w:p>
    <w:p>
      <w:pPr>
        <w:pStyle w:val="CaptionedFigure"/>
      </w:pPr>
      <w:r>
        <w:drawing>
          <wp:inline>
            <wp:extent cx="5760720" cy="3072384"/>
            <wp:effectExtent b="0" l="0" r="0" t="0"/>
            <wp:docPr descr="Figure 7. Seven-layer stack comparison map." title="" id="28" name="Picture"/>
            <a:graphic>
              <a:graphicData uri="http://schemas.openxmlformats.org/drawingml/2006/picture">
                <pic:pic>
                  <pic:nvPicPr>
                    <pic:cNvPr descr="../paper/figures/fig7_comparison_map.png" id="29" name="Picture"/>
                    <pic:cNvPicPr>
                      <a:picLocks noChangeArrowheads="1" noChangeAspect="1"/>
                    </pic:cNvPicPr>
                  </pic:nvPicPr>
                  <pic:blipFill>
                    <a:blip r:embed="rId27"/>
                    <a:stretch>
                      <a:fillRect/>
                    </a:stretch>
                  </pic:blipFill>
                  <pic:spPr bwMode="auto">
                    <a:xfrm>
                      <a:off x="0" y="0"/>
                      <a:ext cx="5760720" cy="3072384"/>
                    </a:xfrm>
                    <a:prstGeom prst="rect">
                      <a:avLst/>
                    </a:prstGeom>
                    <a:noFill/>
                    <a:ln w="9525">
                      <a:noFill/>
                      <a:headEnd/>
                      <a:tailEnd/>
                    </a:ln>
                  </pic:spPr>
                </pic:pic>
              </a:graphicData>
            </a:graphic>
          </wp:inline>
        </w:drawing>
      </w:r>
    </w:p>
    <w:p>
      <w:pPr>
        <w:pStyle w:val="ImageCaption"/>
      </w:pPr>
      <w:r>
        <w:t xml:space="preserve">Figure 7. Seven-layer stack comparison map.</w:t>
      </w:r>
    </w:p>
    <w:bookmarkEnd w:id="30"/>
    <w:bookmarkEnd w:id="31"/>
    <w:bookmarkStart w:id="36" w:name="X054979f0297742aa176dfc2bfd5eaabbc44f8c7"/>
    <w:p>
      <w:pPr>
        <w:pStyle w:val="Heading2"/>
      </w:pPr>
      <w:r>
        <w:t xml:space="preserve">3. Layer 1: Document Parsing and Intelligent Document Processing</w:t>
      </w:r>
    </w:p>
    <w:bookmarkStart w:id="32" w:name="the-comparable-systems"/>
    <w:p>
      <w:pPr>
        <w:pStyle w:val="Heading3"/>
      </w:pPr>
      <w:r>
        <w:t xml:space="preserve">3.1 The Comparable Systems</w:t>
      </w:r>
    </w:p>
    <w:p>
      <w:pPr>
        <w:pStyle w:val="FirstParagraph"/>
      </w:pPr>
      <w:r>
        <w:t xml:space="preserve">Six systems dominate 2026 evaluations of this layer, per independent comparison guides: Unstructured (open-source library plus a hosted Serverless API), LlamaParse (LlamaIndex’s vision-language-model-based parser), Docling (IBM Research’s open-source, self-hostable toolkit), LandingAI’s Agentic Document Extraction (ADE), and the three hyperscaler services — AWS Textract, Azure Document Intelligence, and Google Document AI. A seventh, RAGFlow, bundles parsing with a full open-source RAG orchestration layer and is treated separately in Section 10.</w:t>
      </w:r>
    </w:p>
    <w:bookmarkEnd w:id="32"/>
    <w:bookmarkStart w:id="33" w:name="capability-comparison"/>
    <w:p>
      <w:pPr>
        <w:pStyle w:val="Heading3"/>
      </w:pPr>
      <w:r>
        <w:t xml:space="preserve">3.2 Capability Comparison</w:t>
      </w:r>
    </w:p>
    <w:p>
      <w:pPr>
        <w:pStyle w:val="FirstParagraph"/>
      </w:pPr>
      <w:r>
        <w:t xml:space="preserve">Table 3.1 summarizes each system’s approach and reported strengths, drawn from named 2026 comparison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Approach</w:t>
            </w:r>
          </w:p>
        </w:tc>
        <w:tc>
          <w:tcPr/>
          <w:p>
            <w:pPr>
              <w:pStyle w:val="Compact"/>
              <w:jc w:val="left"/>
            </w:pPr>
            <w:r>
              <w:t xml:space="preserve">Reported strength</w:t>
            </w:r>
          </w:p>
        </w:tc>
        <w:tc>
          <w:tcPr/>
          <w:p>
            <w:pPr>
              <w:pStyle w:val="Compact"/>
              <w:jc w:val="left"/>
            </w:pPr>
            <w:r>
              <w:t xml:space="preserve">Reported limitation</w:t>
            </w:r>
          </w:p>
        </w:tc>
      </w:tr>
      <w:tr>
        <w:tc>
          <w:tcPr/>
          <w:p>
            <w:pPr>
              <w:pStyle w:val="Compact"/>
              <w:jc w:val="left"/>
            </w:pPr>
            <w:r>
              <w:t xml:space="preserve">Unstructured</w:t>
            </w:r>
          </w:p>
        </w:tc>
        <w:tc>
          <w:tcPr/>
          <w:p>
            <w:pPr>
              <w:pStyle w:val="Compact"/>
              <w:jc w:val="left"/>
            </w:pPr>
            <w:r>
              <w:t xml:space="preserve">Rule-based + ML parsing, 30+ format support, RAG-specific chunking strategies built in</w:t>
            </w:r>
          </w:p>
        </w:tc>
        <w:tc>
          <w:tcPr/>
          <w:p>
            <w:pPr>
              <w:pStyle w:val="Compact"/>
              <w:jc w:val="left"/>
            </w:pPr>
            <w:r>
              <w:t xml:space="preserve">Broadest format coverage in its category; most-cited ingestion platform in large-enterprise production RAG stacks per one 2026 framework comparison</w:t>
            </w:r>
          </w:p>
        </w:tc>
        <w:tc>
          <w:tcPr/>
          <w:p>
            <w:pPr>
              <w:pStyle w:val="Compact"/>
              <w:jc w:val="left"/>
            </w:pPr>
            <w:r>
              <w:t xml:space="preserve">Open-source library</w:t>
            </w:r>
            <w:r>
              <w:t xml:space="preserve"> </w:t>
            </w:r>
            <w:r>
              <w:t xml:space="preserve">“</w:t>
            </w:r>
            <w:r>
              <w:t xml:space="preserve">scales poorly without significant custom engineering</w:t>
            </w:r>
            <w:r>
              <w:t xml:space="preserve">”</w:t>
            </w:r>
            <w:r>
              <w:t xml:space="preserve"> </w:t>
            </w:r>
            <w:r>
              <w:t xml:space="preserve">for semantic chunking and routing, per an independent 2026 review</w:t>
            </w:r>
          </w:p>
        </w:tc>
      </w:tr>
      <w:tr>
        <w:tc>
          <w:tcPr/>
          <w:p>
            <w:pPr>
              <w:pStyle w:val="Compact"/>
              <w:jc w:val="left"/>
            </w:pPr>
            <w:r>
              <w:t xml:space="preserve">LlamaParse</w:t>
            </w:r>
          </w:p>
        </w:tc>
        <w:tc>
          <w:tcPr/>
          <w:p>
            <w:pPr>
              <w:pStyle w:val="Compact"/>
              <w:jc w:val="left"/>
            </w:pPr>
            <w:r>
              <w:t xml:space="preserve">Vision-language-model parsing that visually interprets pages rather than rule-based extraction</w:t>
            </w:r>
          </w:p>
        </w:tc>
        <w:tc>
          <w:tcPr/>
          <w:p>
            <w:pPr>
              <w:pStyle w:val="Compact"/>
              <w:jc w:val="left"/>
            </w:pPr>
            <w:r>
              <w:t xml:space="preserve">Produces the highest-quality output on visually complex layouts that break rule-based parsers, per LlamaIndex’s own 2026 comparison; 10,000 free credits/month, 90+ formats</w:t>
            </w:r>
          </w:p>
        </w:tc>
        <w:tc>
          <w:tcPr/>
          <w:p>
            <w:pPr>
              <w:pStyle w:val="Compact"/>
              <w:jc w:val="left"/>
            </w:pPr>
            <w:r>
              <w:t xml:space="preserve">Tightest native fit is within the LlamaIndex ecosystem specifically</w:t>
            </w:r>
          </w:p>
        </w:tc>
      </w:tr>
      <w:tr>
        <w:tc>
          <w:tcPr/>
          <w:p>
            <w:pPr>
              <w:pStyle w:val="Compact"/>
              <w:jc w:val="left"/>
            </w:pPr>
            <w:r>
              <w:t xml:space="preserve">Docling</w:t>
            </w:r>
          </w:p>
        </w:tc>
        <w:tc>
          <w:tcPr/>
          <w:p>
            <w:pPr>
              <w:pStyle w:val="Compact"/>
              <w:jc w:val="left"/>
            </w:pPr>
            <w:r>
              <w:t xml:space="preserve">Open-source, self-hosted; RT-DETR-based layout model trained on DocLayNet, TableFormer for table structure</w:t>
            </w:r>
          </w:p>
        </w:tc>
        <w:tc>
          <w:tcPr/>
          <w:p>
            <w:pPr>
              <w:pStyle w:val="Compact"/>
              <w:jc w:val="left"/>
            </w:pPr>
            <w:r>
              <w:t xml:space="preserve">Fully open-source, no per-page API cost, no cloud dependency; the 2026 Docling Technical Report reports the layout model performs within five percentage points of human accuracy on page-element classification</w:t>
            </w:r>
          </w:p>
        </w:tc>
        <w:tc>
          <w:tcPr/>
          <w:p>
            <w:pPr>
              <w:pStyle w:val="Compact"/>
              <w:jc w:val="left"/>
            </w:pPr>
            <w:r>
              <w:t xml:space="preserve">No hosted API, no confidence scores, limited multimodal support for charts/formulas per one April 2026 review</w:t>
            </w:r>
          </w:p>
        </w:tc>
      </w:tr>
      <w:tr>
        <w:tc>
          <w:tcPr/>
          <w:p>
            <w:pPr>
              <w:pStyle w:val="Compact"/>
              <w:jc w:val="left"/>
            </w:pPr>
            <w:r>
              <w:t xml:space="preserve">LandingAI ADE</w:t>
            </w:r>
          </w:p>
        </w:tc>
        <w:tc>
          <w:tcPr/>
          <w:p>
            <w:pPr>
              <w:pStyle w:val="Compact"/>
              <w:jc w:val="left"/>
            </w:pPr>
            <w:r>
              <w:t xml:space="preserve">Document Pre-trained Transformer (DPT-2), agentic parsing into Markdown + JSON with page coordinates</w:t>
            </w:r>
          </w:p>
        </w:tc>
        <w:tc>
          <w:tcPr/>
          <w:p>
            <w:pPr>
              <w:pStyle w:val="Compact"/>
              <w:jc w:val="left"/>
            </w:pPr>
            <w:r>
              <w:t xml:space="preserve">Reports 99.16% accuracy answering DocVQA questions from parsed output alone, with no image access at QA time, exceeding both SOTA VLMs and human performance on that specific test per LandingAI’s own November 2025 benchmark</w:t>
            </w:r>
          </w:p>
        </w:tc>
        <w:tc>
          <w:tcPr/>
          <w:p>
            <w:pPr>
              <w:pStyle w:val="Compact"/>
              <w:jc w:val="left"/>
            </w:pPr>
            <w:r>
              <w:t xml:space="preserve">Benchmark is self-reported by the vendor; independent replication not found in this survey</w:t>
            </w:r>
          </w:p>
        </w:tc>
      </w:tr>
      <w:tr>
        <w:tc>
          <w:tcPr/>
          <w:p>
            <w:pPr>
              <w:pStyle w:val="Compact"/>
              <w:jc w:val="left"/>
            </w:pPr>
            <w:r>
              <w:t xml:space="preserve">AWS Textract</w:t>
            </w:r>
          </w:p>
        </w:tc>
        <w:tc>
          <w:tcPr/>
          <w:p>
            <w:pPr>
              <w:pStyle w:val="Compact"/>
              <w:jc w:val="left"/>
            </w:pPr>
            <w:r>
              <w:t xml:space="preserve">Managed AWS-native OCR + Forms/Tables APIs</w:t>
            </w:r>
          </w:p>
        </w:tc>
        <w:tc>
          <w:tcPr/>
          <w:p>
            <w:pPr>
              <w:pStyle w:val="Compact"/>
              <w:jc w:val="left"/>
            </w:pPr>
            <w:r>
              <w:t xml:space="preserve">Table extraction described as</w:t>
            </w:r>
            <w:r>
              <w:t xml:space="preserve"> </w:t>
            </w:r>
            <w:r>
              <w:t xml:space="preserve">“</w:t>
            </w:r>
            <w:r>
              <w:t xml:space="preserve">genuinely industry-leading</w:t>
            </w:r>
            <w:r>
              <w:t xml:space="preserve">”</w:t>
            </w:r>
            <w:r>
              <w:t xml:space="preserve"> </w:t>
            </w:r>
            <w:r>
              <w:t xml:space="preserve">with cell-level relationship mapping in a 2026 head-to-head; integrates natively with S3/Lambda/Comprehend</w:t>
            </w:r>
          </w:p>
        </w:tc>
        <w:tc>
          <w:tcPr/>
          <w:p>
            <w:pPr>
              <w:pStyle w:val="Compact"/>
              <w:jc w:val="left"/>
            </w:pPr>
            <w:r>
              <w:t xml:space="preserve">Handwriting</w:t>
            </w:r>
            <w:r>
              <w:t xml:space="preserve"> </w:t>
            </w:r>
            <w:r>
              <w:t xml:space="preserve">“</w:t>
            </w:r>
            <w:r>
              <w:t xml:space="preserve">often comes back garbled</w:t>
            </w:r>
            <w:r>
              <w:t xml:space="preserve">”</w:t>
            </w:r>
            <w:r>
              <w:t xml:space="preserve">; unusual layouts (mortgage packets, multi-column government forms) need significant post-processing per an independent 2026 review; Queries pricing reaches $50/1,000 pages</w:t>
            </w:r>
          </w:p>
        </w:tc>
      </w:tr>
      <w:tr>
        <w:tc>
          <w:tcPr/>
          <w:p>
            <w:pPr>
              <w:pStyle w:val="Compact"/>
              <w:jc w:val="left"/>
            </w:pPr>
            <w:r>
              <w:t xml:space="preserve">Azure Document Intelligence</w:t>
            </w:r>
          </w:p>
        </w:tc>
        <w:tc>
          <w:tcPr/>
          <w:p>
            <w:pPr>
              <w:pStyle w:val="Compact"/>
              <w:jc w:val="left"/>
            </w:pPr>
            <w:r>
              <w:t xml:space="preserve">Microsoft-native, prebuilt models for common document types</w:t>
            </w:r>
          </w:p>
        </w:tc>
        <w:tc>
          <w:tcPr/>
          <w:p>
            <w:pPr>
              <w:pStyle w:val="Compact"/>
              <w:jc w:val="left"/>
            </w:pPr>
            <w:r>
              <w:t xml:space="preserve">Layout model</w:t>
            </w:r>
            <w:r>
              <w:t xml:space="preserve"> </w:t>
            </w:r>
            <w:r>
              <w:t xml:space="preserve">“</w:t>
            </w:r>
            <w:r>
              <w:t xml:space="preserve">handles tables, checkboxes, and reading order from complex multi-column PDFs better than most competitors at this price point</w:t>
            </w:r>
            <w:r>
              <w:t xml:space="preserve">”</w:t>
            </w:r>
            <w:r>
              <w:t xml:space="preserve"> </w:t>
            </w:r>
            <w:r>
              <w:t xml:space="preserve">per a 2026 comparison; strong compliance coverage (FedRAMP, HIPAA, ISO 27001)</w:t>
            </w:r>
          </w:p>
        </w:tc>
        <w:tc>
          <w:tcPr/>
          <w:p>
            <w:pPr>
              <w:pStyle w:val="Compact"/>
              <w:jc w:val="left"/>
            </w:pPr>
            <w:r>
              <w:t xml:space="preserve">Multi-column or irregular documents</w:t>
            </w:r>
            <w:r>
              <w:t xml:space="preserve"> </w:t>
            </w:r>
            <w:r>
              <w:t xml:space="preserve">“</w:t>
            </w:r>
            <w:r>
              <w:t xml:space="preserve">often require post-processing to restore reading order</w:t>
            </w:r>
            <w:r>
              <w:t xml:space="preserve">”</w:t>
            </w:r>
            <w:r>
              <w:t xml:space="preserve"> </w:t>
            </w:r>
            <w:r>
              <w:t xml:space="preserve">even on Azure’s own assessment; custom model training needs labeled samples</w:t>
            </w:r>
          </w:p>
        </w:tc>
      </w:tr>
      <w:tr>
        <w:tc>
          <w:tcPr/>
          <w:p>
            <w:pPr>
              <w:pStyle w:val="Compact"/>
              <w:jc w:val="left"/>
            </w:pPr>
            <w:r>
              <w:t xml:space="preserve">Google Document AI</w:t>
            </w:r>
          </w:p>
        </w:tc>
        <w:tc>
          <w:tcPr/>
          <w:p>
            <w:pPr>
              <w:pStyle w:val="Compact"/>
              <w:jc w:val="left"/>
            </w:pPr>
            <w:r>
              <w:t xml:space="preserve">Gemini-powered Layout Parser</w:t>
            </w:r>
          </w:p>
        </w:tc>
        <w:tc>
          <w:tcPr/>
          <w:p>
            <w:pPr>
              <w:pStyle w:val="Compact"/>
              <w:jc w:val="left"/>
            </w:pPr>
            <w:r>
              <w:t xml:space="preserve">A 2026 review reports 96% accuracy on complex financial tables using the Gemini Layout Parser versus 78% for the prior legacy parser generation</w:t>
            </w:r>
          </w:p>
        </w:tc>
        <w:tc>
          <w:tcPr/>
          <w:p>
            <w:pPr>
              <w:pStyle w:val="Compact"/>
              <w:jc w:val="left"/>
            </w:pPr>
            <w:r>
              <w:t xml:space="preserve">Requires GCP infrastructure; a client benchmark reported in one 2026 head-to-head found Document AI’s table parser collapsing to 40% line-item accuracy on a 12,000-purchase-order test versus Textract’s 82%, illustrating that document-type fit varies sharply by vendor</w:t>
            </w:r>
          </w:p>
        </w:tc>
      </w:tr>
    </w:tbl>
    <w:bookmarkEnd w:id="33"/>
    <w:bookmarkStart w:id="34" w:name="Xdf5819536984ed20ba74449b3fba7b93c8660c3"/>
    <w:p>
      <w:pPr>
        <w:pStyle w:val="Heading3"/>
      </w:pPr>
      <w:r>
        <w:t xml:space="preserve">3.3 Where AEGIS-DocIntel Sits Relative to This Layer</w:t>
      </w:r>
    </w:p>
    <w:p>
      <w:pPr>
        <w:pStyle w:val="FirstParagraph"/>
      </w:pPr>
      <w:r>
        <w:t xml:space="preserve">AEGIS-DocIntel’s monograph Section 5 (twelve mathematical engines) is architecturally closest to Docling’s combination of a dedicated layout-analysis model and a dedicated table-structure model, in the sense that both decompose</w:t>
      </w:r>
      <w:r>
        <w:t xml:space="preserve"> </w:t>
      </w:r>
      <w:r>
        <w:t xml:space="preserve">“</w:t>
      </w:r>
      <w:r>
        <w:t xml:space="preserve">understand this document</w:t>
      </w:r>
      <w:r>
        <w:t xml:space="preserve">”</w:t>
      </w:r>
      <w:r>
        <w:t xml:space="preserve"> </w:t>
      </w:r>
      <w:r>
        <w:t xml:space="preserve">into multiple specialized sub-models/engines rather than routing everything through one large vision-language model as LandingAI ADE and LlamaParse do. The comparison is asymmetric in one important respect flagged already by the Feasibility and Validation Report (risk R4): Docling’s layout and table models are trained, shipped, and benchmarked (DocLayNet, TableFormer, with published accuracy figures), while several of AEGIS’s twelve engines — most importantly the semantic engine pending LayoutLMv3-class integration — remain at the Proposed or structurally-verified-only tier. A fair reading is that AEGIS’s</w:t>
      </w:r>
      <w:r>
        <w:t xml:space="preserve"> </w:t>
      </w:r>
      <w:r>
        <w:rPr>
          <w:iCs/>
          <w:i/>
        </w:rPr>
        <w:t xml:space="preserve">architectural decomposition</w:t>
      </w:r>
      <w:r>
        <w:t xml:space="preserve"> </w:t>
      </w:r>
      <w:r>
        <w:t xml:space="preserve">(many specialized engines feeding one synchronized representation) is validated by Docling’s real-world success with the same decomposition strategy at smaller scope (two specialized models rather than twelve engines), while the</w:t>
      </w:r>
      <w:r>
        <w:t xml:space="preserve"> </w:t>
      </w:r>
      <w:r>
        <w:rPr>
          <w:iCs/>
          <w:i/>
        </w:rPr>
        <w:t xml:space="preserve">specific trained models</w:t>
      </w:r>
      <w:r>
        <w:t xml:space="preserve"> </w:t>
      </w:r>
      <w:r>
        <w:t xml:space="preserve">behind several of AEGIS’s engines still need to be built and benchmarked to reach the same evidentiary standing Docling’s models already have.</w:t>
      </w:r>
    </w:p>
    <w:bookmarkEnd w:id="34"/>
    <w:bookmarkStart w:id="35" w:name="a-note-on-the-llm-native-ocr-trend"/>
    <w:p>
      <w:pPr>
        <w:pStyle w:val="Heading3"/>
      </w:pPr>
      <w:r>
        <w:t xml:space="preserve">3.4 A Note on the LLM-Native OCR Trend</w:t>
      </w:r>
    </w:p>
    <w:p>
      <w:pPr>
        <w:pStyle w:val="FirstParagraph"/>
      </w:pPr>
      <w:r>
        <w:t xml:space="preserve">Both LandingAI ADE and IBM’s Granite-Docling VLM (the successor to the separate-model Docling pipeline, released January 2026) reflect a broader 2026 trend toward VLM-native parsing that skips traditional OCR entirely — IBM Research’s own account states that avoiding OCR both reduces errors and speeds processing by a large factor. This is a direct alternative to AEGIS’s Section 5 pipeline, which currently assumes an OCR/parsing front end producing element tuples (monograph Section 5.2) for the twelve engines to consume. Whether AEGIS’s downstream mathematical-engine layer would benefit from a similar OCR-skipping VLM front end, versus continuing to consume OCR/parser output, is not addressed in the monograph and is flagged here as a design question this comparison surfaces rather than one this report resolves.</w:t>
      </w:r>
    </w:p>
    <w:bookmarkEnd w:id="35"/>
    <w:bookmarkEnd w:id="36"/>
    <w:bookmarkStart w:id="43" w:name="Xac8ce6d8dd59d09a3a782be97e1da9242c02c2e"/>
    <w:p>
      <w:pPr>
        <w:pStyle w:val="Heading2"/>
      </w:pPr>
      <w:r>
        <w:t xml:space="preserve">4. Layer 2: Reading-Order Recovery — Deep-Dive Comparison</w:t>
      </w:r>
    </w:p>
    <w:bookmarkStart w:id="37" w:name="why-this-layer-gets-extended-treatment"/>
    <w:p>
      <w:pPr>
        <w:pStyle w:val="Heading3"/>
      </w:pPr>
      <w:r>
        <w:t xml:space="preserve">4.1 Why This Layer Gets Extended Treatment</w:t>
      </w:r>
    </w:p>
    <w:p>
      <w:pPr>
        <w:pStyle w:val="FirstParagraph"/>
      </w:pPr>
      <w:r>
        <w:t xml:space="preserve">Reading-order recovery is the layer where AEGIS-DocIntel’s monograph makes its strongest formal claims (Theorem 6.1, construction-time acyclicity; Theorem 6.2, determinism) and where the Feasibility and Validation Report rates the component Established with named passing tests (TC-01 through TC-04). It is also a layer with an active, well-published research literature and at least one production system (Docling) with real benchmark numbers. This is therefore the section of this report best positioned to compare AEGIS’s proof-based evidentiary standard against the field’s more common empirical-benchmark standard, on genuinely comparable ground.</w:t>
      </w:r>
    </w:p>
    <w:bookmarkEnd w:id="37"/>
    <w:bookmarkStart w:id="38" w:name="the-baseline-xy-cut-and-its-successors"/>
    <w:p>
      <w:pPr>
        <w:pStyle w:val="Heading3"/>
      </w:pPr>
      <w:r>
        <w:t xml:space="preserve">4.2 The Baseline: XY-Cut and Its Successors</w:t>
      </w:r>
    </w:p>
    <w:p>
      <w:pPr>
        <w:pStyle w:val="FirstParagraph"/>
      </w:pPr>
      <w:r>
        <w:t xml:space="preserve">The long-standing default heuristic for reading-order recovery is the recursive XY-Cut algorithm — repeatedly slicing a page into regions by alternating horizontal and vertical cuts — used as the standard post-processing step when a layout detector (such as DocLayout-YOLO) does not itself output an order. A 2026 paper on real-time layout analysis (RT-DocLayout) reports XY-Cut is still the default fallback paired with several current layout-detection models, evaluated on OmniDocBench v1.5 using a published Reading-Order-Edit-distance metric alongside text, formula, and table accuracy — a genuinely comparable quantitative benchmark that AEGIS’s Theorems 6.1-6.2 do not yet have a counterpart to, since AEGIS’s reading-order tests (Feasibility Report TC-01-04) are run against synthetic layouts rather than a shared public corpus like OmniDocBench.</w:t>
      </w:r>
    </w:p>
    <w:p>
      <w:pPr>
        <w:pStyle w:val="BodyText"/>
      </w:pPr>
      <w:r>
        <w:t xml:space="preserve">An improved variant, XY-Cut++, adds a hierarchical mask mechanism specifically to handle the cases where naive recursive cutting fails — the same class of adversarial multi-column and irregular layouts that motivated AEGIS’s Definition 6.1 reading-forward-successor construction. Both approaches remain fundamentally heuristic: XY-Cut’s cuts are chosen by a fixed procedural rule, not derived from a proof of any global ordering property, which is the precise gap AEGIS’s construction-time-acyclicity theorem is designed to close.</w:t>
      </w:r>
    </w:p>
    <w:bookmarkEnd w:id="38"/>
    <w:bookmarkStart w:id="39" w:name="Xfbd84962c16109e4899638f5bef58fe11184fd0"/>
    <w:p>
      <w:pPr>
        <w:pStyle w:val="Heading3"/>
      </w:pPr>
      <w:r>
        <w:t xml:space="preserve">4.3 Learned Approaches: LayoutReader and MLARP</w:t>
      </w:r>
    </w:p>
    <w:p>
      <w:pPr>
        <w:pStyle w:val="FirstParagraph"/>
      </w:pPr>
      <w:r>
        <w:t xml:space="preserve">LayoutReader pre-trains a transformer jointly on text and layout to directly recover the reading order of OCR tokens — a learned, data-driven alternative to both XY-Cut’s heuristics and AEGIS’s proof-based graph construction. A 2025 study evaluating LayoutReader on historical and multi-column layouts found its baselines</w:t>
      </w:r>
      <w:r>
        <w:t xml:space="preserve"> </w:t>
      </w:r>
      <w:r>
        <w:t xml:space="preserve">“</w:t>
      </w:r>
      <w:r>
        <w:t xml:space="preserve">transfer poorly</w:t>
      </w:r>
      <w:r>
        <w:t xml:space="preserve">”</w:t>
      </w:r>
      <w:r>
        <w:t xml:space="preserve"> </w:t>
      </w:r>
      <w:r>
        <w:t xml:space="preserve">outside their training distribution, attributed to a granularity mismatch between the word-level training data and the line-level evaluation setting — a concrete illustration of the generalization risk any learned reading-order method carries and that a proof-based method like AEGIS’s Theorem 6.1 does not, by construction, share (acyclicity holds for any input satisfying Definition 6.1’s geometric conditions, not only for inputs resembling a training distribution).</w:t>
      </w:r>
    </w:p>
    <w:p>
      <w:pPr>
        <w:pStyle w:val="BodyText"/>
      </w:pPr>
      <w:r>
        <w:t xml:space="preserve">Multi-modal Layout-Aware Relation Prediction (MLARP), a 2024 ScienceDirect paper, reframes reading-order detection as predicting the binary</w:t>
      </w:r>
      <w:r>
        <w:t xml:space="preserve"> </w:t>
      </w:r>
      <w:r>
        <w:t xml:space="preserve">“</w:t>
      </w:r>
      <w:r>
        <w:t xml:space="preserve">comes before</w:t>
      </w:r>
      <w:r>
        <w:t xml:space="preserve">”</w:t>
      </w:r>
      <w:r>
        <w:t xml:space="preserve"> </w:t>
      </w:r>
      <w:r>
        <w:t xml:space="preserve">relationship between every pair of text blocks using visual, semantic, and positional features, then recovers a global order via what the paper describes as a simple path-searching algorithm over the resulting directed graph. This is architecturally the closest published system in this survey to AEGIS’s own approach: both construct a directed graph over document elements and recover order via graph traversal, rather than a single learned sequence-to-sequence mapping. The material difference is that MLARP’s edge predictions come from a trained relation-prediction model (requiring labeled pairwise-order training data and carrying the corresponding generalization risk), while AEGIS’s edges come from a closed-form geometric rule (Definition 6.1) with no training dependency and a formal acyclicity guarantee independent of any model’s prediction accuracy.</w:t>
      </w:r>
    </w:p>
    <w:bookmarkEnd w:id="39"/>
    <w:bookmarkStart w:id="40" w:name="X8502a29d380cba91699a8f8e85d9751bd741e9b"/>
    <w:p>
      <w:pPr>
        <w:pStyle w:val="Heading3"/>
      </w:pPr>
      <w:r>
        <w:t xml:space="preserve">4.4 A Directly Comparable Training-Free Graph Method</w:t>
      </w:r>
    </w:p>
    <w:p>
      <w:pPr>
        <w:pStyle w:val="FirstParagraph"/>
      </w:pPr>
      <w:r>
        <w:t xml:space="preserve">A June 2026 arXiv paper,</w:t>
      </w:r>
      <w:r>
        <w:t xml:space="preserve"> </w:t>
      </w:r>
      <w:r>
        <w:t xml:space="preserve">“</w:t>
      </w:r>
      <w:r>
        <w:t xml:space="preserve">Reading Order Inference for Complex Document Layouts,</w:t>
      </w:r>
      <w:r>
        <w:t xml:space="preserve">”</w:t>
      </w:r>
      <w:r>
        <w:t xml:space="preserve"> </w:t>
      </w:r>
      <w:r>
        <w:t xml:space="preserve">is the single closest published system to AEGIS’s Section 6 design found in this survey. It is explicitly training-free and graph-based: each detected text line becomes a node in a directed candidate-transition graph, edges are scored by a weighted ensemble of two lightweight language-model signals, and the global order is recovered as a directed path cover — with a</w:t>
      </w:r>
      <w:r>
        <w:t xml:space="preserve"> </w:t>
      </w:r>
      <w:r>
        <w:t xml:space="preserve">“</w:t>
      </w:r>
      <w:r>
        <w:t xml:space="preserve">max-regret</w:t>
      </w:r>
      <w:r>
        <w:t xml:space="preserve">”</w:t>
      </w:r>
      <w:r>
        <w:t xml:space="preserve"> </w:t>
      </w:r>
      <w:r>
        <w:t xml:space="preserve">inference rule specifically introduced to avoid what the paper calls cascading</w:t>
      </w:r>
      <w:r>
        <w:t xml:space="preserve"> </w:t>
      </w:r>
      <w:r>
        <w:t xml:space="preserve">“</w:t>
      </w:r>
      <w:r>
        <w:t xml:space="preserve">edge-theft</w:t>
      </w:r>
      <w:r>
        <w:t xml:space="preserve">”</w:t>
      </w:r>
      <w:r>
        <w:t xml:space="preserve"> </w:t>
      </w:r>
      <w:r>
        <w:t xml:space="preserve">failures from greedy edge selection. The paper reports evaluation against 23 real historical-manuscript page geometries and a 140-page multi-column subset of OmniDocBench, comparing directly against XY-Cut and LayoutReader baselines on identical inputs, and reports a substantial accuracy improvement on the hardest non-Manhattan (wrap-around) layouts in its test set, plus a verified near-invariance property under horizontal and vertical page mirroring.</w:t>
      </w:r>
    </w:p>
    <w:p>
      <w:pPr>
        <w:pStyle w:val="BodyText"/>
      </w:pPr>
      <w:r>
        <w:t xml:space="preserve">This paper is instructive for AEGIS in two directions. First, it validates the general design choice AEGIS makes — a training-free, graph-based construction is a credible, actively-researched alternative to both heuristic cutting and learned sequence models, and AEGIS’s Definition 6.1 sits within the same design family. Second, and this is the caution this report is obligated to raise per its methodology (Section 1.4), this paper demonstrates the kind of real-corpus benchmark (historical manuscripts, OmniDocBench multi-column subset, head-to-head against named baselines) that AEGIS’s Theorem 6.1/6.2 verification (Feasibility Report TC-01-04, synthetic dense-grid and two-column tests) does not yet have a counterpart to. The mathematical guarantee AEGIS proves (acyclicity, determinism) is a different and in some ways stronger claim than an accuracy percentage on a benchmark — a proof holds for every input satisfying its preconditions, not only for the inputs a benchmark happened to sample — but a proof of acyclicity does not by itself demonstrate that the</w:t>
      </w:r>
      <w:r>
        <w:t xml:space="preserve"> </w:t>
      </w:r>
      <w:r>
        <w:rPr>
          <w:iCs/>
          <w:i/>
        </w:rPr>
        <w:t xml:space="preserve">specific</w:t>
      </w:r>
      <w:r>
        <w:t xml:space="preserve"> </w:t>
      </w:r>
      <w:r>
        <w:t xml:space="preserve">reading order AEGIS’s graph construction recovers matches human reading intent on real, structurally diverse documents at the rate a benchmarked system can report.</w:t>
      </w:r>
    </w:p>
    <w:bookmarkEnd w:id="40"/>
    <w:bookmarkStart w:id="41" w:name="X493dfababb2454886108d78077061c9a4347cf5"/>
    <w:p>
      <w:pPr>
        <w:pStyle w:val="Heading3"/>
      </w:pPr>
      <w:r>
        <w:t xml:space="preserve">4.5 The Production Comparator: Docling / DocLayNet / RT-DETR</w:t>
      </w:r>
    </w:p>
    <w:p>
      <w:pPr>
        <w:pStyle w:val="FirstParagraph"/>
      </w:pPr>
      <w:r>
        <w:t xml:space="preserve">Docling’s layout-analysis model, trained on the DocLayNet dataset (81,000 manually labeled pages spanning patents, manuals, and 10-K filings), is the most production-mature comparator in this section, and reports a specific quantitative finding: the underlying RT-DETR-based model performs within five percentage points of human accuracy on page-element classification, per IBM Research’s own technical report. Reading order in the Docling pipeline is a downstream consequence of accurate element and region classification combined with structural post-processing, rather than a separately-proven graph property — Docling does not publish an acyclicity or determinism theorem in the sense AEGIS’s Section 6 does, but it does publish a large-scale, human-annotated accuracy figure AEGIS’s Established-tier tests do not yet have a counterpart to.</w:t>
      </w:r>
    </w:p>
    <w:bookmarkEnd w:id="41"/>
    <w:bookmarkStart w:id="42" w:name="section-verdict"/>
    <w:p>
      <w:pPr>
        <w:pStyle w:val="Heading3"/>
      </w:pPr>
      <w:r>
        <w:t xml:space="preserve">4.6 Section Verdict</w:t>
      </w:r>
    </w:p>
    <w:p>
      <w:pPr>
        <w:pStyle w:val="FirstParagraph"/>
      </w:pPr>
      <w:r>
        <w:t xml:space="preserve">Table 4.1 summarizes the comparison on the two axes that matter most: evidentiary type (proof vs. benchmark) and evaluation corpus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Evidentiary basis</w:t>
            </w:r>
          </w:p>
        </w:tc>
        <w:tc>
          <w:tcPr/>
          <w:p>
            <w:pPr>
              <w:pStyle w:val="Compact"/>
              <w:jc w:val="left"/>
            </w:pPr>
            <w:r>
              <w:t xml:space="preserve">Evaluation corpus</w:t>
            </w:r>
          </w:p>
        </w:tc>
      </w:tr>
      <w:tr>
        <w:tc>
          <w:tcPr/>
          <w:p>
            <w:pPr>
              <w:pStyle w:val="Compact"/>
              <w:jc w:val="left"/>
            </w:pPr>
            <w:r>
              <w:t xml:space="preserve">XY-Cut / XY-Cut++</w:t>
            </w:r>
          </w:p>
        </w:tc>
        <w:tc>
          <w:tcPr/>
          <w:p>
            <w:pPr>
              <w:pStyle w:val="Compact"/>
              <w:jc w:val="left"/>
            </w:pPr>
            <w:r>
              <w:t xml:space="preserve">Heuristic, no formal guarantee</w:t>
            </w:r>
          </w:p>
        </w:tc>
        <w:tc>
          <w:tcPr/>
          <w:p>
            <w:pPr>
              <w:pStyle w:val="Compact"/>
              <w:jc w:val="left"/>
            </w:pPr>
            <w:r>
              <w:t xml:space="preserve">OmniDocBench v1.5 (real, large)</w:t>
            </w:r>
          </w:p>
        </w:tc>
      </w:tr>
      <w:tr>
        <w:tc>
          <w:tcPr/>
          <w:p>
            <w:pPr>
              <w:pStyle w:val="Compact"/>
              <w:jc w:val="left"/>
            </w:pPr>
            <w:r>
              <w:t xml:space="preserve">LayoutReader</w:t>
            </w:r>
          </w:p>
        </w:tc>
        <w:tc>
          <w:tcPr/>
          <w:p>
            <w:pPr>
              <w:pStyle w:val="Compact"/>
              <w:jc w:val="left"/>
            </w:pPr>
            <w:r>
              <w:t xml:space="preserve">Learned, no formal guarantee</w:t>
            </w:r>
          </w:p>
        </w:tc>
        <w:tc>
          <w:tcPr/>
          <w:p>
            <w:pPr>
              <w:pStyle w:val="Compact"/>
              <w:jc w:val="left"/>
            </w:pPr>
            <w:r>
              <w:t xml:space="preserve">Trained on real OCR corpora; reported to transfer poorly out-of-distribution</w:t>
            </w:r>
          </w:p>
        </w:tc>
      </w:tr>
      <w:tr>
        <w:tc>
          <w:tcPr/>
          <w:p>
            <w:pPr>
              <w:pStyle w:val="Compact"/>
              <w:jc w:val="left"/>
            </w:pPr>
            <w:r>
              <w:t xml:space="preserve">MLARP</w:t>
            </w:r>
          </w:p>
        </w:tc>
        <w:tc>
          <w:tcPr/>
          <w:p>
            <w:pPr>
              <w:pStyle w:val="Compact"/>
              <w:jc w:val="left"/>
            </w:pPr>
            <w:r>
              <w:t xml:space="preserve">Learned graph-based, no formal guarantee</w:t>
            </w:r>
          </w:p>
        </w:tc>
        <w:tc>
          <w:tcPr/>
          <w:p>
            <w:pPr>
              <w:pStyle w:val="Compact"/>
              <w:jc w:val="left"/>
            </w:pPr>
            <w:r>
              <w:t xml:space="preserve">Not fully detailed in the surveyed source; reframes as pairwise relation classification</w:t>
            </w:r>
          </w:p>
        </w:tc>
      </w:tr>
      <w:tr>
        <w:tc>
          <w:tcPr/>
          <w:p>
            <w:pPr>
              <w:pStyle w:val="Compact"/>
              <w:jc w:val="left"/>
            </w:pPr>
            <w:r>
              <w:t xml:space="preserve">Training-free graph method (arXiv 2607.01018)</w:t>
            </w:r>
          </w:p>
        </w:tc>
        <w:tc>
          <w:tcPr/>
          <w:p>
            <w:pPr>
              <w:pStyle w:val="Compact"/>
              <w:jc w:val="left"/>
            </w:pPr>
            <w:r>
              <w:t xml:space="preserve">Training-free, heuristic edge-scoring, no formal acyclicity/determinism guarantee</w:t>
            </w:r>
          </w:p>
        </w:tc>
        <w:tc>
          <w:tcPr/>
          <w:p>
            <w:pPr>
              <w:pStyle w:val="Compact"/>
              <w:jc w:val="left"/>
            </w:pPr>
            <w:r>
              <w:t xml:space="preserve">23 real historical-manuscript geometries + 140-page OmniDocBench subset</w:t>
            </w:r>
          </w:p>
        </w:tc>
      </w:tr>
      <w:tr>
        <w:tc>
          <w:tcPr/>
          <w:p>
            <w:pPr>
              <w:pStyle w:val="Compact"/>
              <w:jc w:val="left"/>
            </w:pPr>
            <w:r>
              <w:t xml:space="preserve">Docling (RT-DETR + DocLayNet)</w:t>
            </w:r>
          </w:p>
        </w:tc>
        <w:tc>
          <w:tcPr/>
          <w:p>
            <w:pPr>
              <w:pStyle w:val="Compact"/>
              <w:jc w:val="left"/>
            </w:pPr>
            <w:r>
              <w:t xml:space="preserve">Trained, no formal guarantee</w:t>
            </w:r>
          </w:p>
        </w:tc>
        <w:tc>
          <w:tcPr/>
          <w:p>
            <w:pPr>
              <w:pStyle w:val="Compact"/>
              <w:jc w:val="left"/>
            </w:pPr>
            <w:r>
              <w:t xml:space="preserve">81,000 real human-annotated pages</w:t>
            </w:r>
          </w:p>
        </w:tc>
      </w:tr>
      <w:tr>
        <w:tc>
          <w:tcPr/>
          <w:p>
            <w:pPr>
              <w:pStyle w:val="Compact"/>
              <w:jc w:val="left"/>
            </w:pPr>
            <w:r>
              <w:t xml:space="preserve">AEGIS-DocIntel (Section 6)</w:t>
            </w:r>
          </w:p>
        </w:tc>
        <w:tc>
          <w:tcPr/>
          <w:p>
            <w:pPr>
              <w:pStyle w:val="Compact"/>
              <w:jc w:val="left"/>
            </w:pPr>
            <w:r>
              <w:t xml:space="preserve">Formal proof (Thm. 6.1, 6.2), training-free, closed-form</w:t>
            </w:r>
          </w:p>
        </w:tc>
        <w:tc>
          <w:tcPr/>
          <w:p>
            <w:pPr>
              <w:pStyle w:val="Compact"/>
              <w:jc w:val="left"/>
            </w:pPr>
            <w:r>
              <w:t xml:space="preserve">Synthetic adversarial layouts only (Feasibility Report TC-01-04)</w:t>
            </w:r>
          </w:p>
        </w:tc>
      </w:tr>
    </w:tbl>
    <w:p>
      <w:pPr>
        <w:pStyle w:val="BodyText"/>
      </w:pPr>
      <w:r>
        <w:t xml:space="preserve">No other system in this table offers AEGIS’s specific combination of a closed-form, training-free construction with a formal correctness proof. Every other system in this table offers a real-corpus benchmark result AEGIS does not yet have. These are complementary gaps, not a single ranking: the immediately actionable recommendation this comparison motivates — consistent with, and now made more specific than, Feasibility Report item V1’s general call for broader testing — is that AEGIS’s next reading-order validation milestone should be a head-to-head run against OmniDocBench (or the same 140-page multi-column subset the arXiv 2607.01018 paper already used), which would let AEGIS’s proof-based guarantee be reported alongside a real-corpus accuracy figure for the first time, directly closing the specific gap this section identifies.</w:t>
      </w:r>
    </w:p>
    <w:bookmarkEnd w:id="42"/>
    <w:bookmarkEnd w:id="43"/>
    <w:bookmarkStart w:id="49" w:name="layer-3-chunking-strategies"/>
    <w:p>
      <w:pPr>
        <w:pStyle w:val="Heading2"/>
      </w:pPr>
      <w:r>
        <w:t xml:space="preserve">5. Layer 3: Chunking Strategies</w:t>
      </w:r>
    </w:p>
    <w:bookmarkStart w:id="44" w:name="X5b988a9c6837843aea57f5ce63a60339c5fe9a5"/>
    <w:p>
      <w:pPr>
        <w:pStyle w:val="Heading3"/>
      </w:pPr>
      <w:r>
        <w:t xml:space="preserve">5.1 The Production Default and Its Documented Limits</w:t>
      </w:r>
    </w:p>
    <w:p>
      <w:pPr>
        <w:pStyle w:val="FirstParagraph"/>
      </w:pPr>
      <w:r>
        <w:t xml:space="preserve">The default chunking approach across the RAG ecosystem in 2026 remains recursive character/token splitting — LangChain’s RecursiveCharacterTextSplitter, which cuts on paragraph, then sentence, then word boundaries before falling back to raw character counts, is described in multiple independent 2026 guides as</w:t>
      </w:r>
      <w:r>
        <w:t xml:space="preserve"> </w:t>
      </w:r>
      <w:r>
        <w:t xml:space="preserve">“</w:t>
      </w:r>
      <w:r>
        <w:t xml:space="preserve">the correct default</w:t>
      </w:r>
      <w:r>
        <w:t xml:space="preserve">”</w:t>
      </w:r>
      <w:r>
        <w:t xml:space="preserve"> </w:t>
      </w:r>
      <w:r>
        <w:t xml:space="preserve">for most use cases, typically configured around 400-512 tokens with 10-20% overlap. This is a fixed-size-with-soft-boundary-preference strategy: it respects some structure (paragraph breaks) but has no concept of a protected structural type, and multiple sources document its specific failure mode directly relevant to AEGIS’s Section 7 design motivation — a fixed-size window</w:t>
      </w:r>
      <w:r>
        <w:t xml:space="preserve"> </w:t>
      </w:r>
      <w:r>
        <w:t xml:space="preserve">“</w:t>
      </w:r>
      <w:r>
        <w:t xml:space="preserve">that cuts mid-explanation sends half-context to the LLM</w:t>
      </w:r>
      <w:r>
        <w:t xml:space="preserve">”</w:t>
      </w:r>
      <w:r>
        <w:t xml:space="preserve"> </w:t>
      </w:r>
      <w:r>
        <w:t xml:space="preserve">on any document where meaning spans multiple paragraphs, which is exactly the table/code-block/figure fracturing problem AEGIS’s Rule 1 (protected-type forcing) is built to prevent.</w:t>
      </w:r>
    </w:p>
    <w:bookmarkEnd w:id="44"/>
    <w:bookmarkStart w:id="45" w:name="semantic-late-and-parent-child-chunking"/>
    <w:p>
      <w:pPr>
        <w:pStyle w:val="Heading3"/>
      </w:pPr>
      <w:r>
        <w:t xml:space="preserve">5.2 Semantic, Late, and Parent-Child Chunking</w:t>
      </w:r>
    </w:p>
    <w:p>
      <w:pPr>
        <w:pStyle w:val="FirstParagraph"/>
      </w:pPr>
      <w:r>
        <w:t xml:space="preserve">Beyond fixed-size splitting, three more sophisticated strategies see production use, each addressing a different part of the same underlying problem AEGIS’s four-rule chunker addresses in one pass. Semantic chunking clusters sentences by embedding similarity rather than position; a Chroma Research benchmark cited in a 2026 chunking guide found semantic and clustering-based chunkers achieving 91-92% recall against 85-89% for recursive splitting on the specific corpora tested, though a separately-cited February 2026 benchmark across 50 academic papers found recursive 512-token splitting outperforming semantic chunking by 15 percentage points — a direct disagreement between sources this report flags rather than resolves, consistent with the chunking literature’s own acknowledgment that results are highly corpus- and retriever-dependent. Late chunking, introduced by Jina AI in 2024 and now widely adopted per a 2026 survey, reverses the usual order — embedding the full document first with a long-context embedder, then splitting the resulting token embeddings into per-chunk vectors via pooling — so that each chunk’s embedding carries full-document context even though the chunk boundaries themselves may still be fixed-size. Parent-child (</w:t>
      </w:r>
      <w:r>
        <w:t xml:space="preserve">“</w:t>
      </w:r>
      <w:r>
        <w:t xml:space="preserve">small-to-big</w:t>
      </w:r>
      <w:r>
        <w:t xml:space="preserve">”</w:t>
      </w:r>
      <w:r>
        <w:t xml:space="preserve">) chunking indexes small child chunks for similarity search but returns larger parent chunks as the actual delivered context, decoupling the retrieval-recall unit from the context-delivery unit.</w:t>
      </w:r>
    </w:p>
    <w:bookmarkEnd w:id="45"/>
    <w:bookmarkStart w:id="46" w:name="agentic-chunking"/>
    <w:p>
      <w:pPr>
        <w:pStyle w:val="Heading3"/>
      </w:pPr>
      <w:r>
        <w:t xml:space="preserve">5.3 Agentic Chunking</w:t>
      </w:r>
    </w:p>
    <w:p>
      <w:pPr>
        <w:pStyle w:val="FirstParagraph"/>
      </w:pPr>
      <w:r>
        <w:t xml:space="preserve">At the most compute-intensive end, agentic chunking uses an LLM call to decide chunk boundaries by having the model</w:t>
      </w:r>
      <w:r>
        <w:t xml:space="preserve"> </w:t>
      </w:r>
      <w:r>
        <w:t xml:space="preserve">“</w:t>
      </w:r>
      <w:r>
        <w:t xml:space="preserve">reason about context across paragraphs and group content the way a human editor would,</w:t>
      </w:r>
      <w:r>
        <w:t xml:space="preserve">”</w:t>
      </w:r>
      <w:r>
        <w:t xml:space="preserve"> </w:t>
      </w:r>
      <w:r>
        <w:t xml:space="preserve">per a May 2026 implementation guide — the closest production analogue to AEGIS’s four-rule detector in terms of being explicitly structure- and meaning-aware rather than position-aware, but at a materially different cost profile: the same guide notes every chunking decision requires a separate LLM call, making agentic chunking</w:t>
      </w:r>
      <w:r>
        <w:t xml:space="preserve"> </w:t>
      </w:r>
      <w:r>
        <w:t xml:space="preserve">“</w:t>
      </w:r>
      <w:r>
        <w:t xml:space="preserve">slower and more expensive than rule-based or semantic methods.</w:t>
      </w:r>
      <w:r>
        <w:t xml:space="preserve">”</w:t>
      </w:r>
      <w:r>
        <w:t xml:space="preserve"> </w:t>
      </w:r>
      <w:r>
        <w:t xml:space="preserve">AEGIS’s Section 7 chunker achieves structure-awareness (the same stated goal) via four closed-form geometric/typographic rules evaluated in a single O(n) pass with no per-decision model call, which is a meaningfully cheaper way to reach a similar qualitative goal, provided the four rules generalize as well across real document diversity as an LLM’s contextual judgment would — a question the Feasibility and Validation Report’s TC-05 through TC-08 tests address only at the synthetic-input level (Established tier for the rules’ individual correctness, not yet benchmarked against agentic chunking’s output quality on the same real corpus).</w:t>
      </w:r>
    </w:p>
    <w:bookmarkEnd w:id="46"/>
    <w:bookmarkStart w:id="47" w:name="X8b9bae85e81925779043f1a3ed99a2ef3290c0b"/>
    <w:p>
      <w:pPr>
        <w:pStyle w:val="Heading3"/>
      </w:pPr>
      <w:r>
        <w:t xml:space="preserve">5.4 Query-Dependent Chunk Sizing — A Design Dimension AEGIS Does Not Yet Address</w:t>
      </w:r>
    </w:p>
    <w:p>
      <w:pPr>
        <w:pStyle w:val="FirstParagraph"/>
      </w:pPr>
      <w:r>
        <w:t xml:space="preserve">Multiple 2026 sources converge on a finding not directly addressed anywhere in the AEGIS monograph: optimal chunk size is query-type-dependent, not corpus-dependent alone. A widely-cited NVIDIA-referenced finding, repeated across at least two independent 2026 guides, reports that factoid queries (narrow lookups for a specific date, name, or value) perform best against small chunks of 128-256 tokens, isolating the answer without surrounding noise, while analytical queries requiring reasoning across multiple concepts need 512-1024 token windows to preserve the broader argument. AEGIS’s Section 7 soft-budget rule (Rule 4) applies a single configured soft budget regardless of query type at chunking time — chunking happens once, at ingestion, before any specific query is known, which is architecturally sound for a system meant to serve many future queries against one ingested corpus, but does mean the query-type-adaptive sizing this literature recommends would need to happen at the retrieval/packing stage (monograph Sections 8-9) rather than the chunking stage, if AEGIS were to adopt it. This is flagged as a design question for the mathematical-engine layer’s query-routing mechanism (monograph Section 5.7, Section 13’s bandit router) rather than a defect in Section 7’s chunker, since chunk</w:t>
      </w:r>
      <w:r>
        <w:t xml:space="preserve"> </w:t>
      </w:r>
      <w:r>
        <w:rPr>
          <w:iCs/>
          <w:i/>
        </w:rPr>
        <w:t xml:space="preserve">granularity</w:t>
      </w:r>
      <w:r>
        <w:t xml:space="preserve"> </w:t>
      </w:r>
      <w:r>
        <w:t xml:space="preserve">and chunk</w:t>
      </w:r>
      <w:r>
        <w:t xml:space="preserve"> </w:t>
      </w:r>
      <w:r>
        <w:rPr>
          <w:iCs/>
          <w:i/>
        </w:rPr>
        <w:t xml:space="preserve">selection</w:t>
      </w:r>
      <w:r>
        <w:t xml:space="preserve"> </w:t>
      </w:r>
      <w:r>
        <w:t xml:space="preserve">are different decisions in AEGIS’s pipeline and this literature’s recommendation maps more naturally onto the second.</w:t>
      </w:r>
    </w:p>
    <w:bookmarkEnd w:id="47"/>
    <w:bookmarkStart w:id="48" w:name="section-verdict-1"/>
    <w:p>
      <w:pPr>
        <w:pStyle w:val="Heading3"/>
      </w:pPr>
      <w:r>
        <w:t xml:space="preserve">5.5 Section Verdict</w:t>
      </w:r>
    </w:p>
    <w:p>
      <w:pPr>
        <w:pStyle w:val="FirstParagraph"/>
      </w:pPr>
      <w:r>
        <w:t xml:space="preserve">Table 5.1 compares AEGIS’s approach against the five production strategies surveyed.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Strategy</w:t>
            </w:r>
          </w:p>
        </w:tc>
        <w:tc>
          <w:tcPr/>
          <w:p>
            <w:pPr>
              <w:pStyle w:val="Compact"/>
              <w:jc w:val="left"/>
            </w:pPr>
            <w:r>
              <w:t xml:space="preserve">Structure-aware?</w:t>
            </w:r>
          </w:p>
        </w:tc>
        <w:tc>
          <w:tcPr/>
          <w:p>
            <w:pPr>
              <w:pStyle w:val="Compact"/>
              <w:jc w:val="left"/>
            </w:pPr>
            <w:r>
              <w:t xml:space="preserve">Cost per chunking decision</w:t>
            </w:r>
          </w:p>
        </w:tc>
        <w:tc>
          <w:tcPr/>
          <w:p>
            <w:pPr>
              <w:pStyle w:val="Compact"/>
              <w:jc w:val="left"/>
            </w:pPr>
            <w:r>
              <w:t xml:space="preserve">Query-adaptive?</w:t>
            </w:r>
          </w:p>
        </w:tc>
      </w:tr>
      <w:tr>
        <w:tc>
          <w:tcPr/>
          <w:p>
            <w:pPr>
              <w:pStyle w:val="Compact"/>
              <w:jc w:val="left"/>
            </w:pPr>
            <w:r>
              <w:t xml:space="preserve">Recursive/fixed-size (LangChain default)</w:t>
            </w:r>
          </w:p>
        </w:tc>
        <w:tc>
          <w:tcPr/>
          <w:p>
            <w:pPr>
              <w:pStyle w:val="Compact"/>
              <w:jc w:val="left"/>
            </w:pPr>
            <w:r>
              <w:t xml:space="preserve">Partial (paragraph/sentence boundaries only)</w:t>
            </w:r>
          </w:p>
        </w:tc>
        <w:tc>
          <w:tcPr/>
          <w:p>
            <w:pPr>
              <w:pStyle w:val="Compact"/>
              <w:jc w:val="left"/>
            </w:pPr>
            <w:r>
              <w:t xml:space="preserve">Negligible</w:t>
            </w:r>
          </w:p>
        </w:tc>
        <w:tc>
          <w:tcPr/>
          <w:p>
            <w:pPr>
              <w:pStyle w:val="Compact"/>
              <w:jc w:val="left"/>
            </w:pPr>
            <w:r>
              <w:t xml:space="preserve">No</w:t>
            </w:r>
          </w:p>
        </w:tc>
      </w:tr>
      <w:tr>
        <w:tc>
          <w:tcPr/>
          <w:p>
            <w:pPr>
              <w:pStyle w:val="Compact"/>
              <w:jc w:val="left"/>
            </w:pPr>
            <w:r>
              <w:t xml:space="preserve">Semantic chunking</w:t>
            </w:r>
          </w:p>
        </w:tc>
        <w:tc>
          <w:tcPr/>
          <w:p>
            <w:pPr>
              <w:pStyle w:val="Compact"/>
              <w:jc w:val="left"/>
            </w:pPr>
            <w:r>
              <w:t xml:space="preserve">Yes, via embedding similarity</w:t>
            </w:r>
          </w:p>
        </w:tc>
        <w:tc>
          <w:tcPr/>
          <w:p>
            <w:pPr>
              <w:pStyle w:val="Compact"/>
              <w:jc w:val="left"/>
            </w:pPr>
            <w:r>
              <w:t xml:space="preserve">Low (embedding call per candidate boundary)</w:t>
            </w:r>
          </w:p>
        </w:tc>
        <w:tc>
          <w:tcPr/>
          <w:p>
            <w:pPr>
              <w:pStyle w:val="Compact"/>
              <w:jc w:val="left"/>
            </w:pPr>
            <w:r>
              <w:t xml:space="preserve">No</w:t>
            </w:r>
          </w:p>
        </w:tc>
      </w:tr>
      <w:tr>
        <w:tc>
          <w:tcPr/>
          <w:p>
            <w:pPr>
              <w:pStyle w:val="Compact"/>
              <w:jc w:val="left"/>
            </w:pPr>
            <w:r>
              <w:t xml:space="preserve">Late chunking</w:t>
            </w:r>
          </w:p>
        </w:tc>
        <w:tc>
          <w:tcPr/>
          <w:p>
            <w:pPr>
              <w:pStyle w:val="Compact"/>
              <w:jc w:val="left"/>
            </w:pPr>
            <w:r>
              <w:t xml:space="preserve">Indirect (embedding carries context; boundaries still fixed)</w:t>
            </w:r>
          </w:p>
        </w:tc>
        <w:tc>
          <w:tcPr/>
          <w:p>
            <w:pPr>
              <w:pStyle w:val="Compact"/>
              <w:jc w:val="left"/>
            </w:pPr>
            <w:r>
              <w:t xml:space="preserve">Moderate (full-document embedding pass)</w:t>
            </w:r>
          </w:p>
        </w:tc>
        <w:tc>
          <w:tcPr/>
          <w:p>
            <w:pPr>
              <w:pStyle w:val="Compact"/>
              <w:jc w:val="left"/>
            </w:pPr>
            <w:r>
              <w:t xml:space="preserve">No</w:t>
            </w:r>
          </w:p>
        </w:tc>
      </w:tr>
      <w:tr>
        <w:tc>
          <w:tcPr/>
          <w:p>
            <w:pPr>
              <w:pStyle w:val="Compact"/>
              <w:jc w:val="left"/>
            </w:pPr>
            <w:r>
              <w:t xml:space="preserve">Parent-child</w:t>
            </w:r>
          </w:p>
        </w:tc>
        <w:tc>
          <w:tcPr/>
          <w:p>
            <w:pPr>
              <w:pStyle w:val="Compact"/>
              <w:jc w:val="left"/>
            </w:pPr>
            <w:r>
              <w:t xml:space="preserve">Yes, at two granularities</w:t>
            </w:r>
          </w:p>
        </w:tc>
        <w:tc>
          <w:tcPr/>
          <w:p>
            <w:pPr>
              <w:pStyle w:val="Compact"/>
              <w:jc w:val="left"/>
            </w:pPr>
            <w:r>
              <w:t xml:space="preserve">Low-moderate (two indexing passes)</w:t>
            </w:r>
          </w:p>
        </w:tc>
        <w:tc>
          <w:tcPr/>
          <w:p>
            <w:pPr>
              <w:pStyle w:val="Compact"/>
              <w:jc w:val="left"/>
            </w:pPr>
            <w:r>
              <w:t xml:space="preserve">Partially (child size tunable per use case)</w:t>
            </w:r>
          </w:p>
        </w:tc>
      </w:tr>
      <w:tr>
        <w:tc>
          <w:tcPr/>
          <w:p>
            <w:pPr>
              <w:pStyle w:val="Compact"/>
              <w:jc w:val="left"/>
            </w:pPr>
            <w:r>
              <w:t xml:space="preserve">Agentic chunking</w:t>
            </w:r>
          </w:p>
        </w:tc>
        <w:tc>
          <w:tcPr/>
          <w:p>
            <w:pPr>
              <w:pStyle w:val="Compact"/>
              <w:jc w:val="left"/>
            </w:pPr>
            <w:r>
              <w:t xml:space="preserve">Yes, fully</w:t>
            </w:r>
          </w:p>
        </w:tc>
        <w:tc>
          <w:tcPr/>
          <w:p>
            <w:pPr>
              <w:pStyle w:val="Compact"/>
              <w:jc w:val="left"/>
            </w:pPr>
            <w:r>
              <w:t xml:space="preserve">High (one LLM call per boundary decision)</w:t>
            </w:r>
          </w:p>
        </w:tc>
        <w:tc>
          <w:tcPr/>
          <w:p>
            <w:pPr>
              <w:pStyle w:val="Compact"/>
              <w:jc w:val="left"/>
            </w:pPr>
            <w:r>
              <w:t xml:space="preserve">Potentially (if prompted per query type)</w:t>
            </w:r>
          </w:p>
        </w:tc>
      </w:tr>
      <w:tr>
        <w:tc>
          <w:tcPr/>
          <w:p>
            <w:pPr>
              <w:pStyle w:val="Compact"/>
              <w:jc w:val="left"/>
            </w:pPr>
            <w:r>
              <w:t xml:space="preserve">AEGIS-DocIntel (Sec. 7)</w:t>
            </w:r>
          </w:p>
        </w:tc>
        <w:tc>
          <w:tcPr/>
          <w:p>
            <w:pPr>
              <w:pStyle w:val="Compact"/>
              <w:jc w:val="left"/>
            </w:pPr>
            <w:r>
              <w:t xml:space="preserve">Yes, via four explicit structural/typographic rules</w:t>
            </w:r>
          </w:p>
        </w:tc>
        <w:tc>
          <w:tcPr/>
          <w:p>
            <w:pPr>
              <w:pStyle w:val="Compact"/>
              <w:jc w:val="left"/>
            </w:pPr>
            <w:r>
              <w:t xml:space="preserve">Negligible (O(n), no model call)</w:t>
            </w:r>
          </w:p>
        </w:tc>
        <w:tc>
          <w:tcPr/>
          <w:p>
            <w:pPr>
              <w:pStyle w:val="Compact"/>
              <w:jc w:val="left"/>
            </w:pPr>
            <w:r>
              <w:t xml:space="preserve">No (ingestion-time, not query-time)</w:t>
            </w:r>
          </w:p>
        </w:tc>
      </w:tr>
    </w:tbl>
    <w:p>
      <w:pPr>
        <w:pStyle w:val="BodyText"/>
      </w:pPr>
      <w:r>
        <w:t xml:space="preserve">AEGIS’s chunker occupies a genuinely distinctive position on this table: it achieves the structure-awareness of agentic chunking at the cost profile of fixed-size splitting, which is a real architectural advantage if — and the</w:t>
      </w:r>
      <w:r>
        <w:t xml:space="preserve"> </w:t>
      </w:r>
      <w:r>
        <w:t xml:space="preserve">“</w:t>
      </w:r>
      <w:r>
        <w:t xml:space="preserve">if</w:t>
      </w:r>
      <w:r>
        <w:t xml:space="preserve">”</w:t>
      </w:r>
      <w:r>
        <w:t xml:space="preserve"> </w:t>
      </w:r>
      <w:r>
        <w:t xml:space="preserve">is load-bearing, per the Feasibility Report’s own evidentiary standard — the four closed-form rules generalize across real document diversity as well as the comparison methods’ more expensive or more data-driven approaches do. No system surveyed here combines full structure-awareness with zero-model-call cost the way AEGIS’s design intends; whether AEGIS’s implementation delivers on that intent at production scale is exactly the open validation question the Feasibility Report’s TC-05-08 test suite begins to answer and a real-corpus comparison (paralleling Section 4.6’s recommendation for reading order) would answer more completely.</w:t>
      </w:r>
    </w:p>
    <w:bookmarkEnd w:id="48"/>
    <w:bookmarkEnd w:id="49"/>
    <w:bookmarkStart w:id="57" w:name="X240279ac5b3d3074c51cb147352ad91d084df95"/>
    <w:p>
      <w:pPr>
        <w:pStyle w:val="Heading2"/>
      </w:pPr>
      <w:r>
        <w:t xml:space="preserve">6. Layer 4: Context-Budget Optimization — Deep-Dive Comparison</w:t>
      </w:r>
    </w:p>
    <w:bookmarkStart w:id="50" w:name="X7b751f419fe969505122f351714a80f8e05209c"/>
    <w:p>
      <w:pPr>
        <w:pStyle w:val="Heading3"/>
      </w:pPr>
      <w:r>
        <w:t xml:space="preserve">6.1 Why This Is the Report’s Most Consequential Section</w:t>
      </w:r>
    </w:p>
    <w:p>
      <w:pPr>
        <w:pStyle w:val="FirstParagraph"/>
      </w:pPr>
      <w:r>
        <w:t xml:space="preserve">Monograph Sections 8-9 stake out AEGIS-DocIntel’s most specific and most testable claim: that context assembly should be treated as a formal constrained-optimization problem (0/1 and multi-choice knapsack, solved exactly by dynamic programming, or approximately with a proven bound) rather than as similarity-rank-ordered greedy filling. This section compares that claim against the closest analogues found across academic and industry sources, including one production system close enough in formulation to warrant a full head-to-head.</w:t>
      </w:r>
    </w:p>
    <w:bookmarkEnd w:id="50"/>
    <w:bookmarkStart w:id="51" w:name="the-default-top-k-truncation"/>
    <w:p>
      <w:pPr>
        <w:pStyle w:val="Heading3"/>
      </w:pPr>
      <w:r>
        <w:t xml:space="preserve">6.2 The Default: Top-K Truncation</w:t>
      </w:r>
    </w:p>
    <w:p>
      <w:pPr>
        <w:pStyle w:val="FirstParagraph"/>
      </w:pPr>
      <w:r>
        <w:t xml:space="preserve">The overwhelming majority of production RAG systems still fill the context window by similarity rank until the token budget is exhausted —</w:t>
      </w:r>
      <w:r>
        <w:t xml:space="preserve"> </w:t>
      </w:r>
      <w:r>
        <w:t xml:space="preserve">“</w:t>
      </w:r>
      <w:r>
        <w:t xml:space="preserve">top-k truncation</w:t>
      </w:r>
      <w:r>
        <w:t xml:space="preserve">”</w:t>
      </w:r>
      <w:r>
        <w:t xml:space="preserve"> </w:t>
      </w:r>
      <w:r>
        <w:t xml:space="preserve">in this report’s terminology, matching monograph Section 3.2’s</w:t>
      </w:r>
      <w:r>
        <w:t xml:space="preserve"> </w:t>
      </w:r>
      <w:r>
        <w:t xml:space="preserve">“</w:t>
      </w:r>
      <w:r>
        <w:t xml:space="preserve">Bottleneck 3.</w:t>
      </w:r>
      <w:r>
        <w:t xml:space="preserve">”</w:t>
      </w:r>
      <w:r>
        <w:t xml:space="preserve"> </w:t>
      </w:r>
      <w:r>
        <w:t xml:space="preserve">This is not a strawman baseline; it is the default behavior of essentially every orchestration framework’s out-of-the-box retriever interface (LangChain, LlamaIndex, Haystack all default to a top-k parameter with no budget-aware selection logic beneath it), and it is the specific policy every academic and industry system below was built to improve upon.</w:t>
      </w:r>
    </w:p>
    <w:bookmarkEnd w:id="51"/>
    <w:bookmarkStart w:id="52" w:name="X02364ac7beba23433f7196935ee28de238287a5"/>
    <w:p>
      <w:pPr>
        <w:pStyle w:val="Heading3"/>
      </w:pPr>
      <w:r>
        <w:t xml:space="preserve">6.3 Databricks Mosaic’s Knapsack Compositor — The Closest Production Precedent</w:t>
      </w:r>
    </w:p>
    <w:p>
      <w:pPr>
        <w:pStyle w:val="FirstParagraph"/>
      </w:pPr>
      <w:r>
        <w:t xml:space="preserve">In April 2026, Databricks’ Mosaic research team published</w:t>
      </w:r>
      <w:r>
        <w:t xml:space="preserve"> </w:t>
      </w:r>
      <w:r>
        <w:t xml:space="preserve">“</w:t>
      </w:r>
      <w:r>
        <w:t xml:space="preserve">Optimal Context Budgeting for Retrieval-Augmented LLMs,</w:t>
      </w:r>
      <w:r>
        <w:t xml:space="preserve">”</w:t>
      </w:r>
      <w:r>
        <w:t xml:space="preserve"> </w:t>
      </w:r>
      <w:r>
        <w:t xml:space="preserve">explicitly framing context compaction as a bounded knapsack problem: each retrieved chunk carries a utility score (derived from relevance combined with an entropy-based distinctiveness metric) and a token cost, and the compositor solves for maximum total utility under a hard token budget. This is, in formulation, the single closest published system to AEGIS’s monograph Section 9 found anywhere in this survey, and the comparison is worth making precisely because the two systems make a materially different choice at the point where they could easily have converged.</w:t>
      </w:r>
    </w:p>
    <w:p>
      <w:pPr>
        <w:pStyle w:val="BodyText"/>
      </w:pPr>
      <w:r>
        <w:t xml:space="preserve">Databricks’ compositor solves the knapsack problem via</w:t>
      </w:r>
      <w:r>
        <w:t xml:space="preserve"> </w:t>
      </w:r>
      <w:r>
        <w:rPr>
          <w:bCs/>
          <w:b/>
        </w:rPr>
        <w:t xml:space="preserve">fractional allocation</w:t>
      </w:r>
      <w:r>
        <w:t xml:space="preserve"> </w:t>
      </w:r>
      <w:r>
        <w:t xml:space="preserve">— chunks receive budget</w:t>
      </w:r>
      <w:r>
        <w:t xml:space="preserve"> </w:t>
      </w:r>
      <w:r>
        <w:t xml:space="preserve">“</w:t>
      </w:r>
      <w:r>
        <w:t xml:space="preserve">proportional to their marginal utility,</w:t>
      </w:r>
      <w:r>
        <w:t xml:space="preserve">”</w:t>
      </w:r>
      <w:r>
        <w:t xml:space="preserve"> </w:t>
      </w:r>
      <w:r>
        <w:t xml:space="preserve">and an extractive compactor then honors those fractional budgets by trimming each selected chunk’s content to fit its allocated share, rather than an all-or-nothing 0/1 inclusion decision. AEGIS’s Section 9.2 solves an explicitly</w:t>
      </w:r>
      <w:r>
        <w:t xml:space="preserve"> </w:t>
      </w:r>
      <w:r>
        <w:rPr>
          <w:bCs/>
          <w:b/>
        </w:rPr>
        <w:t xml:space="preserve">0/1</w:t>
      </w:r>
      <w:r>
        <w:t xml:space="preserve"> </w:t>
      </w:r>
      <w:r>
        <w:t xml:space="preserve">(or, in Section 12.1, multi-choice) knapsack — a chunk, or a chosen representation tier of an asset, is either wholly included or wholly excluded, never partially trimmed. This is not a minor implementation detail; it is the direct consequence of AEGIS’s Section 7 design commitment that a protected structural unit (a table, a code block) is never fractured, which Databricks’ fractional-trimming approach does not share — fractional allocation, applied to a table chunk, would trim the table’s content to fit its allocated budget share, precisely the mid-table truncation failure mode AEGIS’s Bottleneck 3 (Section 3.2) and Appendix F worked example are designed to avoid. Databricks’ own reported production numbers are nonetheless a meaningful validation of the</w:t>
      </w:r>
      <w:r>
        <w:t xml:space="preserve"> </w:t>
      </w:r>
      <w:r>
        <w:rPr>
          <w:iCs/>
          <w:i/>
        </w:rPr>
        <w:t xml:space="preserve">general</w:t>
      </w:r>
      <w:r>
        <w:t xml:space="preserve"> </w:t>
      </w:r>
      <w:r>
        <w:t xml:space="preserve">knapsack framing’s real-world payoff: their customer-support deployment, serving 8,000 requests per minute, reduced mean context length from 4,200 to 2,050 tokens, cutting p50 generation latency by 43% and p99 latency by 37%, entirely by intercepting retrieval output and applying budget allocation before the existing prompt template — a real, measured, production-scale result of exactly the kind the Feasibility and Validation Report (Section 4.3, item TC-NE-7) flags as still outstanding for AEGIS’s own token/latency reduction targets.</w:t>
      </w:r>
    </w:p>
    <w:p>
      <w:pPr>
        <w:pStyle w:val="BodyText"/>
      </w:pPr>
      <w:r>
        <w:t xml:space="preserve">A further point of difference: Databricks’ April 2026 follow-up work on</w:t>
      </w:r>
      <w:r>
        <w:t xml:space="preserve"> </w:t>
      </w:r>
      <w:r>
        <w:t xml:space="preserve">“</w:t>
      </w:r>
      <w:r>
        <w:t xml:space="preserve">adaptive shaping</w:t>
      </w:r>
      <w:r>
        <w:t xml:space="preserve">”</w:t>
      </w:r>
      <w:r>
        <w:t xml:space="preserve"> </w:t>
      </w:r>
      <w:r>
        <w:t xml:space="preserve">varies the token budget itself by query type — factoid queries receive a tight 500-token budget, multi-hop queries 4,000 tokens, summarization queries a budget proportional to source volume — a query-adaptive budget-</w:t>
      </w:r>
      <w:r>
        <w:rPr>
          <w:iCs/>
          <w:i/>
        </w:rPr>
        <w:t xml:space="preserve">sizing</w:t>
      </w:r>
      <w:r>
        <w:t xml:space="preserve"> </w:t>
      </w:r>
      <w:r>
        <w:t xml:space="preserve">layer sitting on top of the knapsack solver itself. AEGIS’s master objective (monograph Section 9.4) optimizes fusion weights and treats the token budget B as a fixed input per monograph Section 9.1, with query-adaptive routing addressed separately via the Section 13 contextual bandit rather than through a budget-sizing mechanism analogous to Databricks’ adaptive shaping. This is a concrete, actionable extension AEGIS’s design does not yet include and Databricks’ published work demonstrates the value of.</w:t>
      </w:r>
    </w:p>
    <w:bookmarkEnd w:id="52"/>
    <w:bookmarkStart w:id="53" w:name="academic-01-knapsack-formulations"/>
    <w:p>
      <w:pPr>
        <w:pStyle w:val="Heading3"/>
      </w:pPr>
      <w:r>
        <w:t xml:space="preserve">6.4 Academic 0/1 Knapsack Formulations</w:t>
      </w:r>
    </w:p>
    <w:p>
      <w:pPr>
        <w:pStyle w:val="FirstParagraph"/>
      </w:pPr>
      <w:r>
        <w:t xml:space="preserve">AEGIS’s exact 0/1 formulation is not without academic precedent, which strengthens rather than weakens its credibility: a 2026 arXiv paper,</w:t>
      </w:r>
      <w:r>
        <w:t xml:space="preserve"> </w:t>
      </w:r>
      <w:r>
        <w:t xml:space="preserve">“</w:t>
      </w:r>
      <w:r>
        <w:t xml:space="preserve">When Knowledge Is Not Free: Cost-Aware Evidence Selection in Retrieval-Augmented Generation,</w:t>
      </w:r>
      <w:r>
        <w:t xml:space="preserve">”</w:t>
      </w:r>
      <w:r>
        <w:t xml:space="preserve"> </w:t>
      </w:r>
      <w:r>
        <w:t xml:space="preserve">evaluates five budgeted evidence-selection methods head-to-head, including a knapsack formulation stated in essentially the same form as AEGIS’s Section 9.1 — maximizing total selected value subject to a hard budget constraint with binary inclusion variables — alongside a</w:t>
      </w:r>
      <w:r>
        <w:t xml:space="preserve"> </w:t>
      </w:r>
      <w:r>
        <w:t xml:space="preserve">“</w:t>
      </w:r>
      <w:r>
        <w:t xml:space="preserve">relevance-only</w:t>
      </w:r>
      <w:r>
        <w:t xml:space="preserve">”</w:t>
      </w:r>
      <w:r>
        <w:t xml:space="preserve"> </w:t>
      </w:r>
      <w:r>
        <w:t xml:space="preserve">baseline (equivalent to top-k truncation) and a</w:t>
      </w:r>
      <w:r>
        <w:t xml:space="preserve"> </w:t>
      </w:r>
      <w:r>
        <w:t xml:space="preserve">“</w:t>
      </w:r>
      <w:r>
        <w:t xml:space="preserve">greedy cost-aware</w:t>
      </w:r>
      <w:r>
        <w:t xml:space="preserve">”</w:t>
      </w:r>
      <w:r>
        <w:t xml:space="preserve"> </w:t>
      </w:r>
      <w:r>
        <w:t xml:space="preserve">baseline (ranking by cost-normalized relevance, structurally similar to AEGIS’s Section 9.3 greedy fallback). The paper’s explicit inclusion of an unmodified 0/1 knapsack among its five compared methods is independent confirmation that AEGIS’s Section 9.1 formulation is a recognized, actively-studied approach in the current RAG-optimization literature, not an idiosyncratic reframing.</w:t>
      </w:r>
    </w:p>
    <w:bookmarkEnd w:id="53"/>
    <w:bookmarkStart w:id="54" w:name="marginal-utility-and-greedy-alternatives"/>
    <w:p>
      <w:pPr>
        <w:pStyle w:val="Heading3"/>
      </w:pPr>
      <w:r>
        <w:t xml:space="preserve">6.5 Marginal-Utility and Greedy Alternatives</w:t>
      </w:r>
    </w:p>
    <w:p>
      <w:pPr>
        <w:pStyle w:val="FirstParagraph"/>
      </w:pPr>
      <w:r>
        <w:t xml:space="preserve">Two further published systems approach the same problem via greedy, non-exact methods structurally similar to AEGIS’s Section 9.3 fallback rather than its Section 9.2 exact solver. FlashRank, described in a 2026 arXiv paper on two-stage RAG retrieval, models document utility as a weighted combination of relevance, novelty, brevity, and cross-encoder evidence, and greedily selects the subset maximizing information gain per token under a token-level constraint — the paper frames this explicitly as a marginal-utility reranking problem, conceptually adjacent to but not identical in formulation to AEGIS’s value-density greedy fallback (Section 9.3). AdaGReS, another recent arXiv system, formalizes context selection as maximizing a redundancy-aware objective via incremental greedy selection of the candidate with highest marginal gain at each step, where marginal gain explicitly penalizes similarity to already-selected chunks — a formulation AEGIS does not directly replicate, since AEGIS’s blended value function (Section 8.2) scores each candidate independently rather than penalizing marginal redundancy against the currently-selected set, relying instead on Section 15.4’s separate MMR diversity-filtering pass upstream of the packer to address near-duplicate redundancy before packing even begins. Whether AEGIS’s two-stage split (MMR for diversity, knapsack for value-maximization) is more or less effective than AdaGReS’s single-stage redundancy-aware greedy objective is an open empirical question this report does not resolve, but the two are answering a closely related question by different architectural means and are worth benchmarking against each other directly.</w:t>
      </w:r>
    </w:p>
    <w:bookmarkEnd w:id="54"/>
    <w:bookmarkStart w:id="55" w:name="X07aa05957832bb7f2ed0e1cf5dbb47135c57769"/>
    <w:p>
      <w:pPr>
        <w:pStyle w:val="Heading3"/>
      </w:pPr>
      <w:r>
        <w:t xml:space="preserve">6.6 Anthropic’s Contextual Retrieval — A Different Point in the Pipeline</w:t>
      </w:r>
    </w:p>
    <w:p>
      <w:pPr>
        <w:pStyle w:val="FirstParagraph"/>
      </w:pPr>
      <w:r>
        <w:t xml:space="preserve">Anthropic’s own Contextual Retrieval technique, published September 2024 and still widely cited and implemented as of mid-2026, addresses a related but distinct problem from context-budget optimization: rather than optimizing</w:t>
      </w:r>
      <w:r>
        <w:t xml:space="preserve"> </w:t>
      </w:r>
      <w:r>
        <w:rPr>
          <w:iCs/>
          <w:i/>
        </w:rPr>
        <w:t xml:space="preserve">which</w:t>
      </w:r>
      <w:r>
        <w:t xml:space="preserve"> </w:t>
      </w:r>
      <w:r>
        <w:t xml:space="preserve">chunks to select under a budget, it improves the</w:t>
      </w:r>
      <w:r>
        <w:t xml:space="preserve"> </w:t>
      </w:r>
      <w:r>
        <w:rPr>
          <w:iCs/>
          <w:i/>
        </w:rPr>
        <w:t xml:space="preserve">quality of each chunk’s representation</w:t>
      </w:r>
      <w:r>
        <w:t xml:space="preserve"> </w:t>
      </w:r>
      <w:r>
        <w:t xml:space="preserve">by prepending a short LLM-generated situating context to each chunk before it is embedded or indexed, so that an isolated chunk retains enough surrounding context to be matched correctly by both dense and lexical (BM25) retrieval. Anthropic’s published results report this technique alone cuts retrieval failures by 49%, and by 67% when combined with reranking. This is complementary to, not competing with, AEGIS’s Section 9 packer: contextual retrieval improves the</w:t>
      </w:r>
      <w:r>
        <w:t xml:space="preserve"> </w:t>
      </w:r>
      <w:r>
        <w:rPr>
          <w:iCs/>
          <w:i/>
        </w:rPr>
        <w:t xml:space="preserve">value estimate</w:t>
      </w:r>
      <w:r>
        <w:t xml:space="preserve"> </w:t>
      </w:r>
      <w:r>
        <w:t xml:space="preserve">each candidate chunk carries into the packer (a better-contextualized chunk should score more accurately against a query), while AEGIS’s packer determines</w:t>
      </w:r>
      <w:r>
        <w:t xml:space="preserve"> </w:t>
      </w:r>
      <w:r>
        <w:rPr>
          <w:iCs/>
          <w:i/>
        </w:rPr>
        <w:t xml:space="preserve">which</w:t>
      </w:r>
      <w:r>
        <w:t xml:space="preserve"> </w:t>
      </w:r>
      <w:r>
        <w:t xml:space="preserve">chunks, at whatever value they carry, make it into the final budget. Nothing in the AEGIS monograph precludes applying an Anthropic-style contextual-prefix step upstream of Section 8’s value scoring, and this report flags it as a concrete, low-risk enhancement candidate — it requires no change to AEGIS’s core knapsack formulation, only a richer input to it.</w:t>
      </w:r>
    </w:p>
    <w:bookmarkEnd w:id="55"/>
    <w:bookmarkStart w:id="56" w:name="section-verdict-2"/>
    <w:p>
      <w:pPr>
        <w:pStyle w:val="Heading3"/>
      </w:pPr>
      <w:r>
        <w:t xml:space="preserve">6.7 Section Verdict</w:t>
      </w:r>
    </w:p>
    <w:p>
      <w:pPr>
        <w:pStyle w:val="FirstParagraph"/>
      </w:pPr>
      <w:r>
        <w:t xml:space="preserve">Table 6.1 places all compared context-budgeting approaches on a single axis: exactness of the selection guarantee.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Selection method</w:t>
            </w:r>
          </w:p>
        </w:tc>
        <w:tc>
          <w:tcPr/>
          <w:p>
            <w:pPr>
              <w:pStyle w:val="Compact"/>
              <w:jc w:val="left"/>
            </w:pPr>
            <w:r>
              <w:t xml:space="preserve">Optimality guarantee</w:t>
            </w:r>
          </w:p>
        </w:tc>
        <w:tc>
          <w:tcPr/>
          <w:p>
            <w:pPr>
              <w:pStyle w:val="Compact"/>
              <w:jc w:val="left"/>
            </w:pPr>
            <w:r>
              <w:t xml:space="preserve">Production-scale evidence</w:t>
            </w:r>
          </w:p>
        </w:tc>
      </w:tr>
      <w:tr>
        <w:tc>
          <w:tcPr/>
          <w:p>
            <w:pPr>
              <w:pStyle w:val="Compact"/>
              <w:jc w:val="left"/>
            </w:pPr>
            <w:r>
              <w:t xml:space="preserve">Top-k truncation (default)</w:t>
            </w:r>
          </w:p>
        </w:tc>
        <w:tc>
          <w:tcPr/>
          <w:p>
            <w:pPr>
              <w:pStyle w:val="Compact"/>
              <w:jc w:val="left"/>
            </w:pPr>
            <w:r>
              <w:t xml:space="preserve">Greedy rank-fill</w:t>
            </w:r>
          </w:p>
        </w:tc>
        <w:tc>
          <w:tcPr/>
          <w:p>
            <w:pPr>
              <w:pStyle w:val="Compact"/>
              <w:jc w:val="left"/>
            </w:pPr>
            <w:r>
              <w:t xml:space="preserve">None</w:t>
            </w:r>
          </w:p>
        </w:tc>
        <w:tc>
          <w:tcPr/>
          <w:p>
            <w:pPr>
              <w:pStyle w:val="Compact"/>
              <w:jc w:val="left"/>
            </w:pPr>
            <w:r>
              <w:t xml:space="preserve">Ubiquitous but unmeasured against alternatives in most deployments</w:t>
            </w:r>
          </w:p>
        </w:tc>
      </w:tr>
      <w:tr>
        <w:tc>
          <w:tcPr/>
          <w:p>
            <w:pPr>
              <w:pStyle w:val="Compact"/>
              <w:jc w:val="left"/>
            </w:pPr>
            <w:r>
              <w:t xml:space="preserve">Databricks Mosaic compositor</w:t>
            </w:r>
          </w:p>
        </w:tc>
        <w:tc>
          <w:tcPr/>
          <w:p>
            <w:pPr>
              <w:pStyle w:val="Compact"/>
              <w:jc w:val="left"/>
            </w:pPr>
            <w:r>
              <w:t xml:space="preserve">Fractional knapsack</w:t>
            </w:r>
          </w:p>
        </w:tc>
        <w:tc>
          <w:tcPr/>
          <w:p>
            <w:pPr>
              <w:pStyle w:val="Compact"/>
              <w:jc w:val="left"/>
            </w:pPr>
            <w:r>
              <w:t xml:space="preserve">Optimal for the fractional relaxation; not 0/1-exact</w:t>
            </w:r>
          </w:p>
        </w:tc>
        <w:tc>
          <w:tcPr/>
          <w:p>
            <w:pPr>
              <w:pStyle w:val="Compact"/>
              <w:jc w:val="left"/>
            </w:pPr>
            <w:r>
              <w:t xml:space="preserve">8,000 req/min production deployment; 43%/37% p50/p99 latency reduction reported</w:t>
            </w:r>
          </w:p>
        </w:tc>
      </w:tr>
      <w:tr>
        <w:tc>
          <w:tcPr/>
          <w:p>
            <w:pPr>
              <w:pStyle w:val="Compact"/>
              <w:jc w:val="left"/>
            </w:pPr>
            <w:r>
              <w:t xml:space="preserve">Academic 0/1 knapsack (arXiv 2606.02245)</w:t>
            </w:r>
          </w:p>
        </w:tc>
        <w:tc>
          <w:tcPr/>
          <w:p>
            <w:pPr>
              <w:pStyle w:val="Compact"/>
              <w:jc w:val="left"/>
            </w:pPr>
            <w:r>
              <w:t xml:space="preserve">Exact 0/1 knapsack</w:t>
            </w:r>
          </w:p>
        </w:tc>
        <w:tc>
          <w:tcPr/>
          <w:p>
            <w:pPr>
              <w:pStyle w:val="Compact"/>
              <w:jc w:val="left"/>
            </w:pPr>
            <w:r>
              <w:t xml:space="preserve">Optimal (same guarantee class as AEGIS Sec. 9.2)</w:t>
            </w:r>
          </w:p>
        </w:tc>
        <w:tc>
          <w:tcPr/>
          <w:p>
            <w:pPr>
              <w:pStyle w:val="Compact"/>
              <w:jc w:val="left"/>
            </w:pPr>
            <w:r>
              <w:t xml:space="preserve">Evaluated in a research benchmark, not reported at production scale</w:t>
            </w:r>
          </w:p>
        </w:tc>
      </w:tr>
      <w:tr>
        <w:tc>
          <w:tcPr/>
          <w:p>
            <w:pPr>
              <w:pStyle w:val="Compact"/>
              <w:jc w:val="left"/>
            </w:pPr>
            <w:r>
              <w:t xml:space="preserve">FlashRank</w:t>
            </w:r>
          </w:p>
        </w:tc>
        <w:tc>
          <w:tcPr/>
          <w:p>
            <w:pPr>
              <w:pStyle w:val="Compact"/>
              <w:jc w:val="left"/>
            </w:pPr>
            <w:r>
              <w:t xml:space="preserve">Greedy marginal-utility</w:t>
            </w:r>
          </w:p>
        </w:tc>
        <w:tc>
          <w:tcPr/>
          <w:p>
            <w:pPr>
              <w:pStyle w:val="Compact"/>
              <w:jc w:val="left"/>
            </w:pPr>
            <w:r>
              <w:t xml:space="preserve">None stated</w:t>
            </w:r>
          </w:p>
        </w:tc>
        <w:tc>
          <w:tcPr/>
          <w:p>
            <w:pPr>
              <w:pStyle w:val="Compact"/>
              <w:jc w:val="left"/>
            </w:pPr>
            <w:r>
              <w:t xml:space="preserve">Evaluated on named RAG datasets in its source paper</w:t>
            </w:r>
          </w:p>
        </w:tc>
      </w:tr>
      <w:tr>
        <w:tc>
          <w:tcPr/>
          <w:p>
            <w:pPr>
              <w:pStyle w:val="Compact"/>
              <w:jc w:val="left"/>
            </w:pPr>
            <w:r>
              <w:t xml:space="preserve">AdaGReS</w:t>
            </w:r>
          </w:p>
        </w:tc>
        <w:tc>
          <w:tcPr/>
          <w:p>
            <w:pPr>
              <w:pStyle w:val="Compact"/>
              <w:jc w:val="left"/>
            </w:pPr>
            <w:r>
              <w:t xml:space="preserve">Greedy redundancy-aware</w:t>
            </w:r>
          </w:p>
        </w:tc>
        <w:tc>
          <w:tcPr/>
          <w:p>
            <w:pPr>
              <w:pStyle w:val="Compact"/>
              <w:jc w:val="left"/>
            </w:pPr>
            <w:r>
              <w:t xml:space="preserve">None stated</w:t>
            </w:r>
          </w:p>
        </w:tc>
        <w:tc>
          <w:tcPr/>
          <w:p>
            <w:pPr>
              <w:pStyle w:val="Compact"/>
              <w:jc w:val="left"/>
            </w:pPr>
            <w:r>
              <w:t xml:space="preserve">Evaluated in a research benchmark</w:t>
            </w:r>
          </w:p>
        </w:tc>
      </w:tr>
      <w:tr>
        <w:tc>
          <w:tcPr/>
          <w:p>
            <w:pPr>
              <w:pStyle w:val="Compact"/>
              <w:jc w:val="left"/>
            </w:pPr>
            <w:r>
              <w:t xml:space="preserve">Anthropic Contextual Retrieval</w:t>
            </w:r>
          </w:p>
        </w:tc>
        <w:tc>
          <w:tcPr/>
          <w:p>
            <w:pPr>
              <w:pStyle w:val="Compact"/>
              <w:jc w:val="left"/>
            </w:pPr>
            <w:r>
              <w:t xml:space="preserve">N/A (upstream of selection)</w:t>
            </w:r>
          </w:p>
        </w:tc>
        <w:tc>
          <w:tcPr/>
          <w:p>
            <w:pPr>
              <w:pStyle w:val="Compact"/>
              <w:jc w:val="left"/>
            </w:pPr>
            <w:r>
              <w:t xml:space="preserve">N/A</w:t>
            </w:r>
          </w:p>
        </w:tc>
        <w:tc>
          <w:tcPr/>
          <w:p>
            <w:pPr>
              <w:pStyle w:val="Compact"/>
              <w:jc w:val="left"/>
            </w:pPr>
            <w:r>
              <w:t xml:space="preserve">49%/67% retrieval-failure reduction reported, widely replicated</w:t>
            </w:r>
          </w:p>
        </w:tc>
      </w:tr>
      <w:tr>
        <w:tc>
          <w:tcPr/>
          <w:p>
            <w:pPr>
              <w:pStyle w:val="Compact"/>
              <w:jc w:val="left"/>
            </w:pPr>
            <w:r>
              <w:t xml:space="preserve">AEGIS-DocIntel (Sec. 9)</w:t>
            </w:r>
          </w:p>
        </w:tc>
        <w:tc>
          <w:tcPr/>
          <w:p>
            <w:pPr>
              <w:pStyle w:val="Compact"/>
              <w:jc w:val="left"/>
            </w:pPr>
            <w:r>
              <w:t xml:space="preserve">Exact 0/1 + multi-choice DP, with proven 1/2-approx. greedy fallback</w:t>
            </w:r>
          </w:p>
        </w:tc>
        <w:tc>
          <w:tcPr/>
          <w:p>
            <w:pPr>
              <w:pStyle w:val="Compact"/>
              <w:jc w:val="left"/>
            </w:pPr>
            <w:r>
              <w:t xml:space="preserve">Optimal (exact path); ≥1/2 OPT proven (fallback path)</w:t>
            </w:r>
          </w:p>
        </w:tc>
        <w:tc>
          <w:tcPr/>
          <w:p>
            <w:pPr>
              <w:pStyle w:val="Compact"/>
              <w:jc w:val="left"/>
            </w:pPr>
            <w:r>
              <w:t xml:space="preserve">Established at synthetic-instance scale (Feasibility Report TC-09-13); not yet benchmarked at production request volume</w:t>
            </w:r>
          </w:p>
        </w:tc>
      </w:tr>
    </w:tbl>
    <w:p>
      <w:pPr>
        <w:pStyle w:val="BodyText"/>
      </w:pPr>
      <w:r>
        <w:t xml:space="preserve">AEGIS’s distinguishing claim in this table is the combination of (a) an exact, not fractional, 0/1 guarantee, (b) a multi-choice extension for multimodal representation tiers with the same exactness guarantee, and (c) a formally proven — not merely empirically observed — approximation bound on its fallback path, together with explicit, caller-visible reporting of which path executed (monograph Section 9.3, Section 11.4’s fix). No single other system in Table 6.1 offers all three simultaneously: Databricks offers production-scale evidence but a fractional, not exact, guarantee; the academic 0/1 knapsack paper offers the same exactness class but no production deployment; FlashRank and AdaGReS offer neither an exactness guarantee nor a proven approximation bound. The gap this comparison surfaces is not in AEGIS’s formulation but, exactly as the Feasibility and Validation Report already concluded independently (risk R2, R3), in production-scale evidence — Databricks’ 8,000-requests-per-minute deployment is the standard this comparison suggests AEGIS’s own eventual production validation (Feasibility Report Section 4.4) should be measured against.</w:t>
      </w:r>
    </w:p>
    <w:bookmarkEnd w:id="56"/>
    <w:bookmarkEnd w:id="57"/>
    <w:bookmarkStart w:id="62" w:name="layer-5-retrieval-fusion"/>
    <w:p>
      <w:pPr>
        <w:pStyle w:val="Heading2"/>
      </w:pPr>
      <w:r>
        <w:t xml:space="preserve">7. Layer 5: Retrieval Fusion</w:t>
      </w:r>
    </w:p>
    <w:bookmarkStart w:id="58" w:name="X8e035acff64dd2ee166258e0fbfaa06483fb1e1"/>
    <w:p>
      <w:pPr>
        <w:pStyle w:val="Heading3"/>
      </w:pPr>
      <w:r>
        <w:t xml:space="preserve">7.1 Reciprocal Rank Fusion as Near-Universal Practice</w:t>
      </w:r>
    </w:p>
    <w:p>
      <w:pPr>
        <w:pStyle w:val="FirstParagraph"/>
      </w:pPr>
      <w:r>
        <w:t xml:space="preserve">Reciprocal Rank Fusion (RRF) — summing 1/(k + rank) contributions across independently-ranked candidate lists, typically with k=60 — is standard practice across essentially the entire hybrid-retrieval literature and product landscape by 2026, and AEGIS’s Section 15.3 uses the identical formulation and the identical standard k=60 parameter. This is not a point of differentiation; it is AEGIS correctly adopting the field’s converged-upon standard rather than reinventing a well-solved sub-problem, which this report notes as a point in favor of AEGIS’s engineering judgment rather than a gap.</w:t>
      </w:r>
    </w:p>
    <w:bookmarkEnd w:id="58"/>
    <w:bookmarkStart w:id="59" w:name="X46715344bcb93889bf11c1128951dfe723344a3"/>
    <w:p>
      <w:pPr>
        <w:pStyle w:val="Heading3"/>
      </w:pPr>
      <w:r>
        <w:t xml:space="preserve">7.2 Where AEGIS’s Fusion Differs: Breadth of Signal</w:t>
      </w:r>
    </w:p>
    <w:p>
      <w:pPr>
        <w:pStyle w:val="FirstParagraph"/>
      </w:pPr>
      <w:r>
        <w:t xml:space="preserve">The differentiation is upstream of RRF, in how many independently-scored signals are being fused. Most production hybrid-retrieval systems fuse two signals — dense (embedding similarity) and sparse (BM25 lexical) — sometimes with a third visual signal where the pipeline supports it. AEGIS’s Section 15.1 fuses seven: semantic, frequency, graph, geometry, matrix, template, and recurrence, each contributed by a dedicated engine from monograph Section 5.4. No system surveyed in this report’s search for comparable hybrid-retrieval architectures fuses more than three to four independently-scored signals via RRF; AEGIS’s seven-method fusion is architecturally broader than typical production practice, though — consistent with this report’s evidentiary standard — broader fusion is not automatically better fusion, and the monograph itself (Section 5.4) already flags that several of the seven contributing engines (topology, and to a lesser extent template and recurrence) are less hardened than the others, meaning the seven-way fusion’s practical advantage over a two- or three-way fusion is not yet independently demonstrated at the retrieval-quality level, only architecturally specified.</w:t>
      </w:r>
    </w:p>
    <w:bookmarkEnd w:id="59"/>
    <w:bookmarkStart w:id="60" w:name="reranking-and-diversity-filtering"/>
    <w:p>
      <w:pPr>
        <w:pStyle w:val="Heading3"/>
      </w:pPr>
      <w:r>
        <w:t xml:space="preserve">7.3 Reranking and Diversity Filtering</w:t>
      </w:r>
    </w:p>
    <w:p>
      <w:pPr>
        <w:pStyle w:val="FirstParagraph"/>
      </w:pPr>
      <w:r>
        <w:t xml:space="preserve">Cross-encoder reranking following an initial retrieval pass, and diversity filtering (typically Maximal Marginal Relevance, MMR) to reduce redundant near-duplicate results, are both standard second-stage practices AEGIS’s Section 15.4 adopts without deviation — the same λ=0.7 MMR balance parameter appears as a common default across multiple surveyed sources. As in Section 7.1, this is AEGIS correctly following converged practice rather than an area of differentiation.</w:t>
      </w:r>
    </w:p>
    <w:bookmarkEnd w:id="60"/>
    <w:bookmarkStart w:id="61" w:name="query-transformation"/>
    <w:p>
      <w:pPr>
        <w:pStyle w:val="Heading3"/>
      </w:pPr>
      <w:r>
        <w:t xml:space="preserve">7.4 Query Transformation</w:t>
      </w:r>
    </w:p>
    <w:p>
      <w:pPr>
        <w:pStyle w:val="FirstParagraph"/>
      </w:pPr>
      <w:r>
        <w:t xml:space="preserve">AEGIS’s Section 15.2 query-processing pipeline includes HyDE-style hypothetical-document generation, step-back prompting for concept-level query abstraction, and query paraphrasing with result-set union — all three are established techniques in the current RAG literature, not AEGIS-specific innovations, and are again correctly-adopted standard practice rather than points of comparative advantage or disadvantage.</w:t>
      </w:r>
    </w:p>
    <w:bookmarkEnd w:id="61"/>
    <w:bookmarkEnd w:id="62"/>
    <w:bookmarkStart w:id="67" w:name="X9180e122829871efdc8059e3023b4792ed97479"/>
    <w:p>
      <w:pPr>
        <w:pStyle w:val="Heading2"/>
      </w:pPr>
      <w:r>
        <w:t xml:space="preserve">8. Layer 6: Visual and Multimodal Document Retrieval</w:t>
      </w:r>
    </w:p>
    <w:bookmarkStart w:id="63" w:name="X87cd54475680d0f649873be9d6ae04cafa9dcf0"/>
    <w:p>
      <w:pPr>
        <w:pStyle w:val="Heading3"/>
      </w:pPr>
      <w:r>
        <w:t xml:space="preserve">8.1 The Paradigm Shift AEGIS’s Semantic Engine Predates</w:t>
      </w:r>
    </w:p>
    <w:p>
      <w:pPr>
        <w:pStyle w:val="FirstParagraph"/>
      </w:pPr>
      <w:r>
        <w:t xml:space="preserve">The dominant approach to visual/layout-aware document retrieval has shifted materially since AEGIS’s semantic engine (monograph Section 5.6) was designed around LayoutLMv3-class text-layout fusion — jointly embedding text tokens with their 2D bounding-box positions, per the additive augmentation formula the monograph specifies. The 2024-2026 research trajectory, led by ColPali and its successor family (ColQwen2, ColQwen2.5, ColQwen3-4B, ColSmolVLM, ColModernVBERT, ColInternVL), instead treats each document page as a single visual object, embedding it directly with a vision-language model and skipping OCR, layout analysis, and text chunking entirely — the original ColPali paper frames this explicitly as a response to the observation that documents</w:t>
      </w:r>
      <w:r>
        <w:t xml:space="preserve"> </w:t>
      </w:r>
      <w:r>
        <w:t xml:space="preserve">“</w:t>
      </w:r>
      <w:r>
        <w:t xml:space="preserve">convey information through text, but also figures, page layouts, tables, or even fonts,</w:t>
      </w:r>
      <w:r>
        <w:t xml:space="preserve">”</w:t>
      </w:r>
      <w:r>
        <w:t xml:space="preserve"> </w:t>
      </w:r>
      <w:r>
        <w:t xml:space="preserve">which text-only retrieval pipelines structurally cannot exploit.</w:t>
      </w:r>
    </w:p>
    <w:bookmarkEnd w:id="63"/>
    <w:bookmarkStart w:id="64" w:name="the-benchmark-evidence"/>
    <w:p>
      <w:pPr>
        <w:pStyle w:val="Heading3"/>
      </w:pPr>
      <w:r>
        <w:t xml:space="preserve">8.2 The Benchmark Evidence</w:t>
      </w:r>
    </w:p>
    <w:p>
      <w:pPr>
        <w:pStyle w:val="FirstParagraph"/>
      </w:pPr>
      <w:r>
        <w:t xml:space="preserve">The ColPali family is evaluated against ViDoRe (Visual Document Retrieval Benchmark), and the original ColPali paper reports it outperforming both BM25 and BGE-M3 (a strong dense text embedding baseline) by a wide margin — nDCG@5 of 81.3 for ColPali versus 65-75 for the text-based baselines, notably without requiring OCR, layout analysis, or any text-chunking pipeline at all. Multiple successor models have continued to advance this benchmark: ColQwen3-4B is reported to achieve state-of-the-art ViDoRe performance as of a December 2025 paper, while ColModernVBERT demonstrates that a much smaller 250-million-parameter model can reach within 0.6 points of ColPali’s original NDCG@5 score, and Qwen3-VL-Embedding’s 2026 reranker is reported to substantially outperform ColPali-style models of similar parameter size specifically at the reranking stage.</w:t>
      </w:r>
    </w:p>
    <w:bookmarkEnd w:id="64"/>
    <w:bookmarkStart w:id="65" w:name="X19c035a9a5d41d5332b349bffe56e39b0a87e59"/>
    <w:p>
      <w:pPr>
        <w:pStyle w:val="Heading3"/>
      </w:pPr>
      <w:r>
        <w:t xml:space="preserve">8.3 What This Means for AEGIS’s Architecture Specifically</w:t>
      </w:r>
    </w:p>
    <w:p>
      <w:pPr>
        <w:pStyle w:val="FirstParagraph"/>
      </w:pPr>
      <w:r>
        <w:t xml:space="preserve">This is the sharpest point of comparative tension in this report. AEGIS’s entire Section 5-9 pipeline is architected around the premise that a document should first be decomposed into discrete, geometrically-anchored elements (monograph Section 5.2’s element tuple) before any embedding or retrieval occurs — this is the foundational assumption behind reading-order recovery, structural chunking, and knapsack packing all being well-defined operations in the first place. ColPali-family retrieval inverts this: it retrieves whole page images directly, with no element decomposition step, and the ViDoRe benchmark evidence suggests this can outperform decomposed text-pipeline retrieval specifically</w:t>
      </w:r>
      <w:r>
        <w:t xml:space="preserve"> </w:t>
      </w:r>
      <w:r>
        <w:rPr>
          <w:iCs/>
          <w:i/>
        </w:rPr>
        <w:t xml:space="preserve">because</w:t>
      </w:r>
      <w:r>
        <w:t xml:space="preserve"> </w:t>
      </w:r>
      <w:r>
        <w:t xml:space="preserve">decomposition (OCR, layout analysis, chunking) is a lossy, error-compounding process each additional stage can degrade — the same</w:t>
      </w:r>
      <w:r>
        <w:t xml:space="preserve"> </w:t>
      </w:r>
      <w:r>
        <w:t xml:space="preserve">“</w:t>
      </w:r>
      <w:r>
        <w:t xml:space="preserve">error cascading</w:t>
      </w:r>
      <w:r>
        <w:t xml:space="preserve">”</w:t>
      </w:r>
      <w:r>
        <w:t xml:space="preserve"> </w:t>
      </w:r>
      <w:r>
        <w:t xml:space="preserve">failure mode a 2026 PDF-parser comparison guide independently identifies as a primary failure source in traditional document parsing.</w:t>
      </w:r>
    </w:p>
    <w:p>
      <w:pPr>
        <w:pStyle w:val="BodyText"/>
      </w:pPr>
      <w:r>
        <w:t xml:space="preserve">This does not invalidate AEGIS’s architecture, but it does sharply delineate the specific class of query AEGIS’s design is, and is not, well-suited to. For queries requiring exact structural reasoning over table cells, financial figures, or multi-element cross-referencing — the queries monograph Appendix F’s worked example and the TAT-QA evaluation target — element-level decomposition is not merely compatible with the query type but arguably necessary, since a ColPali-style whole-page visual embedding has no native mechanism for the kind of cell-level relational reasoning AEGIS’s Matrix Engine (Section 5.4) is built to support. For queries that are fundamentally about</w:t>
      </w:r>
      <w:r>
        <w:t xml:space="preserve"> </w:t>
      </w:r>
      <w:r>
        <w:t xml:space="preserve">“</w:t>
      </w:r>
      <w:r>
        <w:t xml:space="preserve">does this page look like what I’m searching for</w:t>
      </w:r>
      <w:r>
        <w:t xml:space="preserve">”</w:t>
      </w:r>
      <w:r>
        <w:t xml:space="preserve"> </w:t>
      </w:r>
      <w:r>
        <w:t xml:space="preserve">— layout-similarity search, or retrieval where the visual gestalt of a page carries the signal — a ColPali-style approach may be both cheaper (no parsing pipeline at all) and more accurate (no error-cascading decomposition) than routing through AEGIS’s full Section 5 engine stack. A hybrid design — using ColPali-style whole-page retrieval as an additional, eighth signal into AEGIS’s Section 15 fusion, alongside the existing seven element-level signals, rather than as a wholesale replacement — is a concrete architectural extension this comparison surfaces that the current monograph does not address, and would let AEGIS’s structural strengths and ColPali’s whole-page robustness cover each other’s respective weak points rather than being an either/or choice.</w:t>
      </w:r>
    </w:p>
    <w:bookmarkEnd w:id="65"/>
    <w:bookmarkStart w:id="66" w:name="X4ffa53fc40072fac7f590d81ce855c411526a03"/>
    <w:p>
      <w:pPr>
        <w:pStyle w:val="Heading3"/>
      </w:pPr>
      <w:r>
        <w:t xml:space="preserve">8.4 Status of AEGIS’s Own Multimodal Components</w:t>
      </w:r>
    </w:p>
    <w:p>
      <w:pPr>
        <w:pStyle w:val="FirstParagraph"/>
      </w:pPr>
      <w:r>
        <w:t xml:space="preserve">Consistent with the Feasibility and Validation Report’s findings (risks R4, R5), AEGIS’s own image and flowchart encoders (monograph Section 12.3) and its LayoutLMv3-class semantic-engine integration (Section 5.6) remain at the Proposed or structurally-verified-only tier — meaning the comparison in this section is, at present, a comparison between a trained, benchmarked competitor family (ColPali/ColQwen) and AEGIS’s own not-yet-trained multimodal components, not a like-for-like accuracy comparison. This report treats that gap as already identified and tracked (Feasibility Report items V7, V8, TC-NE-1, TC-NE-3) rather than restating it as a new finding, but flags specifically that the ColPali family’s maturity and benchmark dominance raises the bar AEGIS’s eventual trained semantic and image encoders will need to clear, and that Section 8.3’s hybrid-signal suggestion is a lower-risk path to competitive multimodal capability than attempting to out-train the ColPali family’s approach outright with AEGIS’s more decomposed, element-level design.</w:t>
      </w:r>
    </w:p>
    <w:bookmarkEnd w:id="66"/>
    <w:bookmarkEnd w:id="67"/>
    <w:bookmarkStart w:id="71" w:name="Xe7a0f083fce37a56f29d48ed8c52344115b9662"/>
    <w:p>
      <w:pPr>
        <w:pStyle w:val="Heading2"/>
      </w:pPr>
      <w:r>
        <w:t xml:space="preserve">9. Adjacent Paradigm: GraphRAG vs. AEGIS’s Spatial Graph</w:t>
      </w:r>
    </w:p>
    <w:bookmarkStart w:id="68" w:name="Xddb684743388f7bf42e22fca44c3446bc3f05e9"/>
    <w:p>
      <w:pPr>
        <w:pStyle w:val="Heading3"/>
      </w:pPr>
      <w:r>
        <w:t xml:space="preserve">9.1 Two Different Graphs Solving Two Different Problems</w:t>
      </w:r>
    </w:p>
    <w:p>
      <w:pPr>
        <w:pStyle w:val="FirstParagraph"/>
      </w:pPr>
      <w:r>
        <w:t xml:space="preserve">It is easy to conflate AEGIS’s use of graph theory (monograph Section 6, the reading-order DAG) with GraphRAG (Microsoft’s knowledge-graph-augmented retrieval paradigm), since both are</w:t>
      </w:r>
      <w:r>
        <w:t xml:space="preserve"> </w:t>
      </w:r>
      <w:r>
        <w:t xml:space="preserve">“</w:t>
      </w:r>
      <w:r>
        <w:t xml:space="preserve">graph-based</w:t>
      </w:r>
      <w:r>
        <w:t xml:space="preserve">”</w:t>
      </w:r>
      <w:r>
        <w:t xml:space="preserve"> </w:t>
      </w:r>
      <w:r>
        <w:t xml:space="preserve">additions to a document-intelligence pipeline. They are not comparable systems in any direct sense, and this report separates them explicitly to prevent that conflation. GraphRAG constructs a knowledge graph of</w:t>
      </w:r>
      <w:r>
        <w:t xml:space="preserve"> </w:t>
      </w:r>
      <w:r>
        <w:rPr>
          <w:iCs/>
          <w:i/>
        </w:rPr>
        <w:t xml:space="preserve">entities and their typed relationships</w:t>
      </w:r>
      <w:r>
        <w:t xml:space="preserve"> </w:t>
      </w:r>
      <w:r>
        <w:t xml:space="preserve">— people, companies, regulations, components — extracted from a corpus, and answers queries by traversing that entity graph rather than by similarity search alone; one widely-cited 2026 comparison summarizes the distinction as vector search finding</w:t>
      </w:r>
      <w:r>
        <w:t xml:space="preserve"> </w:t>
      </w:r>
      <w:r>
        <w:t xml:space="preserve">“</w:t>
      </w:r>
      <w:r>
        <w:t xml:space="preserve">what looks like this</w:t>
      </w:r>
      <w:r>
        <w:t xml:space="preserve">”</w:t>
      </w:r>
      <w:r>
        <w:t xml:space="preserve"> </w:t>
      </w:r>
      <w:r>
        <w:t xml:space="preserve">while GraphRAG finds</w:t>
      </w:r>
      <w:r>
        <w:t xml:space="preserve"> </w:t>
      </w:r>
      <w:r>
        <w:t xml:space="preserve">“</w:t>
      </w:r>
      <w:r>
        <w:t xml:space="preserve">what is connected to this.</w:t>
      </w:r>
      <w:r>
        <w:t xml:space="preserve">”</w:t>
      </w:r>
      <w:r>
        <w:t xml:space="preserve"> </w:t>
      </w:r>
      <w:r>
        <w:t xml:space="preserve">AEGIS’s Section 6 graph, by contrast, is a</w:t>
      </w:r>
      <w:r>
        <w:t xml:space="preserve"> </w:t>
      </w:r>
      <w:r>
        <w:rPr>
          <w:iCs/>
          <w:i/>
        </w:rPr>
        <w:t xml:space="preserve">spatial</w:t>
      </w:r>
      <w:r>
        <w:t xml:space="preserve"> </w:t>
      </w:r>
      <w:r>
        <w:t xml:space="preserve">graph over the physical layout elements of a single page or document, constructed to recover reading order — its nodes are text blocks and tables, not entities, and its edges encode reading-forward spatial adjacency (Definition 6.1), not semantic relationships like</w:t>
      </w:r>
      <w:r>
        <w:t xml:space="preserve"> </w:t>
      </w:r>
      <w:r>
        <w:t xml:space="preserve">“</w:t>
      </w:r>
      <w:r>
        <w:t xml:space="preserve">supplies,</w:t>
      </w:r>
      <w:r>
        <w:t xml:space="preserve">”</w:t>
      </w:r>
      <w:r>
        <w:t xml:space="preserve"> </w:t>
      </w:r>
      <w:r>
        <w:t xml:space="preserve">“</w:t>
      </w:r>
      <w:r>
        <w:t xml:space="preserve">regulates,</w:t>
      </w:r>
      <w:r>
        <w:t xml:space="preserve">”</w:t>
      </w:r>
      <w:r>
        <w:t xml:space="preserve"> </w:t>
      </w:r>
      <w:r>
        <w:t xml:space="preserve">or</w:t>
      </w:r>
      <w:r>
        <w:t xml:space="preserve"> </w:t>
      </w:r>
      <w:r>
        <w:t xml:space="preserve">“</w:t>
      </w:r>
      <w:r>
        <w:t xml:space="preserve">is a subsidiary of.</w:t>
      </w:r>
      <w:r>
        <w:t xml:space="preserve">”</w:t>
      </w:r>
    </w:p>
    <w:bookmarkEnd w:id="68"/>
    <w:bookmarkStart w:id="69" w:name="Xb2c0e0d5f4b04d816230124ee35bfd1b1de8a47"/>
    <w:p>
      <w:pPr>
        <w:pStyle w:val="Heading3"/>
      </w:pPr>
      <w:r>
        <w:t xml:space="preserve">9.2 Where the Two Could Complement Each Other</w:t>
      </w:r>
    </w:p>
    <w:p>
      <w:pPr>
        <w:pStyle w:val="FirstParagraph"/>
      </w:pPr>
      <w:r>
        <w:t xml:space="preserve">The two are not merely different — they are potentially complementary within a single pipeline, and the comparison surfaces a design opportunity the monograph does not currently pursue. GraphRAG’s demonstrated strength is specifically multi-hop, cross-document relational reasoning: a widely-cited 2026 benchmark found LLM accuracy on schema-heavy enterprise queries rising from 16.7% ungrounded to 56.2% when grounded in a knowledge graph, a 3.4x improvement concentrated specifically in query categories like KPI tracking that vector search</w:t>
      </w:r>
      <w:r>
        <w:t xml:space="preserve"> </w:t>
      </w:r>
      <w:r>
        <w:t xml:space="preserve">“</w:t>
      </w:r>
      <w:r>
        <w:t xml:space="preserve">failed entirely</w:t>
      </w:r>
      <w:r>
        <w:t xml:space="preserve">”</w:t>
      </w:r>
      <w:r>
        <w:t xml:space="preserve"> </w:t>
      </w:r>
      <w:r>
        <w:t xml:space="preserve">on per that same analysis. This is a different failure mode than any of the three bottlenecks AEGIS’s monograph Section 3.2 identifies (reading-order failure, chunking boundary blindness, naive context packing) — GraphRAG’s advantage shows up on cross-entity, cross-document reasoning queries, which are largely orthogonal to AEGIS’s within-document structural-fidelity focus. A production deployment combining both — AEGIS’s structural pipeline for faithful within-document extraction and packing, feeding entity and relationship extraction into a GraphRAG layer for cross-document reasoning — would address a broader query distribution than either alone, and several 2026 sources converge on exactly this</w:t>
      </w:r>
      <w:r>
        <w:t xml:space="preserve"> </w:t>
      </w:r>
      <w:r>
        <w:t xml:space="preserve">“</w:t>
      </w:r>
      <w:r>
        <w:t xml:space="preserve">hybrid router</w:t>
      </w:r>
      <w:r>
        <w:t xml:space="preserve">”</w:t>
      </w:r>
      <w:r>
        <w:t xml:space="preserve"> </w:t>
      </w:r>
      <w:r>
        <w:t xml:space="preserve">recommendation (graph, vector, and hybrid retrieval paths selected per query, not one paradigm applied as a blanket policy) as current best practice.</w:t>
      </w:r>
    </w:p>
    <w:bookmarkEnd w:id="69"/>
    <w:bookmarkStart w:id="70" w:name="a-caution-on-graphrags-own-cost-profile"/>
    <w:p>
      <w:pPr>
        <w:pStyle w:val="Heading3"/>
      </w:pPr>
      <w:r>
        <w:t xml:space="preserve">9.3 A Caution on GraphRAG’s Own Cost Profile</w:t>
      </w:r>
    </w:p>
    <w:p>
      <w:pPr>
        <w:pStyle w:val="FirstParagraph"/>
      </w:pPr>
      <w:r>
        <w:t xml:space="preserve">This report notes, in the same spirit as its treatment of AEGIS’s own unvalidated scalability assumptions (Feasibility Report Section 2.4), that GraphRAG carries a real, documented construction and maintenance cost that a 2026 analysis describes as having been a</w:t>
      </w:r>
      <w:r>
        <w:t xml:space="preserve"> </w:t>
      </w:r>
      <w:r>
        <w:t xml:space="preserve">“</w:t>
      </w:r>
      <w:r>
        <w:t xml:space="preserve">$33K research expense</w:t>
      </w:r>
      <w:r>
        <w:t xml:space="preserve">”</w:t>
      </w:r>
      <w:r>
        <w:t xml:space="preserve"> </w:t>
      </w:r>
      <w:r>
        <w:t xml:space="preserve">in its early 2024 form before more efficient extraction pipelines brought the cost down, plus an ongoing</w:t>
      </w:r>
      <w:r>
        <w:t xml:space="preserve"> </w:t>
      </w:r>
      <w:r>
        <w:t xml:space="preserve">“</w:t>
      </w:r>
      <w:r>
        <w:t xml:space="preserve">correction cascade</w:t>
      </w:r>
      <w:r>
        <w:t xml:space="preserve">”</w:t>
      </w:r>
      <w:r>
        <w:t xml:space="preserve"> </w:t>
      </w:r>
      <w:r>
        <w:t xml:space="preserve">risk — a single entity-extraction error’s downstream effect across dependent community summaries. Any future AEGIS extension toward GraphRAG-style entity grounding should budget for this cost profile explicitly rather than treating graph construction as a free addition, consistent with how the Feasibility and Validation Report already treats every other extension to AEGIS’s own architecture.</w:t>
      </w:r>
    </w:p>
    <w:bookmarkEnd w:id="70"/>
    <w:bookmarkEnd w:id="71"/>
    <w:bookmarkStart w:id="76" w:name="X62f32fb23ca557b61249bd6d7d353b6171b0758"/>
    <w:p>
      <w:pPr>
        <w:pStyle w:val="Heading2"/>
      </w:pPr>
      <w:r>
        <w:t xml:space="preserve">10. Layer 7: Orchestration Frameworks, Enterprise Platforms, and the Operating-System Framing</w:t>
      </w:r>
    </w:p>
    <w:bookmarkStart w:id="72" w:name="the-open-source-orchestration-layer"/>
    <w:p>
      <w:pPr>
        <w:pStyle w:val="Heading3"/>
      </w:pPr>
      <w:r>
        <w:t xml:space="preserve">10.1 The Open-Source Orchestration Layer</w:t>
      </w:r>
    </w:p>
    <w:p>
      <w:pPr>
        <w:pStyle w:val="FirstParagraph"/>
      </w:pPr>
      <w:r>
        <w:t xml:space="preserve">LangChain, LlamaIndex, and Haystack are the three dominant open-source orchestration frameworks as of 2026, each occupying the pipeline-assembly and agent-orchestration layer rather than the parsing or context-optimization layers this report has focused on so far. LangChain is reported to lead on integration breadth (500+ integrations across LLMs, vector stores, and tools per a 2026 platform comparison), LlamaIndex covers 160+ data connectors with a particular strength in document-centric RAG given its LlamaParse lineage, and Haystack’s narrower integration surface is described in the same source as making it easier to audit and certify — a real trade-off (breadth versus auditability) rather than a straightforward ranking.</w:t>
      </w:r>
    </w:p>
    <w:p>
      <w:pPr>
        <w:pStyle w:val="BodyText"/>
      </w:pPr>
      <w:r>
        <w:t xml:space="preserve">None of the three ships anything resembling AEGIS’s Section 6 reading-order proof, Section 7 structural chunker, or Section 9 exact-knapsack packer as a built-in component; all three default to top-k truncation and standard chunking utilities (Section 5, Section 6 of this report) unless a developer wires in a more sophisticated component themselves. This is the central sense in which AEGIS’s monograph Section 4.1</w:t>
      </w:r>
      <w:r>
        <w:t xml:space="preserve"> </w:t>
      </w:r>
      <w:r>
        <w:t xml:space="preserve">“</w:t>
      </w:r>
      <w:r>
        <w:t xml:space="preserve">pre-LLM operating system</w:t>
      </w:r>
      <w:r>
        <w:t xml:space="preserve">”</w:t>
      </w:r>
      <w:r>
        <w:t xml:space="preserve"> </w:t>
      </w:r>
      <w:r>
        <w:t xml:space="preserve">framing is a genuine architectural distinction rather than marketing language: AEGIS specifies mathematically-grounded, correctness-tested behavior for stages that the dominant orchestration frameworks leave as configurable defaults with no correctness guarantee attached, by design, since a general-purpose framework cannot bake in domain-specific structural assumptions the way a document-intelligence-specific system can.</w:t>
      </w:r>
    </w:p>
    <w:bookmarkEnd w:id="72"/>
    <w:bookmarkStart w:id="73" w:name="Xb448cce000ef7f4380c2833880cab7049bb8e4a"/>
    <w:p>
      <w:pPr>
        <w:pStyle w:val="Heading3"/>
      </w:pPr>
      <w:r>
        <w:t xml:space="preserve">10.2 RAGFlow — The Closest Open-Source Architectural Cousin</w:t>
      </w:r>
    </w:p>
    <w:p>
      <w:pPr>
        <w:pStyle w:val="FirstParagraph"/>
      </w:pPr>
      <w:r>
        <w:t xml:space="preserve">RAGFlow, an Apache 2.0-licensed open-source framework from InfiniFlow, is described in a 2026 compliance-focused platform comparison as</w:t>
      </w:r>
      <w:r>
        <w:t xml:space="preserve"> </w:t>
      </w:r>
      <w:r>
        <w:t xml:space="preserve">“</w:t>
      </w:r>
      <w:r>
        <w:t xml:space="preserve">the open-source framework to beat for deep document understanding,</w:t>
      </w:r>
      <w:r>
        <w:t xml:space="preserve">”</w:t>
      </w:r>
      <w:r>
        <w:t xml:space="preserve"> </w:t>
      </w:r>
      <w:r>
        <w:t xml:space="preserve">with over 80,000 GitHub stars. Its central design idea — intelligent, template-based chunking with different strategies for articles, papers, tables, contracts, and image-rich documents, paired with chunk-level visualization for retrieval debugging — is architecturally the closest open-source analogue to AEGIS’s structure-aware chunking philosophy (Section 7 of this report) found in this survey, though RAGFlow’s approach is template-selection-based (choosing among several pre-built strategies matched to document type) rather than AEGIS’s single unified four-rule geometric/typographic detector applied uniformly regardless of document type. RAGFlow’s April 2026 v0.25 release added seven prebuilt ingestion pipeline templates, sandbox code execution, and agent memory — expanding into territory adjacent to AEGIS’s Section 14 memory architecture and Section 18 workflow specification, though without AEGIS’s specific L0-L5 content-abstraction-hierarchy formalization or its four-tier operational cache design. RAGFlow’s chunk-level visualization feature — making</w:t>
      </w:r>
      <w:r>
        <w:t xml:space="preserve"> </w:t>
      </w:r>
      <w:r>
        <w:t xml:space="preserve">“</w:t>
      </w:r>
      <w:r>
        <w:t xml:space="preserve">retrieval debugging concrete rather than a black box,</w:t>
      </w:r>
      <w:r>
        <w:t xml:space="preserve">”</w:t>
      </w:r>
      <w:r>
        <w:t xml:space="preserve"> </w:t>
      </w:r>
      <w:r>
        <w:t xml:space="preserve">per the same source — is a specific, concrete capability AEGIS’s own observability plan (monograph Section 19.5) does not explicitly name as a planned dashboard feature, and is worth adopting as a direct, low-cost addition to AEGIS’s eventual observability stack.</w:t>
      </w:r>
    </w:p>
    <w:bookmarkEnd w:id="73"/>
    <w:bookmarkStart w:id="74" w:name="enterprise-and-managed-platforms"/>
    <w:p>
      <w:pPr>
        <w:pStyle w:val="Heading3"/>
      </w:pPr>
      <w:r>
        <w:t xml:space="preserve">10.3 Enterprise and Managed Platforms</w:t>
      </w:r>
    </w:p>
    <w:p>
      <w:pPr>
        <w:pStyle w:val="FirstParagraph"/>
      </w:pPr>
      <w:r>
        <w:t xml:space="preserve">At the fully-managed end of the market, platforms like Vectara and Ragie offer</w:t>
      </w:r>
      <w:r>
        <w:t xml:space="preserve"> </w:t>
      </w:r>
      <w:r>
        <w:t xml:space="preserve">“</w:t>
      </w:r>
      <w:r>
        <w:t xml:space="preserve">full-pipeline APIs</w:t>
      </w:r>
      <w:r>
        <w:t xml:space="preserve">”</w:t>
      </w:r>
      <w:r>
        <w:t xml:space="preserve"> </w:t>
      </w:r>
      <w:r>
        <w:t xml:space="preserve">trading pipeline control for fastest time-to-value, per a 2026 market analysis, while cloud-native options (AWS Bedrock Knowledge Bases, Azure AI Search, Vertex AI Search) offer zero-operations integration within a single cloud ecosystem at the cost of cross-cloud portability. The broader enterprise RAG platform market itself is estimated at roughly $1.94 billion in 2025, projected to reach $9.86 billion by 2030 at a 38.4% compound annual growth rate, per a November 2025 MarketsandMarkets figure cited in a 2026 compliance-focused comparison — context for the scale of the market AEGIS-DocIntel would be entering. None of the managed platforms surveyed publish the level of algorithmic and mathematical specification AEGIS’s monograph provides (most are evaluated in the sources above on integration breadth, compliance certification, and pricing transparency rather than on published correctness proofs for their retrieval or context-assembly logic), which is consistent with this report’s Section 10.1 finding: algorithmic rigor of AEGIS’s kind is not the axis general-purpose or managed platforms compete on, which is either a differentiation opportunity or a signal that the market has not (yet) rewarded this kind of rigor at the purchasing-decision level — this report does not have evidence to determine which.</w:t>
      </w:r>
    </w:p>
    <w:bookmarkEnd w:id="74"/>
    <w:bookmarkStart w:id="75" w:name="Xd067efe74f34c869f8d65c2eabe605ccf428533"/>
    <w:p>
      <w:pPr>
        <w:pStyle w:val="Heading3"/>
      </w:pPr>
      <w:r>
        <w:t xml:space="preserve">10.4 Section Verdict: Where AEGIS Sits in the Stack</w:t>
      </w:r>
    </w:p>
    <w:p>
      <w:pPr>
        <w:pStyle w:val="FirstParagraph"/>
      </w:pPr>
      <w:r>
        <w:t xml:space="preserve">AEGIS-DocIntel is best understood, per this report’s Section 2 taxonomy, not as a competitor to any single system in this section but as an attempt to collapse Layers 1-6 (parsing, reading-order, chunking, context-budgeting, retrieval fusion, and eventually multimodal retrieval) into one mathematically-specified core that could, in principle, sit</w:t>
      </w:r>
      <w:r>
        <w:t xml:space="preserve"> </w:t>
      </w:r>
      <w:r>
        <w:rPr>
          <w:iCs/>
          <w:i/>
        </w:rPr>
        <w:t xml:space="preserve">underneath</w:t>
      </w:r>
      <w:r>
        <w:t xml:space="preserve"> </w:t>
      </w:r>
      <w:r>
        <w:t xml:space="preserve">an orchestration framework like LangChain or LlamaIndex the way Docling or Unstructured currently do, rather than competing with those frameworks for the orchestration-layer role itself. This is consistent with the monograph’s own Section 4.1 framing (</w:t>
      </w:r>
      <w:r>
        <w:t xml:space="preserve">“</w:t>
      </w:r>
      <w:r>
        <w:t xml:space="preserve">a layer that sits between raw unstructured input and every downstream AI agent</w:t>
      </w:r>
      <w:r>
        <w:t xml:space="preserve">”</w:t>
      </w:r>
      <w:r>
        <w:t xml:space="preserve">) and suggests the most direct path to market position is integration (an AEGIS connector for LangChain/LlamaIndex, analogous to the connectors Unstructured and LlamaParse already ship) rather than head-to-head orchestration-layer competition — a strategic implication this report develops further in Section 13.</w:t>
      </w:r>
    </w:p>
    <w:bookmarkEnd w:id="75"/>
    <w:bookmarkEnd w:id="76"/>
    <w:bookmarkStart w:id="81" w:name="accuracy-and-cost-benchmarks-in-context"/>
    <w:p>
      <w:pPr>
        <w:pStyle w:val="Heading2"/>
      </w:pPr>
      <w:r>
        <w:t xml:space="preserve">11. Accuracy and Cost Benchmarks in Context</w:t>
      </w:r>
    </w:p>
    <w:bookmarkStart w:id="77" w:name="X425ec449c05200b832c8b52dd5ad7c906a03a1e"/>
    <w:p>
      <w:pPr>
        <w:pStyle w:val="Heading3"/>
      </w:pPr>
      <w:r>
        <w:t xml:space="preserve">11.1 Where AEGIS’s Evaluation Protocol Would Land on Current Leaderboards</w:t>
      </w:r>
    </w:p>
    <w:p>
      <w:pPr>
        <w:pStyle w:val="FirstParagraph"/>
      </w:pPr>
      <w:r>
        <w:t xml:space="preserve">Monograph Section 21 proposes evaluating AEGIS against DocVQA and TAT-QA; this section places that proposed evaluation against the current state of the public leaderboards so that a future AEGIS benchmark result has an immediate frame of reference. As of a July 2026 snapshot, the DocVQA leaderboard’s top model (Qwen2.5-VL-72B-Instruct on the standard split, and Qwen3-VL-235B-A22B-Instruct on the harder DocVQA-test split) scores 96.4% and 97.1% respectively; a specialized non-VLM competitor, LandingAI’s Agentic Document Extraction, separately reports 99.16% answering DocVQA questions purely from its parsed text/JSON output with no image access at all, which the vendor characterizes as exceeding both state-of-the-art VLMs and human performance on that specific test. These figures collectively establish that DocVQA is, as of mid-2026, a largely saturated benchmark at the level of leading systems — a future AEGIS DocVQA result in the high-90s would be competitive but not differentiating on this specific benchmark alone, since the ceiling is already within a few points of 100% for multiple independent approaches.</w:t>
      </w:r>
    </w:p>
    <w:p>
      <w:pPr>
        <w:pStyle w:val="BodyText"/>
      </w:pPr>
      <w:r>
        <w:t xml:space="preserve">TAT-QA, the hybrid tabular-financial benchmark the monograph specifically selects for its table-heavy stress-test properties (Section 21.2), does not have as saturated or as frequently-updated a public leaderboard in the sources surveyed for this report, which this report notes as a genuine data gap rather than inferring a figure — TAT-QA’s relative scarcity of recent leaderboard coverage compared to DocVQA’s active tracking is itself informative: it suggests table-heavy hybrid QA remains a harder, less-solved problem than page-level visual QA, which is consistent with the monograph’s own reasoning (Section 21.2) for selecting TAT-QA specifically to stress AEGIS’s structural-preservation claims rather than its general document-QA competence.</w:t>
      </w:r>
    </w:p>
    <w:bookmarkEnd w:id="77"/>
    <w:bookmarkStart w:id="78" w:name="reading-order-benchmark-reference-point"/>
    <w:p>
      <w:pPr>
        <w:pStyle w:val="Heading3"/>
      </w:pPr>
      <w:r>
        <w:t xml:space="preserve">11.2 Reading-Order Benchmark Reference Point</w:t>
      </w:r>
    </w:p>
    <w:p>
      <w:pPr>
        <w:pStyle w:val="FirstParagraph"/>
      </w:pPr>
      <w:r>
        <w:t xml:space="preserve">Section 4.5 of this report already noted RT-DocLayout’s published Reading-Order-Edit-distance scores on OmniDocBench v1.5, where leading layout-analysis-plus-XY-Cut pipelines (PaddleOCR-VL, MinerU2.5, MonkeyOCR, Dolphin-v2) cluster in the 0.13-0.18 edit-distance range (lower is better) alongside overall document-reconversion scores in the mid-80s to high-80s percent range. This is restated here as the specific numeric benchmark AEGIS’s own proposed Reading-order Hit rate metric (monograph Section 21.4’s RHM) should ultimately be compared against once measured, since RHM and Reading-Order-Edit-distance are different metrics answering a closely related question (how well does recovered order match ground truth) and a future AEGIS evaluation would benefit from reporting both, or from mapping RHM onto the OmniDocBench edit-distance convention directly for cross-comparability.</w:t>
      </w:r>
    </w:p>
    <w:bookmarkEnd w:id="78"/>
    <w:bookmarkStart w:id="79" w:name="X2f6ac2c55f3fa10536372e14977ea494df8c399"/>
    <w:p>
      <w:pPr>
        <w:pStyle w:val="Heading3"/>
      </w:pPr>
      <w:r>
        <w:t xml:space="preserve">11.3 Token-Reduction and Latency Benchmark Reference Point</w:t>
      </w:r>
    </w:p>
    <w:p>
      <w:pPr>
        <w:pStyle w:val="FirstParagraph"/>
      </w:pPr>
      <w:r>
        <w:t xml:space="preserve">Section 6.3 of this report already established Databricks Mosaic’s production figures — 4,200 to 2,050 mean context tokens (a 51% reduction), 43% p50 and 37% p99 latency reduction, at 8,000 requests/minute. These sit within the upper half of AEGIS’s own stated target range (20-70% token reduction, 30-60% latency reduction, monograph Table 5), which is a favorable reference point suggesting AEGIS’s targets are not unrealistic relative to what a comparable knapsack-based production system has actually delivered — but, consistent with the Feasibility and Validation Report’s risk R3, this remains a comparison against another system’s measured result, not yet against AEGIS’s own measured result, and the gap between</w:t>
      </w:r>
      <w:r>
        <w:t xml:space="preserve"> </w:t>
      </w:r>
      <w:r>
        <w:t xml:space="preserve">“</w:t>
      </w:r>
      <w:r>
        <w:t xml:space="preserve">our targets are in the range another system achieved</w:t>
      </w:r>
      <w:r>
        <w:t xml:space="preserve">”</w:t>
      </w:r>
      <w:r>
        <w:t xml:space="preserve"> </w:t>
      </w:r>
      <w:r>
        <w:t xml:space="preserve">and</w:t>
      </w:r>
      <w:r>
        <w:t xml:space="preserve"> </w:t>
      </w:r>
      <w:r>
        <w:t xml:space="preserve">“</w:t>
      </w:r>
      <w:r>
        <w:t xml:space="preserve">we measured our own system achieving this</w:t>
      </w:r>
      <w:r>
        <w:t xml:space="preserve">”</w:t>
      </w:r>
      <w:r>
        <w:t xml:space="preserve"> </w:t>
      </w:r>
      <w:r>
        <w:t xml:space="preserve">is exactly the gap Feasibility Report item TC-NE-7 is designed to close.</w:t>
      </w:r>
    </w:p>
    <w:bookmarkEnd w:id="79"/>
    <w:bookmarkStart w:id="80" w:name="X85256099fde559fce072d8e15c3f9f5747428b1"/>
    <w:p>
      <w:pPr>
        <w:pStyle w:val="Heading3"/>
      </w:pPr>
      <w:r>
        <w:t xml:space="preserve">11.4 Hallucination-Rate Benchmark Reference Point</w:t>
      </w:r>
    </w:p>
    <w:p>
      <w:pPr>
        <w:pStyle w:val="FirstParagraph"/>
      </w:pPr>
      <w:r>
        <w:t xml:space="preserve">The monograph’s Table 5 targets a hallucination rate below 5%. Independent, actively-maintained hallucination benchmarking (Vectara’s hallucination leaderboard, cited in a July 2026 analysis) reports that even leading frontier models, evaluated on the comparatively easier task of summarizing a single document placed directly in the model’s context, still fabricate content in single-digit-to-low-double-digit percentages — the same source reports one frontier model fabricating in 9.6% of summaries and another in 12%, as of a May 2026 leaderboard update. This is informative context for interpreting AEGIS’s own sub-5% target: retrieval-and-grounding quality (what AEGIS’s Sections 6-9 and 19 verification stage address) is necessary but, per this leaderboard evidence, not sufficient on its own to guarantee a sub-5% hallucination rate, since even a perfectly-retrieved, perfectly-packed context is still passed through a generation step where the underlying language model itself carries a nonzero, currently-unsolved fabrication rate independent of retrieval quality. AEGIS’s Section 19 citation-resolution and consistency-checking verification stage is a defense specifically against this residual generation-level risk, and this benchmark context underscores why that stage is architecturally necessary rather than a redundant addition on top of already-good retrieval.</w:t>
      </w:r>
    </w:p>
    <w:bookmarkEnd w:id="80"/>
    <w:bookmarkEnd w:id="81"/>
    <w:bookmarkStart w:id="83" w:name="master-comparison-matrix"/>
    <w:p>
      <w:pPr>
        <w:pStyle w:val="Heading2"/>
      </w:pPr>
      <w:r>
        <w:t xml:space="preserve">12. Master Comparison Matrix</w:t>
      </w:r>
    </w:p>
    <w:p>
      <w:pPr>
        <w:pStyle w:val="FirstParagraph"/>
      </w:pPr>
      <w:r>
        <w:t xml:space="preserve">Table 12.1 consolidates every layer-specific comparison in this report into a single reference matrix, scoring AEGIS-DocIntel and its closest comparator on each layer against three questions: does a correctness/optimality guarantee exist, is there real-corpus or production-scale evidence, and what is this report’s summary verdict on relative maturity.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Layer</w:t>
            </w:r>
          </w:p>
        </w:tc>
        <w:tc>
          <w:tcPr/>
          <w:p>
            <w:pPr>
              <w:pStyle w:val="Compact"/>
              <w:jc w:val="left"/>
            </w:pPr>
            <w:r>
              <w:t xml:space="preserve">AEGIS-DocIntel</w:t>
            </w:r>
          </w:p>
        </w:tc>
        <w:tc>
          <w:tcPr/>
          <w:p>
            <w:pPr>
              <w:pStyle w:val="Compact"/>
              <w:jc w:val="left"/>
            </w:pPr>
            <w:r>
              <w:t xml:space="preserve">Closest comparator</w:t>
            </w:r>
          </w:p>
        </w:tc>
        <w:tc>
          <w:tcPr/>
          <w:p>
            <w:pPr>
              <w:pStyle w:val="Compact"/>
              <w:jc w:val="left"/>
            </w:pPr>
            <w:r>
              <w:t xml:space="preserve">Guarantee comparison</w:t>
            </w:r>
          </w:p>
        </w:tc>
        <w:tc>
          <w:tcPr/>
          <w:p>
            <w:pPr>
              <w:pStyle w:val="Compact"/>
              <w:jc w:val="left"/>
            </w:pPr>
            <w:r>
              <w:t xml:space="preserve">Evidence comparison</w:t>
            </w:r>
          </w:p>
        </w:tc>
        <w:tc>
          <w:tcPr/>
          <w:p>
            <w:pPr>
              <w:pStyle w:val="Compact"/>
              <w:jc w:val="left"/>
            </w:pPr>
            <w:r>
              <w:t xml:space="preserve">Verdict</w:t>
            </w:r>
          </w:p>
        </w:tc>
      </w:tr>
      <w:tr>
        <w:tc>
          <w:tcPr/>
          <w:p>
            <w:pPr>
              <w:pStyle w:val="Compact"/>
              <w:jc w:val="left"/>
            </w:pPr>
            <w:r>
              <w:t xml:space="preserve">Document parsing/IDP</w:t>
            </w:r>
          </w:p>
        </w:tc>
        <w:tc>
          <w:tcPr/>
          <w:p>
            <w:pPr>
              <w:pStyle w:val="Compact"/>
              <w:jc w:val="left"/>
            </w:pPr>
            <w:r>
              <w:t xml:space="preserve">12-engine element extraction (Sec. 5)</w:t>
            </w:r>
          </w:p>
        </w:tc>
        <w:tc>
          <w:tcPr/>
          <w:p>
            <w:pPr>
              <w:pStyle w:val="Compact"/>
              <w:jc w:val="left"/>
            </w:pPr>
            <w:r>
              <w:t xml:space="preserve">Docling (DocLayNet + TableFormer)</w:t>
            </w:r>
          </w:p>
        </w:tc>
        <w:tc>
          <w:tcPr/>
          <w:p>
            <w:pPr>
              <w:pStyle w:val="Compact"/>
              <w:jc w:val="left"/>
            </w:pPr>
            <w:r>
              <w:t xml:space="preserve">Neither offers a formal proof; both are engineering-specified</w:t>
            </w:r>
          </w:p>
        </w:tc>
        <w:tc>
          <w:tcPr/>
          <w:p>
            <w:pPr>
              <w:pStyle w:val="Compact"/>
              <w:jc w:val="left"/>
            </w:pPr>
            <w:r>
              <w:t xml:space="preserve">Docling: 81K human-annotated pages. AEGIS: not yet benchmarked at this scale</w:t>
            </w:r>
          </w:p>
        </w:tc>
        <w:tc>
          <w:tcPr/>
          <w:p>
            <w:pPr>
              <w:pStyle w:val="Compact"/>
              <w:jc w:val="left"/>
            </w:pPr>
            <w:r>
              <w:t xml:space="preserve">Comparator ahead on evidence</w:t>
            </w:r>
          </w:p>
        </w:tc>
      </w:tr>
      <w:tr>
        <w:tc>
          <w:tcPr/>
          <w:p>
            <w:pPr>
              <w:pStyle w:val="Compact"/>
              <w:jc w:val="left"/>
            </w:pPr>
            <w:r>
              <w:t xml:space="preserve">Reading-order recovery</w:t>
            </w:r>
          </w:p>
        </w:tc>
        <w:tc>
          <w:tcPr/>
          <w:p>
            <w:pPr>
              <w:pStyle w:val="Compact"/>
              <w:jc w:val="left"/>
            </w:pPr>
            <w:r>
              <w:t xml:space="preserve">Graph + Kahn’s algorithm (Sec. 6)</w:t>
            </w:r>
          </w:p>
        </w:tc>
        <w:tc>
          <w:tcPr/>
          <w:p>
            <w:pPr>
              <w:pStyle w:val="Compact"/>
              <w:jc w:val="left"/>
            </w:pPr>
            <w:r>
              <w:t xml:space="preserve">Training-free graph method (arXiv 2607.01018); Docling</w:t>
            </w:r>
          </w:p>
        </w:tc>
        <w:tc>
          <w:tcPr/>
          <w:p>
            <w:pPr>
              <w:pStyle w:val="Compact"/>
              <w:jc w:val="left"/>
            </w:pPr>
            <w:r>
              <w:t xml:space="preserve">AEGIS uniquely offers formal acyclicity/determinism proofs (Thm 6.1, 6.2)</w:t>
            </w:r>
          </w:p>
        </w:tc>
        <w:tc>
          <w:tcPr/>
          <w:p>
            <w:pPr>
              <w:pStyle w:val="Compact"/>
              <w:jc w:val="left"/>
            </w:pPr>
            <w:r>
              <w:t xml:space="preserve">Comparators: real historical + OmniDocBench corpora. AEGIS: synthetic only</w:t>
            </w:r>
          </w:p>
        </w:tc>
        <w:tc>
          <w:tcPr/>
          <w:p>
            <w:pPr>
              <w:pStyle w:val="Compact"/>
              <w:jc w:val="left"/>
            </w:pPr>
            <w:r>
              <w:t xml:space="preserve">AEGIS ahead on guarantee; comparators ahead on evidence</w:t>
            </w:r>
          </w:p>
        </w:tc>
      </w:tr>
      <w:tr>
        <w:tc>
          <w:tcPr/>
          <w:p>
            <w:pPr>
              <w:pStyle w:val="Compact"/>
              <w:jc w:val="left"/>
            </w:pPr>
            <w:r>
              <w:t xml:space="preserve">Chunking</w:t>
            </w:r>
          </w:p>
        </w:tc>
        <w:tc>
          <w:tcPr/>
          <w:p>
            <w:pPr>
              <w:pStyle w:val="Compact"/>
              <w:jc w:val="left"/>
            </w:pPr>
            <w:r>
              <w:t xml:space="preserve">4-rule elastic chunker (Sec. 7)</w:t>
            </w:r>
          </w:p>
        </w:tc>
        <w:tc>
          <w:tcPr/>
          <w:p>
            <w:pPr>
              <w:pStyle w:val="Compact"/>
              <w:jc w:val="left"/>
            </w:pPr>
            <w:r>
              <w:t xml:space="preserve">RAGFlow template-based chunking; agentic chunking</w:t>
            </w:r>
          </w:p>
        </w:tc>
        <w:tc>
          <w:tcPr/>
          <w:p>
            <w:pPr>
              <w:pStyle w:val="Compact"/>
              <w:jc w:val="left"/>
            </w:pPr>
            <w:r>
              <w:t xml:space="preserve">Neither offers a formal guarantee</w:t>
            </w:r>
          </w:p>
        </w:tc>
        <w:tc>
          <w:tcPr/>
          <w:p>
            <w:pPr>
              <w:pStyle w:val="Compact"/>
              <w:jc w:val="left"/>
            </w:pPr>
            <w:r>
              <w:t xml:space="preserve">Both at similar maturity; neither independently real-corpus benchmarked in sources found</w:t>
            </w:r>
          </w:p>
        </w:tc>
        <w:tc>
          <w:tcPr/>
          <w:p>
            <w:pPr>
              <w:pStyle w:val="Compact"/>
              <w:jc w:val="left"/>
            </w:pPr>
            <w:r>
              <w:t xml:space="preserve">Roughly comparable; genuinely novel cost/structure trade-off in AEGIS’s favor if validated</w:t>
            </w:r>
          </w:p>
        </w:tc>
      </w:tr>
      <w:tr>
        <w:tc>
          <w:tcPr/>
          <w:p>
            <w:pPr>
              <w:pStyle w:val="Compact"/>
              <w:jc w:val="left"/>
            </w:pPr>
            <w:r>
              <w:t xml:space="preserve">Context-budget optimization</w:t>
            </w:r>
          </w:p>
        </w:tc>
        <w:tc>
          <w:tcPr/>
          <w:p>
            <w:pPr>
              <w:pStyle w:val="Compact"/>
              <w:jc w:val="left"/>
            </w:pPr>
            <w:r>
              <w:t xml:space="preserve">Exact 0/1 + multi-choice DP, proven greedy bound (Sec. 9)</w:t>
            </w:r>
          </w:p>
        </w:tc>
        <w:tc>
          <w:tcPr/>
          <w:p>
            <w:pPr>
              <w:pStyle w:val="Compact"/>
              <w:jc w:val="left"/>
            </w:pPr>
            <w:r>
              <w:t xml:space="preserve">Databricks Mosaic fractional knapsack</w:t>
            </w:r>
          </w:p>
        </w:tc>
        <w:tc>
          <w:tcPr/>
          <w:p>
            <w:pPr>
              <w:pStyle w:val="Compact"/>
              <w:jc w:val="left"/>
            </w:pPr>
            <w:r>
              <w:t xml:space="preserve">AEGIS’s 0/1-exactness and proven approximation bound exceed Databricks’ fractional-optimal-only guarantee</w:t>
            </w:r>
          </w:p>
        </w:tc>
        <w:tc>
          <w:tcPr/>
          <w:p>
            <w:pPr>
              <w:pStyle w:val="Compact"/>
              <w:jc w:val="left"/>
            </w:pPr>
            <w:r>
              <w:t xml:space="preserve">Databricks: 8,000 req/min production. AEGIS: synthetic-instance only</w:t>
            </w:r>
          </w:p>
        </w:tc>
        <w:tc>
          <w:tcPr/>
          <w:p>
            <w:pPr>
              <w:pStyle w:val="Compact"/>
              <w:jc w:val="left"/>
            </w:pPr>
            <w:r>
              <w:t xml:space="preserve">AEGIS ahead on guarantee; comparator ahead on evidence</w:t>
            </w:r>
          </w:p>
        </w:tc>
      </w:tr>
      <w:tr>
        <w:tc>
          <w:tcPr/>
          <w:p>
            <w:pPr>
              <w:pStyle w:val="Compact"/>
              <w:jc w:val="left"/>
            </w:pPr>
            <w:r>
              <w:t xml:space="preserve">Retrieval fusion</w:t>
            </w:r>
          </w:p>
        </w:tc>
        <w:tc>
          <w:tcPr/>
          <w:p>
            <w:pPr>
              <w:pStyle w:val="Compact"/>
              <w:jc w:val="left"/>
            </w:pPr>
            <w:r>
              <w:t xml:space="preserve">7-method RRF fusion (Sec. 15)</w:t>
            </w:r>
          </w:p>
        </w:tc>
        <w:tc>
          <w:tcPr/>
          <w:p>
            <w:pPr>
              <w:pStyle w:val="Compact"/>
              <w:jc w:val="left"/>
            </w:pPr>
            <w:r>
              <w:t xml:space="preserve">Standard 2-3 signal hybrid (industry norm)</w:t>
            </w:r>
          </w:p>
        </w:tc>
        <w:tc>
          <w:tcPr/>
          <w:p>
            <w:pPr>
              <w:pStyle w:val="Compact"/>
              <w:jc w:val="left"/>
            </w:pPr>
            <w:r>
              <w:t xml:space="preserve">Neither offers a formal guarantee; RRF itself is standard practice both use identically</w:t>
            </w:r>
          </w:p>
        </w:tc>
        <w:tc>
          <w:tcPr/>
          <w:p>
            <w:pPr>
              <w:pStyle w:val="Compact"/>
              <w:jc w:val="left"/>
            </w:pPr>
            <w:r>
              <w:t xml:space="preserve">AEGIS’s breadth is architecturally novel; not yet shown to outperform narrower fusion empirically</w:t>
            </w:r>
          </w:p>
        </w:tc>
        <w:tc>
          <w:tcPr/>
          <w:p>
            <w:pPr>
              <w:pStyle w:val="Compact"/>
              <w:jc w:val="left"/>
            </w:pPr>
            <w:r>
              <w:t xml:space="preserve">AEGIS ahead on architectural breadth; unproven on marginal value</w:t>
            </w:r>
          </w:p>
        </w:tc>
      </w:tr>
      <w:tr>
        <w:tc>
          <w:tcPr/>
          <w:p>
            <w:pPr>
              <w:pStyle w:val="Compact"/>
              <w:jc w:val="left"/>
            </w:pPr>
            <w:r>
              <w:t xml:space="preserve">Visual/multimodal retrieval</w:t>
            </w:r>
          </w:p>
        </w:tc>
        <w:tc>
          <w:tcPr/>
          <w:p>
            <w:pPr>
              <w:pStyle w:val="Compact"/>
              <w:jc w:val="left"/>
            </w:pPr>
            <w:r>
              <w:t xml:space="preserve">LayoutLMv3-class + image/flowchart encoders (Sec. 5.6, 12.3)</w:t>
            </w:r>
          </w:p>
        </w:tc>
        <w:tc>
          <w:tcPr/>
          <w:p>
            <w:pPr>
              <w:pStyle w:val="Compact"/>
              <w:jc w:val="left"/>
            </w:pPr>
            <w:r>
              <w:t xml:space="preserve">ColPali/ColQwen family</w:t>
            </w:r>
          </w:p>
        </w:tc>
        <w:tc>
          <w:tcPr/>
          <w:p>
            <w:pPr>
              <w:pStyle w:val="Compact"/>
              <w:jc w:val="left"/>
            </w:pPr>
            <w:r>
              <w:t xml:space="preserve">Neither offers a formal guarantee</w:t>
            </w:r>
          </w:p>
        </w:tc>
        <w:tc>
          <w:tcPr/>
          <w:p>
            <w:pPr>
              <w:pStyle w:val="Compact"/>
              <w:jc w:val="left"/>
            </w:pPr>
            <w:r>
              <w:t xml:space="preserve">ColPali family: extensively trained and ViDoRe-benchmarked. AEGIS: structurally-verified mock only</w:t>
            </w:r>
          </w:p>
        </w:tc>
        <w:tc>
          <w:tcPr/>
          <w:p>
            <w:pPr>
              <w:pStyle w:val="Compact"/>
              <w:jc w:val="left"/>
            </w:pPr>
            <w:r>
              <w:t xml:space="preserve">Comparator substantially ahead</w:t>
            </w:r>
          </w:p>
        </w:tc>
      </w:tr>
      <w:tr>
        <w:tc>
          <w:tcPr/>
          <w:p>
            <w:pPr>
              <w:pStyle w:val="Compact"/>
              <w:jc w:val="left"/>
            </w:pPr>
            <w:r>
              <w:t xml:space="preserve">GraphRAG (adjacent paradigm)</w:t>
            </w:r>
          </w:p>
        </w:tc>
        <w:tc>
          <w:tcPr/>
          <w:p>
            <w:pPr>
              <w:pStyle w:val="Compact"/>
              <w:jc w:val="left"/>
            </w:pPr>
            <w:r>
              <w:t xml:space="preserve">Spatial reading-order graph (different problem)</w:t>
            </w:r>
          </w:p>
        </w:tc>
        <w:tc>
          <w:tcPr/>
          <w:p>
            <w:pPr>
              <w:pStyle w:val="Compact"/>
              <w:jc w:val="left"/>
            </w:pPr>
            <w:r>
              <w:t xml:space="preserve">Microsoft GraphRAG, Neo4j/FalkorDB</w:t>
            </w:r>
          </w:p>
        </w:tc>
        <w:tc>
          <w:tcPr/>
          <w:p>
            <w:pPr>
              <w:pStyle w:val="Compact"/>
              <w:jc w:val="left"/>
            </w:pPr>
            <w:r>
              <w:t xml:space="preserve">Not directly comparable — different problems</w:t>
            </w:r>
          </w:p>
        </w:tc>
        <w:tc>
          <w:tcPr/>
          <w:p>
            <w:pPr>
              <w:pStyle w:val="Compact"/>
              <w:jc w:val="left"/>
            </w:pPr>
            <w:r>
              <w:t xml:space="preserve">GraphRAG: published 3.4x accuracy gains on relational queries. AEGIS: no relational-query claim made</w:t>
            </w:r>
          </w:p>
        </w:tc>
        <w:tc>
          <w:tcPr/>
          <w:p>
            <w:pPr>
              <w:pStyle w:val="Compact"/>
              <w:jc w:val="left"/>
            </w:pPr>
            <w:r>
              <w:t xml:space="preserve">Complementary, not competing</w:t>
            </w:r>
          </w:p>
        </w:tc>
      </w:tr>
      <w:tr>
        <w:tc>
          <w:tcPr/>
          <w:p>
            <w:pPr>
              <w:pStyle w:val="Compact"/>
              <w:jc w:val="left"/>
            </w:pPr>
            <w:r>
              <w:t xml:space="preserve">Orchestration/platform</w:t>
            </w:r>
          </w:p>
        </w:tc>
        <w:tc>
          <w:tcPr/>
          <w:p>
            <w:pPr>
              <w:pStyle w:val="Compact"/>
              <w:jc w:val="left"/>
            </w:pPr>
            <w:r>
              <w:t xml:space="preserve">Pre-LLM OS framing (Sec. 4.1)</w:t>
            </w:r>
          </w:p>
        </w:tc>
        <w:tc>
          <w:tcPr/>
          <w:p>
            <w:pPr>
              <w:pStyle w:val="Compact"/>
              <w:jc w:val="left"/>
            </w:pPr>
            <w:r>
              <w:t xml:space="preserve">LangChain, LlamaIndex, RAGFlow</w:t>
            </w:r>
          </w:p>
        </w:tc>
        <w:tc>
          <w:tcPr/>
          <w:p>
            <w:pPr>
              <w:pStyle w:val="Compact"/>
              <w:jc w:val="left"/>
            </w:pPr>
            <w:r>
              <w:t xml:space="preserve">N/A — different architectural role</w:t>
            </w:r>
          </w:p>
        </w:tc>
        <w:tc>
          <w:tcPr/>
          <w:p>
            <w:pPr>
              <w:pStyle w:val="Compact"/>
              <w:jc w:val="left"/>
            </w:pPr>
            <w:r>
              <w:t xml:space="preserve">Frameworks: massive adoption (500+/160+ integrations). AEGIS: reference implementation only</w:t>
            </w:r>
          </w:p>
        </w:tc>
        <w:tc>
          <w:tcPr/>
          <w:p>
            <w:pPr>
              <w:pStyle w:val="Compact"/>
              <w:jc w:val="left"/>
            </w:pPr>
            <w:r>
              <w:t xml:space="preserve">Different market position, not a ranking</w:t>
            </w:r>
          </w:p>
        </w:tc>
      </w:tr>
    </w:tbl>
    <w:bookmarkStart w:id="82" w:name="reading-the-matrix"/>
    <w:p>
      <w:pPr>
        <w:pStyle w:val="Heading3"/>
      </w:pPr>
      <w:r>
        <w:t xml:space="preserve">12.1 Reading the Matrix</w:t>
      </w:r>
    </w:p>
    <w:p>
      <w:pPr>
        <w:pStyle w:val="FirstParagraph"/>
      </w:pPr>
      <w:r>
        <w:t xml:space="preserve">Three patterns emerge consistently across every row where AEGIS makes a formal claim (reading order, context budgeting): AEGIS’s mathematical guarantee is, on the evidence surveyed in this report, unmatched in kind by any comparator — no other system in this survey proves acyclicity, determinism, or an exact/bounded-approximate optimization guarantee for the corresponding component. And in every one of those same rows, the comparator with the weaker or absent formal guarantee has real-corpus or production-scale evidence AEGIS does not yet have. This is not a contradiction; it is the precise, repeated shape of the gap the Feasibility and Validation Report already identified from within AEGIS’s own architecture (Sections 2.1, 2.4 of that report), now confirmed from the outside by comparison against the field: AEGIS’s mathematics is ahead of the field, and the field’s empirical validation is ahead of AEGIS’s.</w:t>
      </w:r>
    </w:p>
    <w:bookmarkEnd w:id="82"/>
    <w:bookmarkEnd w:id="83"/>
    <w:bookmarkStart w:id="88" w:name="X696864a47403d5e769a23aea75bdc6f4ce935b8"/>
    <w:p>
      <w:pPr>
        <w:pStyle w:val="Heading2"/>
      </w:pPr>
      <w:r>
        <w:t xml:space="preserve">13. Strategic Implications and Recommendations</w:t>
      </w:r>
    </w:p>
    <w:bookmarkStart w:id="84" w:name="X45a1a2caa0d68ef05f440c63b4bbfec01747830"/>
    <w:p>
      <w:pPr>
        <w:pStyle w:val="Heading3"/>
      </w:pPr>
      <w:r>
        <w:t xml:space="preserve">13.1 Where AEGIS-DocIntel Is Genuinely Differentiated</w:t>
      </w:r>
    </w:p>
    <w:p>
      <w:pPr>
        <w:pStyle w:val="FirstParagraph"/>
      </w:pPr>
      <w:r>
        <w:t xml:space="preserve">Three findings from this report should be read as durable competitive positioning, not merely favorable framing. First, the exact 0/1 and multi-choice knapsack formulation with a formally proven approximation-bounded fallback (Section 6 of this report) has no full match among the systems surveyed — the closest production system (Databricks Mosaic) makes a different, fractional-allocation choice specifically incompatible with AEGIS’s protected-structure-preservation goal, and the closest academic match (arXiv 2606.02245) has no production deployment evidence. Second, the combination of a formally acyclic-by-construction reading-order graph with a deterministic recovery algorithm (Section 4 of this report) is architecturally validated by the existence of a closely analogous, actively-researched training-free graph paradigm in the 2025-2026 literature, while AEGIS’s specific formal proofs (Theorems 6.1, 6.2) remain unmatched in the sources surveyed. Third, no single system surveyed spans as many layers of the Section 2 taxonomy in one synchronized architecture — AEGIS’s breadth-in-one-system is a real structural distinction from the market’s prevailing pattern of layer specialists composed via integration.</w:t>
      </w:r>
    </w:p>
    <w:bookmarkEnd w:id="84"/>
    <w:bookmarkStart w:id="85" w:name="X57537f1e2fc2e29f716fadaf3218ed836263784"/>
    <w:p>
      <w:pPr>
        <w:pStyle w:val="Heading3"/>
      </w:pPr>
      <w:r>
        <w:t xml:space="preserve">13.2 Where AEGIS-DocIntel Should Prioritize Catching Up</w:t>
      </w:r>
    </w:p>
    <w:p>
      <w:pPr>
        <w:pStyle w:val="FirstParagraph"/>
      </w:pPr>
      <w:r>
        <w:t xml:space="preserve">Two findings should be read as concrete priorities, both already partially identified by the Feasibility and Validation Report but sharpened here by direct external comparison. First, the visual/multimodal retrieval gap (Section 8) is the most consequential single finding in this report: the ColPali/ColQwen family has established both a benchmark (ViDoRe) and a substantial performance lead over text-layout-fusion approaches for the specific task AEGIS’s semantic engine and image/flowchart encoders are meant to eventually perform, and AEGIS’s current structurally-verified-mock status (Feasibility Report risk R4, R5) means this gap is currently at its widest, not narrowing. Second, the reading-order and context-budgeting layers where AEGIS’s mathematics is strongest are simultaneously the layers with the thinnest real-corpus and production-scale evidence (Sections 4, 6) — closing this evidence gap, via the specific benchmarks this report has identified (OmniDocBench for reading order, a Databricks-comparable production load test for context budgeting), would convert AEGIS’s two strongest theoretical claims into its two strongest demonstrated claims, which is a higher-leverage use of validation effort than starting evidence-gathering from zero on a layer with no distinguishing theory to begin with.</w:t>
      </w:r>
    </w:p>
    <w:bookmarkEnd w:id="85"/>
    <w:bookmarkStart w:id="86" w:name="X5c88bb1d67e3d20bb8dcca1df83f950331664f3"/>
    <w:p>
      <w:pPr>
        <w:pStyle w:val="Heading3"/>
      </w:pPr>
      <w:r>
        <w:t xml:space="preserve">13.3 Recommended Extensions Surfaced by This Comparison</w:t>
      </w:r>
    </w:p>
    <w:p>
      <w:pPr>
        <w:pStyle w:val="FirstParagraph"/>
      </w:pPr>
      <w:r>
        <w:t xml:space="preserve">Four specific, architecturally-compatible extensions emerged directly from this report’s comparisons and are recommended for consideration alongside the Feasibility and Validation Report’s existing open-items register (that report’s Appendix A): (1) an Anthropic-style contextual-prefix step upstream of Section 8’s value scoring (Section 6.6 of this report), which requires no change to AEGIS’s core knapsack formulation; (2) a query-adaptive token-budget-sizing layer analogous to Databricks’ adaptive shaping, sitting alongside rather than replacing AEGIS’s Section 13 bandit router (Section 6.3 of this report); (3) an eighth, whole-page ColPali-style signal added to Section 15’s retrieval fusion rather than treating visual retrieval as a wholesale replacement for AEGIS’s element-decomposition pipeline (Section 8.3 of this report); and (4) a chunk-level retrieval-debugging visualization comparable to RAGFlow’s, as a concrete addition to AEGIS’s Section 19.5 observability plan (Section 10.2 of this report).</w:t>
      </w:r>
    </w:p>
    <w:bookmarkEnd w:id="86"/>
    <w:bookmarkStart w:id="87" w:name="recommended-positioning"/>
    <w:p>
      <w:pPr>
        <w:pStyle w:val="Heading3"/>
      </w:pPr>
      <w:r>
        <w:t xml:space="preserve">13.4 Recommended Positioning</w:t>
      </w:r>
    </w:p>
    <w:p>
      <w:pPr>
        <w:pStyle w:val="FirstParagraph"/>
      </w:pPr>
      <w:r>
        <w:t xml:space="preserve">Consistent with Section 10.4’s finding that AEGIS’s architectural role most closely resembles a foundational layer that could sit beneath an orchestration framework rather than compete with one, this report recommends that AEGIS’s go-to-market and integration strategy prioritize becoming a drop-in structural-processing layer compatible with LangChain and LlamaIndex’s existing connector patterns (the same role Docling and Unstructured already occupy successfully) over positioning AEGIS as a full orchestration-framework replacement. This is a narrower, more defensible initial claim than</w:t>
      </w:r>
      <w:r>
        <w:t xml:space="preserve"> </w:t>
      </w:r>
      <w:r>
        <w:t xml:space="preserve">“</w:t>
      </w:r>
      <w:r>
        <w:t xml:space="preserve">AEGIS replaces your RAG stack,</w:t>
      </w:r>
      <w:r>
        <w:t xml:space="preserve">”</w:t>
      </w:r>
      <w:r>
        <w:t xml:space="preserve"> </w:t>
      </w:r>
      <w:r>
        <w:t xml:space="preserve">and it is consistent with where this report’s evidence actually supports AEGIS’s strongest claims: the mathematical rigor of Sections 6 and 9, not the breadth of Section 4’s operating-system framing, is what no other surveyed system currently replicates, and a connector-first strategy lets that specific strength reach the existing user base of the dominant orchestration frameworks without requiring those users to first abandon their existing pipeline investment.</w:t>
      </w:r>
    </w:p>
    <w:bookmarkEnd w:id="87"/>
    <w:bookmarkEnd w:id="88"/>
    <w:bookmarkStart w:id="89" w:name="conclusion"/>
    <w:p>
      <w:pPr>
        <w:pStyle w:val="Heading2"/>
      </w:pPr>
      <w:r>
        <w:t xml:space="preserve">14. Conclusion</w:t>
      </w:r>
    </w:p>
    <w:p>
      <w:pPr>
        <w:pStyle w:val="FirstParagraph"/>
      </w:pPr>
      <w:r>
        <w:t xml:space="preserve">This report set out to place AEGIS-DocIntel/AMDI-OS against the actual systems it would be evaluated alongside in a real deployment decision, with the same evidentiary discipline the monograph and the Feasibility and Validation Report apply to AEGIS itself. The resulting picture is neither uniformly favorable nor uniformly critical, and that is itself the finding worth emphasizing: AEGIS’s core mathematical claims (reading-order acyclicity and determinism, exact and approximation-bounded context packing) are, on the evidence surveyed across document parsing, chunking, retrieval, and orchestration literature and products current as of July 2026, not matched in combination by any single comparator system found in this survey — while the real-corpus and production-scale evidence several of those comparator systems already have is, with equal consistency, ahead of where AEGIS’s own validation currently stands. Both halves of that finding are actionable: Section 13.2’s recommended next validation steps (an OmniDocBench-benchmarked reading-order run, a Databricks-comparable production load test, trained and ViDoRe-benchmarked multimodal encoders) are the specific, evidence-closing activities this comparison identifies as most likely to convert AEGIS’s theoretical advantages into demonstrated ones, and Section 13.3’s four recommended extensions are the specific architectural additions this comparison surfaces as compatible with, rather than disruptive to, AEGIS’s existing formal design.</w:t>
      </w:r>
    </w:p>
    <w:bookmarkEnd w:id="89"/>
    <w:bookmarkStart w:id="91" w:name="references"/>
    <w:p>
      <w:pPr>
        <w:pStyle w:val="Heading2"/>
      </w:pPr>
      <w:r>
        <w:t xml:space="preserve">References</w:t>
      </w:r>
    </w:p>
    <w:p>
      <w:pPr>
        <w:pStyle w:val="FirstParagraph"/>
      </w:pPr>
      <w:r>
        <w:t xml:space="preserve">The following sources were consulted in preparing this report. Dates reflect original publication or most recent update as identified in each source at the time of research (July 2026).</w:t>
      </w:r>
    </w:p>
    <w:p>
      <w:pPr>
        <w:numPr>
          <w:ilvl w:val="0"/>
          <w:numId w:val="1001"/>
        </w:numPr>
        <w:pStyle w:val="Compact"/>
      </w:pPr>
      <w:r>
        <w:t xml:space="preserve">LlamaIndex.</w:t>
      </w:r>
      <w:r>
        <w:t xml:space="preserve"> </w:t>
      </w:r>
      <w:r>
        <w:t xml:space="preserve">“</w:t>
      </w:r>
      <w:r>
        <w:t xml:space="preserve">Best Document AI Platforms (2026 Comparison).</w:t>
      </w:r>
      <w:r>
        <w:t xml:space="preserve">”</w:t>
      </w:r>
      <w:r>
        <w:t xml:space="preserve"> </w:t>
      </w:r>
      <w:r>
        <w:t xml:space="preserve">May 2026.</w:t>
      </w:r>
    </w:p>
    <w:p>
      <w:pPr>
        <w:numPr>
          <w:ilvl w:val="0"/>
          <w:numId w:val="1001"/>
        </w:numPr>
        <w:pStyle w:val="Compact"/>
      </w:pPr>
      <w:r>
        <w:t xml:space="preserve">Atlan.</w:t>
      </w:r>
      <w:r>
        <w:t xml:space="preserve"> </w:t>
      </w:r>
      <w:r>
        <w:t xml:space="preserve">“</w:t>
      </w:r>
      <w:r>
        <w:t xml:space="preserve">Enterprise RAG Platforms Comparison 2026: Full Tool Breakdown.</w:t>
      </w:r>
      <w:r>
        <w:t xml:space="preserve">”</w:t>
      </w:r>
      <w:r>
        <w:t xml:space="preserve"> </w:t>
      </w:r>
      <w:r>
        <w:t xml:space="preserve">April 2026.</w:t>
      </w:r>
    </w:p>
    <w:p>
      <w:pPr>
        <w:numPr>
          <w:ilvl w:val="0"/>
          <w:numId w:val="1001"/>
        </w:numPr>
        <w:pStyle w:val="Compact"/>
      </w:pPr>
      <w:r>
        <w:t xml:space="preserve">Mixpeek.</w:t>
      </w:r>
      <w:r>
        <w:t xml:space="preserve"> </w:t>
      </w:r>
      <w:r>
        <w:t xml:space="preserve">“</w:t>
      </w:r>
      <w:r>
        <w:t xml:space="preserve">Best Document Parsing Tools in 2026 - Tested &amp; Ranked.</w:t>
      </w:r>
      <w:r>
        <w:t xml:space="preserve">”</w:t>
      </w:r>
      <w:r>
        <w:t xml:space="preserve"> </w:t>
      </w:r>
      <w:r>
        <w:t xml:space="preserve">June 2026.</w:t>
      </w:r>
    </w:p>
    <w:p>
      <w:pPr>
        <w:numPr>
          <w:ilvl w:val="0"/>
          <w:numId w:val="1001"/>
        </w:numPr>
        <w:pStyle w:val="Compact"/>
      </w:pPr>
      <w:r>
        <w:t xml:space="preserve">Sphere Inc. </w:t>
      </w:r>
      <w:r>
        <w:t xml:space="preserve">“</w:t>
      </w:r>
      <w:r>
        <w:t xml:space="preserve">The 12 Best Enterprise RAG Platforms and Tools in 2026 — A Compliance-First Comparison.</w:t>
      </w:r>
      <w:r>
        <w:t xml:space="preserve">”</w:t>
      </w:r>
      <w:r>
        <w:t xml:space="preserve"> </w:t>
      </w:r>
      <w:r>
        <w:t xml:space="preserve">July 2026.</w:t>
      </w:r>
    </w:p>
    <w:p>
      <w:pPr>
        <w:numPr>
          <w:ilvl w:val="0"/>
          <w:numId w:val="1001"/>
        </w:numPr>
        <w:pStyle w:val="Compact"/>
      </w:pPr>
      <w:r>
        <w:t xml:space="preserve">LlamaIndex.</w:t>
      </w:r>
      <w:r>
        <w:t xml:space="preserve"> </w:t>
      </w:r>
      <w:r>
        <w:t xml:space="preserve">“</w:t>
      </w:r>
      <w:r>
        <w:t xml:space="preserve">Top 4 Unstructured.io Alternatives.</w:t>
      </w:r>
      <w:r>
        <w:t xml:space="preserve">”</w:t>
      </w:r>
      <w:r>
        <w:t xml:space="preserve"> </w:t>
      </w:r>
      <w:r>
        <w:t xml:space="preserve">May 2026.</w:t>
      </w:r>
    </w:p>
    <w:p>
      <w:pPr>
        <w:numPr>
          <w:ilvl w:val="0"/>
          <w:numId w:val="1001"/>
        </w:numPr>
        <w:pStyle w:val="Compact"/>
      </w:pPr>
      <w:r>
        <w:t xml:space="preserve">Vstorm.</w:t>
      </w:r>
      <w:r>
        <w:t xml:space="preserve"> </w:t>
      </w:r>
      <w:r>
        <w:t xml:space="preserve">“</w:t>
      </w:r>
      <w:r>
        <w:t xml:space="preserve">Top 10 document parsing services for RAG pipelines and LLM applications 2026.</w:t>
      </w:r>
      <w:r>
        <w:t xml:space="preserve">”</w:t>
      </w:r>
      <w:r>
        <w:t xml:space="preserve"> </w:t>
      </w:r>
      <w:r>
        <w:t xml:space="preserve">July 2026.</w:t>
      </w:r>
    </w:p>
    <w:p>
      <w:pPr>
        <w:numPr>
          <w:ilvl w:val="0"/>
          <w:numId w:val="1001"/>
        </w:numPr>
        <w:pStyle w:val="Compact"/>
      </w:pPr>
      <w:r>
        <w:t xml:space="preserve">Respan.ai.</w:t>
      </w:r>
      <w:r>
        <w:t xml:space="preserve"> </w:t>
      </w:r>
      <w:r>
        <w:t xml:space="preserve">“</w:t>
      </w:r>
      <w:r>
        <w:t xml:space="preserve">LlamaIndex vs Unstructured (2026).</w:t>
      </w:r>
      <w:r>
        <w:t xml:space="preserve">”</w:t>
      </w:r>
      <w:r>
        <w:t xml:space="preserve"> </w:t>
      </w:r>
      <w:r>
        <w:t xml:space="preserve">April 2026.</w:t>
      </w:r>
    </w:p>
    <w:p>
      <w:pPr>
        <w:numPr>
          <w:ilvl w:val="0"/>
          <w:numId w:val="1001"/>
        </w:numPr>
        <w:pStyle w:val="Compact"/>
      </w:pPr>
      <w:r>
        <w:t xml:space="preserve">LandingAI.</w:t>
      </w:r>
      <w:r>
        <w:t xml:space="preserve"> </w:t>
      </w:r>
      <w:r>
        <w:t xml:space="preserve">“</w:t>
      </w:r>
      <w:r>
        <w:t xml:space="preserve">Best Document Parsing APIs 2026.</w:t>
      </w:r>
      <w:r>
        <w:t xml:space="preserve">”</w:t>
      </w:r>
      <w:r>
        <w:t xml:space="preserve"> </w:t>
      </w:r>
      <w:r>
        <w:t xml:space="preserve">April 2026.</w:t>
      </w:r>
    </w:p>
    <w:p>
      <w:pPr>
        <w:numPr>
          <w:ilvl w:val="0"/>
          <w:numId w:val="1001"/>
        </w:numPr>
        <w:pStyle w:val="Compact"/>
      </w:pPr>
      <w:r>
        <w:t xml:space="preserve">Lido.</w:t>
      </w:r>
      <w:r>
        <w:t xml:space="preserve"> </w:t>
      </w:r>
      <w:r>
        <w:t xml:space="preserve">“</w:t>
      </w:r>
      <w:r>
        <w:t xml:space="preserve">Best Document AI Tools in 2026.</w:t>
      </w:r>
      <w:r>
        <w:t xml:space="preserve">”</w:t>
      </w:r>
      <w:r>
        <w:t xml:space="preserve"> </w:t>
      </w:r>
      <w:r>
        <w:t xml:space="preserve">July 2026.</w:t>
      </w:r>
    </w:p>
    <w:p>
      <w:pPr>
        <w:numPr>
          <w:ilvl w:val="0"/>
          <w:numId w:val="1001"/>
        </w:numPr>
        <w:pStyle w:val="Compact"/>
      </w:pPr>
      <w:r>
        <w:t xml:space="preserve">ImageToTable.ai.</w:t>
      </w:r>
      <w:r>
        <w:t xml:space="preserve"> </w:t>
      </w:r>
      <w:r>
        <w:t xml:space="preserve">“</w:t>
      </w:r>
      <w:r>
        <w:t xml:space="preserve">Google Vision vs AWS Textract vs Azure: Cloud OCR Comparison 2026.</w:t>
      </w:r>
      <w:r>
        <w:t xml:space="preserve">”</w:t>
      </w:r>
      <w:r>
        <w:t xml:space="preserve"> </w:t>
      </w:r>
      <w:r>
        <w:t xml:space="preserve">June 2026.</w:t>
      </w:r>
    </w:p>
    <w:p>
      <w:pPr>
        <w:numPr>
          <w:ilvl w:val="0"/>
          <w:numId w:val="1001"/>
        </w:numPr>
        <w:pStyle w:val="Compact"/>
      </w:pPr>
      <w:r>
        <w:t xml:space="preserve">BrainCuber.</w:t>
      </w:r>
      <w:r>
        <w:t xml:space="preserve"> </w:t>
      </w:r>
      <w:r>
        <w:t xml:space="preserve">“</w:t>
      </w:r>
      <w:r>
        <w:t xml:space="preserve">AWS Textract vs Google Document AI: Cost &amp; Accuracy (2026).</w:t>
      </w:r>
      <w:r>
        <w:t xml:space="preserve">”</w:t>
      </w:r>
      <w:r>
        <w:t xml:space="preserve"> </w:t>
      </w:r>
      <w:r>
        <w:t xml:space="preserve">March 2026.</w:t>
      </w:r>
    </w:p>
    <w:p>
      <w:pPr>
        <w:numPr>
          <w:ilvl w:val="0"/>
          <w:numId w:val="1001"/>
        </w:numPr>
        <w:pStyle w:val="Compact"/>
      </w:pPr>
      <w:r>
        <w:t xml:space="preserve">Automation Labz.</w:t>
      </w:r>
      <w:r>
        <w:t xml:space="preserve"> </w:t>
      </w:r>
      <w:r>
        <w:t xml:space="preserve">“</w:t>
      </w:r>
      <w:r>
        <w:t xml:space="preserve">AWS Textract vs Google Document AI: best OCR engine.</w:t>
      </w:r>
      <w:r>
        <w:t xml:space="preserve">”</w:t>
      </w:r>
      <w:r>
        <w:t xml:space="preserve"> </w:t>
      </w:r>
      <w:r>
        <w:t xml:space="preserve">May 2026.</w:t>
      </w:r>
    </w:p>
    <w:p>
      <w:pPr>
        <w:numPr>
          <w:ilvl w:val="0"/>
          <w:numId w:val="1001"/>
        </w:numPr>
        <w:pStyle w:val="Compact"/>
      </w:pPr>
      <w:r>
        <w:t xml:space="preserve">AIProductivity.ai.</w:t>
      </w:r>
      <w:r>
        <w:t xml:space="preserve"> </w:t>
      </w:r>
      <w:r>
        <w:t xml:space="preserve">“</w:t>
      </w:r>
      <w:r>
        <w:t xml:space="preserve">Google Document AI Review 2026: Free Plan Automation.</w:t>
      </w:r>
      <w:r>
        <w:t xml:space="preserve">”</w:t>
      </w:r>
      <w:r>
        <w:t xml:space="preserve"> </w:t>
      </w:r>
      <w:r>
        <w:t xml:space="preserve">Reverified June 2026.</w:t>
      </w:r>
    </w:p>
    <w:p>
      <w:pPr>
        <w:numPr>
          <w:ilvl w:val="0"/>
          <w:numId w:val="1001"/>
        </w:numPr>
        <w:pStyle w:val="Compact"/>
      </w:pPr>
      <w:r>
        <w:t xml:space="preserve">Firecrawl.</w:t>
      </w:r>
      <w:r>
        <w:t xml:space="preserve"> </w:t>
      </w:r>
      <w:r>
        <w:t xml:space="preserve">“</w:t>
      </w:r>
      <w:r>
        <w:t xml:space="preserve">Best Chunking Strategies for RAG (and LLMs) in 2026.</w:t>
      </w:r>
      <w:r>
        <w:t xml:space="preserve">”</w:t>
      </w:r>
      <w:r>
        <w:t xml:space="preserve"> </w:t>
      </w:r>
      <w:r>
        <w:t xml:space="preserve">October 2025.</w:t>
      </w:r>
    </w:p>
    <w:p>
      <w:pPr>
        <w:numPr>
          <w:ilvl w:val="0"/>
          <w:numId w:val="1001"/>
        </w:numPr>
        <w:pStyle w:val="Compact"/>
      </w:pPr>
      <w:r>
        <w:t xml:space="preserve">Unsiloed AI.</w:t>
      </w:r>
      <w:r>
        <w:t xml:space="preserve"> </w:t>
      </w:r>
      <w:r>
        <w:t xml:space="preserve">“</w:t>
      </w:r>
      <w:r>
        <w:t xml:space="preserve">Chunking Strategy for RAG Systems: A Technical Implementation Guide.</w:t>
      </w:r>
      <w:r>
        <w:t xml:space="preserve">”</w:t>
      </w:r>
      <w:r>
        <w:t xml:space="preserve"> </w:t>
      </w:r>
      <w:r>
        <w:t xml:space="preserve">May 2026.</w:t>
      </w:r>
    </w:p>
    <w:p>
      <w:pPr>
        <w:numPr>
          <w:ilvl w:val="0"/>
          <w:numId w:val="1001"/>
        </w:numPr>
        <w:pStyle w:val="Compact"/>
      </w:pPr>
      <w:r>
        <w:t xml:space="preserve">Markaicode.</w:t>
      </w:r>
      <w:r>
        <w:t xml:space="preserve"> </w:t>
      </w:r>
      <w:r>
        <w:t xml:space="preserve">“</w:t>
      </w:r>
      <w:r>
        <w:t xml:space="preserve">Manage RAG Context Windows: Chunk Strategy Guide 2026.</w:t>
      </w:r>
      <w:r>
        <w:t xml:space="preserve">”</w:t>
      </w:r>
      <w:r>
        <w:t xml:space="preserve"> </w:t>
      </w:r>
      <w:r>
        <w:t xml:space="preserve">March 2026.</w:t>
      </w:r>
    </w:p>
    <w:p>
      <w:pPr>
        <w:numPr>
          <w:ilvl w:val="0"/>
          <w:numId w:val="1001"/>
        </w:numPr>
        <w:pStyle w:val="Compact"/>
      </w:pPr>
      <w:r>
        <w:t xml:space="preserve">FutureAGI.</w:t>
      </w:r>
      <w:r>
        <w:t xml:space="preserve"> </w:t>
      </w:r>
      <w:r>
        <w:t xml:space="preserve">“</w:t>
      </w:r>
      <w:r>
        <w:t xml:space="preserve">Advanced RAG Chunking Techniques in 2026: Late, Semantic, and Parent-Child.</w:t>
      </w:r>
      <w:r>
        <w:t xml:space="preserve">”</w:t>
      </w:r>
      <w:r>
        <w:t xml:space="preserve"> </w:t>
      </w:r>
      <w:r>
        <w:t xml:space="preserve">May 2026.</w:t>
      </w:r>
    </w:p>
    <w:p>
      <w:pPr>
        <w:numPr>
          <w:ilvl w:val="0"/>
          <w:numId w:val="1001"/>
        </w:numPr>
        <w:pStyle w:val="Compact"/>
      </w:pPr>
      <w:r>
        <w:t xml:space="preserve">Databricks Mosaic Research.</w:t>
      </w:r>
      <w:r>
        <w:t xml:space="preserve"> </w:t>
      </w:r>
      <w:r>
        <w:t xml:space="preserve">“</w:t>
      </w:r>
      <w:r>
        <w:t xml:space="preserve">Optimal Context Budgeting for Retrieval-Augmented LLMs.</w:t>
      </w:r>
      <w:r>
        <w:t xml:space="preserve">”</w:t>
      </w:r>
      <w:r>
        <w:t xml:space="preserve"> </w:t>
      </w:r>
      <w:r>
        <w:t xml:space="preserve">April 2026, as reported in RagAboutIt,</w:t>
      </w:r>
      <w:r>
        <w:t xml:space="preserve"> </w:t>
      </w:r>
      <w:r>
        <w:t xml:space="preserve">“</w:t>
      </w:r>
      <w:r>
        <w:t xml:space="preserve">9 RAG Context Tricks That Cut Latency by 43%,</w:t>
      </w:r>
      <w:r>
        <w:t xml:space="preserve">”</w:t>
      </w:r>
      <w:r>
        <w:t xml:space="preserve"> </w:t>
      </w:r>
      <w:r>
        <w:t xml:space="preserve">June 2026.</w:t>
      </w:r>
    </w:p>
    <w:p>
      <w:pPr>
        <w:numPr>
          <w:ilvl w:val="0"/>
          <w:numId w:val="1001"/>
        </w:numPr>
        <w:pStyle w:val="Compact"/>
      </w:pPr>
      <w:r>
        <w:t xml:space="preserve">George, Sherine.</w:t>
      </w:r>
      <w:r>
        <w:t xml:space="preserve"> </w:t>
      </w:r>
      <w:r>
        <w:t xml:space="preserve">“</w:t>
      </w:r>
      <w:r>
        <w:t xml:space="preserve">Enhancing Retrieval-Augmented Generation with Two-Stage Retrieval: FlashRank Reranking and Query Expansion.</w:t>
      </w:r>
      <w:r>
        <w:t xml:space="preserve">”</w:t>
      </w:r>
      <w:r>
        <w:t xml:space="preserve"> </w:t>
      </w:r>
      <w:r>
        <w:t xml:space="preserve">arXiv:2601.03258.</w:t>
      </w:r>
    </w:p>
    <w:p>
      <w:pPr>
        <w:numPr>
          <w:ilvl w:val="0"/>
          <w:numId w:val="1001"/>
        </w:numPr>
        <w:pStyle w:val="Compact"/>
      </w:pPr>
      <w:r>
        <w:t xml:space="preserve">“</w:t>
      </w:r>
      <w:r>
        <w:t xml:space="preserve">When Knowledge Is Not Free: Cost-Aware Evidence Selection in Retrieval-Augmented Generation.</w:t>
      </w:r>
      <w:r>
        <w:t xml:space="preserve">”</w:t>
      </w:r>
      <w:r>
        <w:t xml:space="preserve"> </w:t>
      </w:r>
      <w:r>
        <w:t xml:space="preserve">arXiv:2606.02245.</w:t>
      </w:r>
    </w:p>
    <w:p>
      <w:pPr>
        <w:numPr>
          <w:ilvl w:val="0"/>
          <w:numId w:val="1001"/>
        </w:numPr>
        <w:pStyle w:val="Compact"/>
      </w:pPr>
      <w:r>
        <w:t xml:space="preserve">“</w:t>
      </w:r>
      <w:r>
        <w:t xml:space="preserve">AdaGReS: Adaptive Greedy Context Selection via Redundancy-Aware Scoring for Token-Budgeted RAG.</w:t>
      </w:r>
      <w:r>
        <w:t xml:space="preserve">”</w:t>
      </w:r>
      <w:r>
        <w:t xml:space="preserve"> </w:t>
      </w:r>
      <w:r>
        <w:t xml:space="preserve">arXiv:2512.25052.</w:t>
      </w:r>
    </w:p>
    <w:p>
      <w:pPr>
        <w:numPr>
          <w:ilvl w:val="0"/>
          <w:numId w:val="1001"/>
        </w:numPr>
        <w:pStyle w:val="Compact"/>
      </w:pPr>
      <w:r>
        <w:t xml:space="preserve">Faysse, M., Sibille, H., Wu, T., et al. </w:t>
      </w:r>
      <w:r>
        <w:t xml:space="preserve">“</w:t>
      </w:r>
      <w:r>
        <w:t xml:space="preserve">ColPali: Efficient Document Retrieval with Vision Language Models.</w:t>
      </w:r>
      <w:r>
        <w:t xml:space="preserve">”</w:t>
      </w:r>
      <w:r>
        <w:t xml:space="preserve"> </w:t>
      </w:r>
      <w:r>
        <w:t xml:space="preserve">arXiv:2407.01449, ICLR 2025.</w:t>
      </w:r>
    </w:p>
    <w:p>
      <w:pPr>
        <w:numPr>
          <w:ilvl w:val="0"/>
          <w:numId w:val="1001"/>
        </w:numPr>
        <w:pStyle w:val="Compact"/>
      </w:pPr>
      <w:r>
        <w:t xml:space="preserve">“</w:t>
      </w:r>
      <w:r>
        <w:t xml:space="preserve">Spatially-Grounded Document Retrieval via Patch-to-Region Relevance Propagation.</w:t>
      </w:r>
      <w:r>
        <w:t xml:space="preserve">”</w:t>
      </w:r>
      <w:r>
        <w:t xml:space="preserve"> </w:t>
      </w:r>
      <w:r>
        <w:t xml:space="preserve">arXiv:2512.02660.</w:t>
      </w:r>
    </w:p>
    <w:p>
      <w:pPr>
        <w:numPr>
          <w:ilvl w:val="0"/>
          <w:numId w:val="1001"/>
        </w:numPr>
        <w:pStyle w:val="Compact"/>
      </w:pPr>
      <w:r>
        <w:t xml:space="preserve">Spheron.</w:t>
      </w:r>
      <w:r>
        <w:t xml:space="preserve"> </w:t>
      </w:r>
      <w:r>
        <w:t xml:space="preserve">“</w:t>
      </w:r>
      <w:r>
        <w:t xml:space="preserve">ColPali and Multimodal Document RAG on GPU Cloud: Visual PDF Retrieval Without OCR (2026).</w:t>
      </w:r>
      <w:r>
        <w:t xml:space="preserve">”</w:t>
      </w:r>
      <w:r>
        <w:t xml:space="preserve"> </w:t>
      </w:r>
      <w:r>
        <w:t xml:space="preserve">April 2026.</w:t>
      </w:r>
    </w:p>
    <w:p>
      <w:pPr>
        <w:numPr>
          <w:ilvl w:val="0"/>
          <w:numId w:val="1001"/>
        </w:numPr>
        <w:pStyle w:val="Compact"/>
      </w:pPr>
      <w:r>
        <w:t xml:space="preserve">“</w:t>
      </w:r>
      <w:r>
        <w:t xml:space="preserve">NanoVDR: Distilling a 2B Vision-Language Retriever into a 70M Text-Only Encoder for Visual Document Retrieval.</w:t>
      </w:r>
      <w:r>
        <w:t xml:space="preserve">”</w:t>
      </w:r>
      <w:r>
        <w:t xml:space="preserve"> </w:t>
      </w:r>
      <w:r>
        <w:t xml:space="preserve">arXiv:2603.12824.</w:t>
      </w:r>
    </w:p>
    <w:p>
      <w:pPr>
        <w:numPr>
          <w:ilvl w:val="0"/>
          <w:numId w:val="1001"/>
        </w:numPr>
        <w:pStyle w:val="Compact"/>
      </w:pPr>
      <w:r>
        <w:t xml:space="preserve">“</w:t>
      </w:r>
      <w:r>
        <w:t xml:space="preserve">Qwen3-VL-Embedding and Qwen3-VL-Reranker: A Unified Framework for State-of-the-Art Multimodal Retrieval and Ranking.</w:t>
      </w:r>
      <w:r>
        <w:t xml:space="preserve">”</w:t>
      </w:r>
      <w:r>
        <w:t xml:space="preserve"> </w:t>
      </w:r>
      <w:r>
        <w:t xml:space="preserve">arXiv:2601.04720.</w:t>
      </w:r>
    </w:p>
    <w:p>
      <w:pPr>
        <w:numPr>
          <w:ilvl w:val="0"/>
          <w:numId w:val="1001"/>
        </w:numPr>
        <w:pStyle w:val="Compact"/>
      </w:pPr>
      <w:r>
        <w:t xml:space="preserve">Vespa Blog.</w:t>
      </w:r>
      <w:r>
        <w:t xml:space="preserve"> </w:t>
      </w:r>
      <w:r>
        <w:t xml:space="preserve">“</w:t>
      </w:r>
      <w:r>
        <w:t xml:space="preserve">PDF Retrieval with Vision Language Models.</w:t>
      </w:r>
      <w:r>
        <w:t xml:space="preserve">”</w:t>
      </w:r>
      <w:r>
        <w:t xml:space="preserve"> </w:t>
      </w:r>
      <w:r>
        <w:t xml:space="preserve">July 2024.</w:t>
      </w:r>
    </w:p>
    <w:p>
      <w:pPr>
        <w:numPr>
          <w:ilvl w:val="0"/>
          <w:numId w:val="1001"/>
        </w:numPr>
        <w:pStyle w:val="Compact"/>
      </w:pPr>
      <w:r>
        <w:t xml:space="preserve">Atlan.</w:t>
      </w:r>
      <w:r>
        <w:t xml:space="preserve"> </w:t>
      </w:r>
      <w:r>
        <w:t xml:space="preserve">“</w:t>
      </w:r>
      <w:r>
        <w:t xml:space="preserve">Knowledge Graph vs RAG: When Each One Wins (2026).</w:t>
      </w:r>
      <w:r>
        <w:t xml:space="preserve">”</w:t>
      </w:r>
      <w:r>
        <w:t xml:space="preserve"> </w:t>
      </w:r>
      <w:r>
        <w:t xml:space="preserve">June 2026.</w:t>
      </w:r>
    </w:p>
    <w:p>
      <w:pPr>
        <w:numPr>
          <w:ilvl w:val="0"/>
          <w:numId w:val="1001"/>
        </w:numPr>
        <w:pStyle w:val="Compact"/>
      </w:pPr>
      <w:r>
        <w:t xml:space="preserve">Medium (AK).</w:t>
      </w:r>
      <w:r>
        <w:t xml:space="preserve"> </w:t>
      </w:r>
      <w:r>
        <w:t xml:space="preserve">“</w:t>
      </w:r>
      <w:r>
        <w:t xml:space="preserve">Graph RAG vs. Vector RAG: Choosing the Right Architecture for Enterprise Use Cases.</w:t>
      </w:r>
      <w:r>
        <w:t xml:space="preserve">”</w:t>
      </w:r>
      <w:r>
        <w:t xml:space="preserve"> </w:t>
      </w:r>
      <w:r>
        <w:t xml:space="preserve">March 2026.</w:t>
      </w:r>
    </w:p>
    <w:p>
      <w:pPr>
        <w:numPr>
          <w:ilvl w:val="0"/>
          <w:numId w:val="1001"/>
        </w:numPr>
        <w:pStyle w:val="Compact"/>
      </w:pPr>
      <w:r>
        <w:t xml:space="preserve">Alok.</w:t>
      </w:r>
      <w:r>
        <w:t xml:space="preserve"> </w:t>
      </w:r>
      <w:r>
        <w:t xml:space="preserve">“</w:t>
      </w:r>
      <w:r>
        <w:t xml:space="preserve">GraphRAG vs. RAG: When Knowledge Graphs Earn Their Complexity.</w:t>
      </w:r>
      <w:r>
        <w:t xml:space="preserve">”</w:t>
      </w:r>
      <w:r>
        <w:t xml:space="preserve"> </w:t>
      </w:r>
      <w:r>
        <w:t xml:space="preserve">June 2026.</w:t>
      </w:r>
    </w:p>
    <w:p>
      <w:pPr>
        <w:numPr>
          <w:ilvl w:val="0"/>
          <w:numId w:val="1001"/>
        </w:numPr>
        <w:pStyle w:val="Compact"/>
      </w:pPr>
      <w:r>
        <w:t xml:space="preserve">Meilisearch.</w:t>
      </w:r>
      <w:r>
        <w:t xml:space="preserve"> </w:t>
      </w:r>
      <w:r>
        <w:t xml:space="preserve">“</w:t>
      </w:r>
      <w:r>
        <w:t xml:space="preserve">GraphRAG vs. Vector RAG: Side-by-side comparison guide.</w:t>
      </w:r>
      <w:r>
        <w:t xml:space="preserve">”</w:t>
      </w:r>
      <w:r>
        <w:t xml:space="preserve"> </w:t>
      </w:r>
      <w:r>
        <w:t xml:space="preserve">October 2025.</w:t>
      </w:r>
    </w:p>
    <w:p>
      <w:pPr>
        <w:numPr>
          <w:ilvl w:val="0"/>
          <w:numId w:val="1001"/>
        </w:numPr>
        <w:pStyle w:val="Compact"/>
      </w:pPr>
      <w:r>
        <w:t xml:space="preserve">Casys.ai.</w:t>
      </w:r>
      <w:r>
        <w:t xml:space="preserve"> </w:t>
      </w:r>
      <w:r>
        <w:t xml:space="preserve">“</w:t>
      </w:r>
      <w:r>
        <w:t xml:space="preserve">GraphRAG vs Vector RAG: A Technical Comparison (Including Microsoft GraphRAG).</w:t>
      </w:r>
      <w:r>
        <w:t xml:space="preserve">”</w:t>
      </w:r>
      <w:r>
        <w:t xml:space="preserve"> </w:t>
      </w:r>
      <w:r>
        <w:t xml:space="preserve">February 2026.</w:t>
      </w:r>
    </w:p>
    <w:p>
      <w:pPr>
        <w:numPr>
          <w:ilvl w:val="0"/>
          <w:numId w:val="1001"/>
        </w:numPr>
        <w:pStyle w:val="Compact"/>
      </w:pPr>
      <w:r>
        <w:t xml:space="preserve">“</w:t>
      </w:r>
      <w:r>
        <w:t xml:space="preserve">Reading order detection in visually-rich documents with multi-modal layout-aware relation prediction (MLARP).</w:t>
      </w:r>
      <w:r>
        <w:t xml:space="preserve">”</w:t>
      </w:r>
      <w:r>
        <w:t xml:space="preserve"> </w:t>
      </w:r>
      <w:r>
        <w:t xml:space="preserve">ScienceDirect, February 2024.</w:t>
      </w:r>
    </w:p>
    <w:p>
      <w:pPr>
        <w:numPr>
          <w:ilvl w:val="0"/>
          <w:numId w:val="1001"/>
        </w:numPr>
        <w:pStyle w:val="Compact"/>
      </w:pPr>
      <w:r>
        <w:t xml:space="preserve">“</w:t>
      </w:r>
      <w:r>
        <w:t xml:space="preserve">Reading Order Inference for Complex Document Layouts.</w:t>
      </w:r>
      <w:r>
        <w:t xml:space="preserve">”</w:t>
      </w:r>
      <w:r>
        <w:t xml:space="preserve"> </w:t>
      </w:r>
      <w:r>
        <w:t xml:space="preserve">arXiv:2607.01018, July 2026.</w:t>
      </w:r>
    </w:p>
    <w:p>
      <w:pPr>
        <w:numPr>
          <w:ilvl w:val="0"/>
          <w:numId w:val="1001"/>
        </w:numPr>
        <w:pStyle w:val="Compact"/>
      </w:pPr>
      <w:r>
        <w:t xml:space="preserve">“</w:t>
      </w:r>
      <w:r>
        <w:t xml:space="preserve">XY-Cut++: Advanced Layout Ordering via Hierarchical Mask Mechanism on a Novel Benchmark.</w:t>
      </w:r>
      <w:r>
        <w:t xml:space="preserve">”</w:t>
      </w:r>
      <w:r>
        <w:t xml:space="preserve"> </w:t>
      </w:r>
      <w:r>
        <w:t xml:space="preserve">arXiv:2504.10258.</w:t>
      </w:r>
    </w:p>
    <w:p>
      <w:pPr>
        <w:numPr>
          <w:ilvl w:val="0"/>
          <w:numId w:val="1001"/>
        </w:numPr>
        <w:pStyle w:val="Compact"/>
      </w:pPr>
      <w:r>
        <w:t xml:space="preserve">“</w:t>
      </w:r>
      <w:r>
        <w:t xml:space="preserve">Parser-Oriented Structural Refinement for a Stable Layout Interface in Document Parsing.</w:t>
      </w:r>
      <w:r>
        <w:t xml:space="preserve">”</w:t>
      </w:r>
      <w:r>
        <w:t xml:space="preserve"> </w:t>
      </w:r>
      <w:r>
        <w:t xml:space="preserve">arXiv:2604.02692.</w:t>
      </w:r>
    </w:p>
    <w:p>
      <w:pPr>
        <w:numPr>
          <w:ilvl w:val="0"/>
          <w:numId w:val="1001"/>
        </w:numPr>
        <w:pStyle w:val="Compact"/>
      </w:pPr>
      <w:r>
        <w:t xml:space="preserve">“</w:t>
      </w:r>
      <w:r>
        <w:t xml:space="preserve">End-to-End Text Line Detection and Ordering.</w:t>
      </w:r>
      <w:r>
        <w:t xml:space="preserve">”</w:t>
      </w:r>
      <w:r>
        <w:t xml:space="preserve"> </w:t>
      </w:r>
      <w:r>
        <w:t xml:space="preserve">arXiv:2606.04166.</w:t>
      </w:r>
    </w:p>
    <w:p>
      <w:pPr>
        <w:numPr>
          <w:ilvl w:val="0"/>
          <w:numId w:val="1001"/>
        </w:numPr>
        <w:pStyle w:val="Compact"/>
      </w:pPr>
      <w:r>
        <w:t xml:space="preserve">Firecrawl.</w:t>
      </w:r>
      <w:r>
        <w:t xml:space="preserve"> </w:t>
      </w:r>
      <w:r>
        <w:t xml:space="preserve">“</w:t>
      </w:r>
      <w:r>
        <w:t xml:space="preserve">Best PDF Parsers for AI and RAG Workflows in 2026.</w:t>
      </w:r>
      <w:r>
        <w:t xml:space="preserve">”</w:t>
      </w:r>
      <w:r>
        <w:t xml:space="preserve"> </w:t>
      </w:r>
      <w:r>
        <w:t xml:space="preserve">April 2026.</w:t>
      </w:r>
    </w:p>
    <w:p>
      <w:pPr>
        <w:numPr>
          <w:ilvl w:val="0"/>
          <w:numId w:val="1001"/>
        </w:numPr>
        <w:pStyle w:val="Compact"/>
      </w:pPr>
      <w:r>
        <w:t xml:space="preserve">Medium (Sweety Tripathi).</w:t>
      </w:r>
      <w:r>
        <w:t xml:space="preserve"> </w:t>
      </w:r>
      <w:r>
        <w:t xml:space="preserve">“</w:t>
      </w:r>
      <w:r>
        <w:t xml:space="preserve">Contextual Retrieval: Anthropic’s Method for Cutting RAG Failures.</w:t>
      </w:r>
      <w:r>
        <w:t xml:space="preserve">”</w:t>
      </w:r>
      <w:r>
        <w:t xml:space="preserve"> </w:t>
      </w:r>
      <w:r>
        <w:t xml:space="preserve">July 2026.</w:t>
      </w:r>
    </w:p>
    <w:p>
      <w:pPr>
        <w:numPr>
          <w:ilvl w:val="0"/>
          <w:numId w:val="1001"/>
        </w:numPr>
        <w:pStyle w:val="Compact"/>
      </w:pPr>
      <w:r>
        <w:t xml:space="preserve">Box Blog.</w:t>
      </w:r>
      <w:r>
        <w:t xml:space="preserve"> </w:t>
      </w:r>
      <w:r>
        <w:t xml:space="preserve">“</w:t>
      </w:r>
      <w:r>
        <w:t xml:space="preserve">Contextual Retrieval in Retrieval-Augmented Generation (RAG).</w:t>
      </w:r>
      <w:r>
        <w:t xml:space="preserve">”</w:t>
      </w:r>
      <w:r>
        <w:t xml:space="preserve"> </w:t>
      </w:r>
      <w:r>
        <w:t xml:space="preserve">August 2025.</w:t>
      </w:r>
    </w:p>
    <w:p>
      <w:pPr>
        <w:numPr>
          <w:ilvl w:val="0"/>
          <w:numId w:val="1001"/>
        </w:numPr>
        <w:pStyle w:val="Compact"/>
      </w:pPr>
      <w:r>
        <w:t xml:space="preserve">Unite.AI.</w:t>
      </w:r>
      <w:r>
        <w:t xml:space="preserve"> </w:t>
      </w:r>
      <w:r>
        <w:t xml:space="preserve">“</w:t>
      </w:r>
      <w:r>
        <w:t xml:space="preserve">The Real Reason Your RAG Pipeline Keeps Hallucinating.</w:t>
      </w:r>
      <w:r>
        <w:t xml:space="preserve">”</w:t>
      </w:r>
      <w:r>
        <w:t xml:space="preserve"> </w:t>
      </w:r>
      <w:r>
        <w:t xml:space="preserve">July 2026.</w:t>
      </w:r>
    </w:p>
    <w:p>
      <w:pPr>
        <w:numPr>
          <w:ilvl w:val="0"/>
          <w:numId w:val="1001"/>
        </w:numPr>
        <w:pStyle w:val="Compact"/>
      </w:pPr>
      <w:r>
        <w:t xml:space="preserve">DataCamp.</w:t>
      </w:r>
      <w:r>
        <w:t xml:space="preserve"> </w:t>
      </w:r>
      <w:r>
        <w:t xml:space="preserve">“</w:t>
      </w:r>
      <w:r>
        <w:t xml:space="preserve">Anthropic’s Contextual Retrieval: A Guide With Implementation.</w:t>
      </w:r>
      <w:r>
        <w:t xml:space="preserve">”</w:t>
      </w:r>
      <w:r>
        <w:t xml:space="preserve"> </w:t>
      </w:r>
      <w:r>
        <w:t xml:space="preserve">November 2024.</w:t>
      </w:r>
    </w:p>
    <w:p>
      <w:pPr>
        <w:numPr>
          <w:ilvl w:val="0"/>
          <w:numId w:val="1001"/>
        </w:numPr>
        <w:pStyle w:val="Compact"/>
      </w:pPr>
      <w:r>
        <w:t xml:space="preserve">LLM Stats.</w:t>
      </w:r>
      <w:r>
        <w:t xml:space="preserve"> </w:t>
      </w:r>
      <w:r>
        <w:t xml:space="preserve">“</w:t>
      </w:r>
      <w:r>
        <w:t xml:space="preserve">DocVQA Leaderboard</w:t>
      </w:r>
      <w:r>
        <w:t xml:space="preserve">”</w:t>
      </w:r>
      <w:r>
        <w:t xml:space="preserve"> </w:t>
      </w:r>
      <w:r>
        <w:t xml:space="preserve">and</w:t>
      </w:r>
      <w:r>
        <w:t xml:space="preserve"> </w:t>
      </w:r>
      <w:r>
        <w:t xml:space="preserve">“</w:t>
      </w:r>
      <w:r>
        <w:t xml:space="preserve">DocVQAtest Benchmark Leaderboard.</w:t>
      </w:r>
      <w:r>
        <w:t xml:space="preserve">”</w:t>
      </w:r>
      <w:r>
        <w:t xml:space="preserve"> </w:t>
      </w:r>
      <w:r>
        <w:t xml:space="preserve">July 2026.</w:t>
      </w:r>
    </w:p>
    <w:p>
      <w:pPr>
        <w:numPr>
          <w:ilvl w:val="0"/>
          <w:numId w:val="1001"/>
        </w:numPr>
        <w:pStyle w:val="Compact"/>
      </w:pPr>
      <w:r>
        <w:t xml:space="preserve">CodeSOTA.</w:t>
      </w:r>
      <w:r>
        <w:t xml:space="preserve"> </w:t>
      </w:r>
      <w:r>
        <w:t xml:space="preserve">“</w:t>
      </w:r>
      <w:r>
        <w:t xml:space="preserve">DocVQA Leaderboard.</w:t>
      </w:r>
      <w:r>
        <w:t xml:space="preserve">”</w:t>
      </w:r>
      <w:r>
        <w:t xml:space="preserve"> </w:t>
      </w:r>
      <w:r>
        <w:t xml:space="preserve">2026.</w:t>
      </w:r>
    </w:p>
    <w:p>
      <w:pPr>
        <w:numPr>
          <w:ilvl w:val="0"/>
          <w:numId w:val="1001"/>
        </w:numPr>
        <w:pStyle w:val="Compact"/>
      </w:pPr>
      <w:r>
        <w:t xml:space="preserve">Unsiloed AI.</w:t>
      </w:r>
      <w:r>
        <w:t xml:space="preserve"> </w:t>
      </w:r>
      <w:r>
        <w:t xml:space="preserve">“</w:t>
      </w:r>
      <w:r>
        <w:t xml:space="preserve">Best Layout-Aware OCR Solutions for Complex Documents.</w:t>
      </w:r>
      <w:r>
        <w:t xml:space="preserve">”</w:t>
      </w:r>
      <w:r>
        <w:t xml:space="preserve"> </w:t>
      </w:r>
      <w:r>
        <w:t xml:space="preserve">April 2026.</w:t>
      </w:r>
    </w:p>
    <w:p>
      <w:pPr>
        <w:numPr>
          <w:ilvl w:val="0"/>
          <w:numId w:val="1001"/>
        </w:numPr>
        <w:pStyle w:val="Compact"/>
      </w:pPr>
      <w:r>
        <w:t xml:space="preserve">“</w:t>
      </w:r>
      <w:r>
        <w:t xml:space="preserve">Docling Technical Report.</w:t>
      </w:r>
      <w:r>
        <w:t xml:space="preserve">”</w:t>
      </w:r>
      <w:r>
        <w:t xml:space="preserve"> </w:t>
      </w:r>
      <w:r>
        <w:t xml:space="preserve">arXiv:2501.17887.</w:t>
      </w:r>
    </w:p>
    <w:p>
      <w:pPr>
        <w:numPr>
          <w:ilvl w:val="0"/>
          <w:numId w:val="1001"/>
        </w:numPr>
        <w:pStyle w:val="Compact"/>
      </w:pPr>
      <w:r>
        <w:t xml:space="preserve">InfoWorld.</w:t>
      </w:r>
      <w:r>
        <w:t xml:space="preserve"> </w:t>
      </w:r>
      <w:r>
        <w:t xml:space="preserve">“</w:t>
      </w:r>
      <w:r>
        <w:t xml:space="preserve">Docling: An open-source tool kit for advanced document processing.</w:t>
      </w:r>
      <w:r>
        <w:t xml:space="preserve">”</w:t>
      </w:r>
      <w:r>
        <w:t xml:space="preserve"> </w:t>
      </w:r>
      <w:r>
        <w:t xml:space="preserve">May 2025.</w:t>
      </w:r>
    </w:p>
    <w:p>
      <w:pPr>
        <w:numPr>
          <w:ilvl w:val="0"/>
          <w:numId w:val="1001"/>
        </w:numPr>
        <w:pStyle w:val="Compact"/>
      </w:pPr>
      <w:r>
        <w:t xml:space="preserve">Medium (Alain Airom).</w:t>
      </w:r>
      <w:r>
        <w:t xml:space="preserve"> </w:t>
      </w:r>
      <w:r>
        <w:t xml:space="preserve">“</w:t>
      </w:r>
      <w:r>
        <w:t xml:space="preserve">Behind the scenes of Docling PDF Parsing.</w:t>
      </w:r>
      <w:r>
        <w:t xml:space="preserve">”</w:t>
      </w:r>
      <w:r>
        <w:t xml:space="preserve"> </w:t>
      </w:r>
      <w:r>
        <w:t xml:space="preserve">January 2026.</w:t>
      </w:r>
    </w:p>
    <w:p>
      <w:pPr>
        <w:numPr>
          <w:ilvl w:val="0"/>
          <w:numId w:val="1001"/>
        </w:numPr>
        <w:pStyle w:val="Compact"/>
      </w:pPr>
      <w:r>
        <w:t xml:space="preserve">Medium (Mustafa Genc).</w:t>
      </w:r>
      <w:r>
        <w:t xml:space="preserve"> </w:t>
      </w:r>
      <w:r>
        <w:t xml:space="preserve">“</w:t>
      </w:r>
      <w:r>
        <w:t xml:space="preserve">Revolutionizing Document Intelligence: The Strategic Advantage of IBM Granite-Docling VLM.</w:t>
      </w:r>
      <w:r>
        <w:t xml:space="preserve">”</w:t>
      </w:r>
      <w:r>
        <w:t xml:space="preserve"> </w:t>
      </w:r>
      <w:r>
        <w:t xml:space="preserve">November 2025.</w:t>
      </w:r>
    </w:p>
    <w:p>
      <w:pPr>
        <w:numPr>
          <w:ilvl w:val="0"/>
          <w:numId w:val="1001"/>
        </w:numPr>
        <w:pStyle w:val="Compact"/>
      </w:pPr>
      <w:r>
        <w:t xml:space="preserve">IDP-Software.</w:t>
      </w:r>
      <w:r>
        <w:t xml:space="preserve"> </w:t>
      </w:r>
      <w:r>
        <w:t xml:space="preserve">“</w:t>
      </w:r>
      <w:r>
        <w:t xml:space="preserve">Docling: IBM Open-Source Document Processing.</w:t>
      </w:r>
      <w:r>
        <w:t xml:space="preserve">”</w:t>
      </w:r>
      <w:r>
        <w:t xml:space="preserve"> </w:t>
      </w:r>
      <w:r>
        <w:t xml:space="preserve">April 2026.</w:t>
      </w:r>
    </w:p>
    <w:p>
      <w:pPr>
        <w:numPr>
          <w:ilvl w:val="0"/>
          <w:numId w:val="1001"/>
        </w:numPr>
        <w:pStyle w:val="Compact"/>
      </w:pPr>
      <w:r>
        <w:t xml:space="preserve">Pfitzmann, B., Auer, C., Dolfi, M., Nassar, A.S., Staar, P.</w:t>
      </w:r>
      <w:r>
        <w:t xml:space="preserve"> </w:t>
      </w:r>
      <w:r>
        <w:t xml:space="preserve">“</w:t>
      </w:r>
      <w:r>
        <w:t xml:space="preserve">DocLayNet: A Large Human-Annotated Dataset for Document-Layout Analysis.</w:t>
      </w:r>
      <w:r>
        <w:t xml:space="preserve">”</w:t>
      </w:r>
      <w:r>
        <w:t xml:space="preserve"> </w:t>
      </w:r>
      <w:r>
        <w:t xml:space="preserve">arXiv:2206.01062.</w:t>
      </w:r>
    </w:p>
    <w:p>
      <w:pPr>
        <w:numPr>
          <w:ilvl w:val="0"/>
          <w:numId w:val="1001"/>
        </w:numPr>
        <w:pStyle w:val="Compact"/>
      </w:pPr>
      <w:r>
        <w:t xml:space="preserve">“</w:t>
      </w:r>
      <w:r>
        <w:t xml:space="preserve">RT-DocLayout: Real-Time End-to-End Document Layout Analysis with Reading Order in the Wild.</w:t>
      </w:r>
      <w:r>
        <w:t xml:space="preserve">”</w:t>
      </w:r>
      <w:r>
        <w:t xml:space="preserve"> </w:t>
      </w:r>
      <w:r>
        <w:t xml:space="preserve">arXiv:2606.23344.</w:t>
      </w:r>
    </w:p>
    <w:bookmarkStart w:id="90" w:name="a-note-on-source-currency"/>
    <w:p>
      <w:pPr>
        <w:pStyle w:val="Heading3"/>
      </w:pPr>
      <w:r>
        <w:t xml:space="preserve">A Note on Source Currency</w:t>
      </w:r>
    </w:p>
    <w:p>
      <w:pPr>
        <w:pStyle w:val="FirstParagraph"/>
      </w:pPr>
      <w:r>
        <w:t xml:space="preserve">Several sources cited in this report describe developments dated to mid-2026, at or near this report’s own preparation date; this is a reflection of how fast-moving the document-intelligence and RAG fields currently are rather than a sign of insufficiently vetted sourcing. Where two sources disagreed on a specific figure (for example, the conflicting chunking-strategy benchmark results noted in Section 5.2), this report has surfaced the disagreement rather than silently selecting one figure, consistent with the evidentiary standard established across this body of work.</w:t>
      </w:r>
    </w:p>
    <w:bookmarkEnd w:id="90"/>
    <w:bookmarkEnd w:id="91"/>
    <w:bookmarkEnd w:id="92"/>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sz w:val="23"/>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00" w:before="36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200" w:before="36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AEGIS-DocIntel / AMDI-OS</dc:title>
  <dc:creator>Sahil Khutey, with AI Research Collaborator (Gensouls Lab)</dc:creator>
  <cp:keywords/>
  <dcterms:created xsi:type="dcterms:W3CDTF">2026-07-18T05:09:38Z</dcterms:created>
  <dcterms:modified xsi:type="dcterms:W3CDTF">2026-07-18T05:09:38Z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Comparative Landscape Report: Workflows, Models, and Systems in Document Intelligence and RAG</vt:lpwstr>
  </property>
</Properties>
</file>