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AEGIS-DocIntel</w:t>
      </w:r>
      <w:r>
        <w:t xml:space="preserve"> </w:t>
      </w:r>
      <w:r>
        <w:t xml:space="preserve">/</w:t>
      </w:r>
      <w:r>
        <w:t xml:space="preserve"> </w:t>
      </w:r>
      <w:r>
        <w:t xml:space="preserve">AMDI-OS</w:t>
      </w:r>
    </w:p>
    <w:p>
      <w:pPr>
        <w:pStyle w:val="Subtitle"/>
      </w:pPr>
      <w:r>
        <w:t xml:space="preserve">Implementation</w:t>
      </w:r>
      <w:r>
        <w:t xml:space="preserve"> </w:t>
      </w:r>
      <w:r>
        <w:t xml:space="preserve">and</w:t>
      </w:r>
      <w:r>
        <w:t xml:space="preserve"> </w:t>
      </w:r>
      <w:r>
        <w:t xml:space="preserve">Credibility</w:t>
      </w:r>
      <w:r>
        <w:t xml:space="preserve"> </w:t>
      </w:r>
      <w:r>
        <w:t xml:space="preserve">Test</w:t>
      </w:r>
      <w:r>
        <w:t xml:space="preserve"> </w:t>
      </w:r>
      <w:r>
        <w:t xml:space="preserve">Cases</w:t>
      </w:r>
    </w:p>
    <w:p>
      <w:pPr>
        <w:pStyle w:val="Author"/>
      </w:pPr>
      <w:r>
        <w:t xml:space="preserve">Sahil</w:t>
      </w:r>
      <w:r>
        <w:t xml:space="preserve"> </w:t>
      </w:r>
      <w:r>
        <w:t xml:space="preserve">Khutey,</w:t>
      </w:r>
      <w:r>
        <w:t xml:space="preserve"> </w:t>
      </w:r>
      <w:r>
        <w:t xml:space="preserve">with</w:t>
      </w:r>
      <w:r>
        <w:t xml:space="preserve"> </w:t>
      </w:r>
      <w:r>
        <w:t xml:space="preserve">AI</w:t>
      </w:r>
      <w:r>
        <w:t xml:space="preserve"> </w:t>
      </w:r>
      <w:r>
        <w:t xml:space="preserve">Research</w:t>
      </w:r>
      <w:r>
        <w:t xml:space="preserve"> </w:t>
      </w:r>
      <w:r>
        <w:t xml:space="preserve">Collaborator</w:t>
      </w:r>
      <w:r>
        <w:t xml:space="preserve"> </w:t>
      </w:r>
      <w:r>
        <w:t xml:space="preserve">(Gensouls</w:t>
      </w:r>
      <w:r>
        <w:t xml:space="preserve"> </w:t>
      </w:r>
      <w:r>
        <w:t xml:space="preserve">Lab)</w:t>
      </w:r>
    </w:p>
    <w:p>
      <w:pPr>
        <w:pStyle w:val="Date"/>
      </w:pPr>
      <w:r>
        <w:t xml:space="preserve">July</w:t>
      </w:r>
      <w:r>
        <w:t xml:space="preserve"> </w:t>
      </w:r>
      <w:r>
        <w:t xml:space="preserve">2026</w:t>
      </w:r>
    </w:p>
    <w:bookmarkStart w:id="20" w:name="table-of-contents"/>
    <w:p>
      <w:pPr>
        <w:pStyle w:val="Heading1"/>
      </w:pPr>
      <w:r>
        <w:t xml:space="preserve">Table of Contents</w:t>
      </w:r>
    </w:p>
    <w:p>
      <w:pPr>
        <w:pStyle w:val="FirstParagraph"/>
      </w:pPr>
      <w:r>
        <w:t xml:space="preserve">Purpose of This Document ………………………………………………………. 3</w:t>
      </w:r>
      <w:r>
        <w:br/>
      </w:r>
      <w:r>
        <w:t xml:space="preserve">How to Read a Test Case ……………………………………………………….. 4</w:t>
      </w:r>
      <w:r>
        <w:br/>
      </w:r>
      <w:r>
        <w:t xml:space="preserve">Credibility Standard Applied …………………………………………………… 5</w:t>
      </w:r>
      <w:r>
        <w:br/>
      </w:r>
      <w:r>
        <w:t xml:space="preserve">2. Test Suite: Reading-Order Recovery …………………………………………… 6</w:t>
      </w:r>
      <w:r>
        <w:br/>
      </w:r>
      <w:r>
        <w:t xml:space="preserve">3. Test Suite: Layout-Aware Elastic Chunking …………………………………….. 8</w:t>
      </w:r>
      <w:r>
        <w:br/>
      </w:r>
      <w:r>
        <w:t xml:space="preserve">4. Test Suite: Budget-Aware Context Packing ……………………………………… 11</w:t>
      </w:r>
      <w:r>
        <w:br/>
      </w:r>
      <w:r>
        <w:t xml:space="preserve">5. Test Suite: Extension Components (Multimodal and Large-Scale) …………………… 14</w:t>
      </w:r>
      <w:r>
        <w:br/>
      </w:r>
      <w:r>
        <w:t xml:space="preserve">6. Test Suite: End-to-End Pipeline Integration …………………………………… 17</w:t>
      </w:r>
      <w:r>
        <w:br/>
      </w:r>
      <w:r>
        <w:t xml:space="preserve">7. Specified but Not Yet Executed ………………………………………………. 19</w:t>
      </w:r>
      <w:r>
        <w:br/>
      </w:r>
      <w:r>
        <w:t xml:space="preserve">8. Traceability Matrix ………………………………………………………… 21</w:t>
      </w:r>
      <w:r>
        <w:br/>
      </w:r>
      <w:r>
        <w:t xml:space="preserve">Appendix A — Reproducibility Harness ……………………………………………. 23</w:t>
      </w:r>
    </w:p>
    <w:bookmarkEnd w:id="20"/>
    <w:bookmarkStart w:id="64" w:name="purpose-of-this-document"/>
    <w:p>
      <w:pPr>
        <w:pStyle w:val="Heading1"/>
      </w:pPr>
      <w:r>
        <w:t xml:space="preserve">Purpose of This Document</w:t>
      </w:r>
    </w:p>
    <w:p>
      <w:pPr>
        <w:pStyle w:val="FirstParagraph"/>
      </w:pPr>
      <w:r>
        <w:t xml:space="preserve">The architectural monograph reports that</w:t>
      </w:r>
      <w:r>
        <w:t xml:space="preserve"> </w:t>
      </w:r>
      <w:r>
        <w:t xml:space="preserve">“</w:t>
      </w:r>
      <w:r>
        <w:t xml:space="preserve">18/18 tests pass</w:t>
      </w:r>
      <w:r>
        <w:t xml:space="preserve">”</w:t>
      </w:r>
      <w:r>
        <w:t xml:space="preserve"> </w:t>
      </w:r>
      <w:r>
        <w:t xml:space="preserve">(Section 11.5) and the Feasibility and Validation Report rates four components</w:t>
      </w:r>
      <w:r>
        <w:t xml:space="preserve"> </w:t>
      </w:r>
      <w:r>
        <w:rPr>
          <w:bCs/>
          <w:b/>
        </w:rPr>
        <w:t xml:space="preserve">Established</w:t>
      </w:r>
      <w:r>
        <w:t xml:space="preserve"> </w:t>
      </w:r>
      <w:r>
        <w:t xml:space="preserve">on the strength of specific named tests (V1–V4 in its verification matrix). Both statements are only as credible as the test cases behind them are inspectable. A bare pass-count is not evidence a skeptical reader — or a future engineer extending the system — can independently check; a concrete test case, with a stated input, a stated expected result grounded in a specific theorem or specification clause, and a stated actual result, is. This document exists to close that gap: it is the full test-case-level detail underneath the monograph’s Section 11–12 correctness claims and the Feasibility Report’s verification matrix, written so that every claim in either document is traceable to a specific, reproducible test here.</w:t>
      </w:r>
    </w:p>
    <w:p>
      <w:pPr>
        <w:pStyle w:val="BodyText"/>
      </w:pPr>
      <w:r>
        <w:t xml:space="preserve">This document does not introduce new algorithms or new correctness arguments. Every test case below verifies a property already proved or specified elsewhere in the monograph; this document’s contribution is making each verification concrete, inspectable, and independently reproducible, and — in the same evidentiary spirit as the rest of this work — being explicit about which test cases have actually been executed against the reference implementation versus which are specified but not yet run.</w:t>
      </w:r>
    </w:p>
    <w:bookmarkStart w:id="21" w:name="how-to-read-a-test-case"/>
    <w:p>
      <w:pPr>
        <w:pStyle w:val="Heading2"/>
      </w:pPr>
      <w:r>
        <w:t xml:space="preserve">How to Read a Test Case</w:t>
      </w:r>
    </w:p>
    <w:p>
      <w:pPr>
        <w:pStyle w:val="FirstParagraph"/>
      </w:pPr>
      <w:r>
        <w:t xml:space="preserve">Every test case in Sections 2–6 follows the same seven-field template: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bCs/>
                <w:b/>
              </w:rPr>
              <w:t xml:space="preserve">Claim under test</w:t>
            </w:r>
          </w:p>
        </w:tc>
        <w:tc>
          <w:tcPr/>
          <w:p>
            <w:pPr>
              <w:pStyle w:val="Compact"/>
              <w:jc w:val="left"/>
            </w:pPr>
            <w:r>
              <w:t xml:space="preserve">The specific theorem, rule, or specification clause this test exists to check</w:t>
            </w:r>
          </w:p>
        </w:tc>
      </w:tr>
      <w:tr>
        <w:tc>
          <w:tcPr/>
          <w:p>
            <w:pPr>
              <w:pStyle w:val="Compact"/>
              <w:jc w:val="left"/>
            </w:pPr>
            <w:r>
              <w:rPr>
                <w:bCs/>
                <w:b/>
              </w:rPr>
              <w:t xml:space="preserve">Preconditions</w:t>
            </w:r>
          </w:p>
        </w:tc>
        <w:tc>
          <w:tcPr/>
          <w:p>
            <w:pPr>
              <w:pStyle w:val="Compact"/>
              <w:jc w:val="left"/>
            </w:pPr>
            <w:r>
              <w:t xml:space="preserve">What must be true of the system or input before the test is meaningful</w:t>
            </w:r>
          </w:p>
        </w:tc>
      </w:tr>
      <w:tr>
        <w:tc>
          <w:tcPr/>
          <w:p>
            <w:pPr>
              <w:pStyle w:val="Compact"/>
              <w:jc w:val="left"/>
            </w:pPr>
            <w:r>
              <w:rPr>
                <w:bCs/>
                <w:b/>
              </w:rPr>
              <w:t xml:space="preserve">Input</w:t>
            </w:r>
          </w:p>
        </w:tc>
        <w:tc>
          <w:tcPr/>
          <w:p>
            <w:pPr>
              <w:pStyle w:val="Compact"/>
              <w:jc w:val="left"/>
            </w:pPr>
            <w:r>
              <w:t xml:space="preserve">The concrete input used, specified precisely enough for independent reproduction</w:t>
            </w:r>
          </w:p>
        </w:tc>
      </w:tr>
      <w:tr>
        <w:tc>
          <w:tcPr/>
          <w:p>
            <w:pPr>
              <w:pStyle w:val="Compact"/>
              <w:jc w:val="left"/>
            </w:pPr>
            <w:r>
              <w:rPr>
                <w:bCs/>
                <w:b/>
              </w:rPr>
              <w:t xml:space="preserve">Procedure</w:t>
            </w:r>
          </w:p>
        </w:tc>
        <w:tc>
          <w:tcPr/>
          <w:p>
            <w:pPr>
              <w:pStyle w:val="Compact"/>
              <w:jc w:val="left"/>
            </w:pPr>
            <w:r>
              <w:t xml:space="preserve">The exact steps executed</w:t>
            </w:r>
          </w:p>
        </w:tc>
      </w:tr>
      <w:tr>
        <w:tc>
          <w:tcPr/>
          <w:p>
            <w:pPr>
              <w:pStyle w:val="Compact"/>
              <w:jc w:val="left"/>
            </w:pPr>
            <w:r>
              <w:rPr>
                <w:bCs/>
                <w:b/>
              </w:rPr>
              <w:t xml:space="preserve">Expected result</w:t>
            </w:r>
          </w:p>
        </w:tc>
        <w:tc>
          <w:tcPr/>
          <w:p>
            <w:pPr>
              <w:pStyle w:val="Compact"/>
              <w:jc w:val="left"/>
            </w:pPr>
            <w:r>
              <w:t xml:space="preserve">What the claim under test predicts should happen</w:t>
            </w:r>
          </w:p>
        </w:tc>
      </w:tr>
      <w:tr>
        <w:tc>
          <w:tcPr/>
          <w:p>
            <w:pPr>
              <w:pStyle w:val="Compact"/>
              <w:jc w:val="left"/>
            </w:pPr>
            <w:r>
              <w:rPr>
                <w:bCs/>
                <w:b/>
              </w:rPr>
              <w:t xml:space="preserve">Actual result</w:t>
            </w:r>
          </w:p>
        </w:tc>
        <w:tc>
          <w:tcPr/>
          <w:p>
            <w:pPr>
              <w:pStyle w:val="Compact"/>
              <w:jc w:val="left"/>
            </w:pPr>
            <w:r>
              <w:t xml:space="preserve">What was observed when the test was run against the reference implementation</w:t>
            </w:r>
          </w:p>
        </w:tc>
      </w:tr>
      <w:tr>
        <w:tc>
          <w:tcPr/>
          <w:p>
            <w:pPr>
              <w:pStyle w:val="Compact"/>
              <w:jc w:val="left"/>
            </w:pPr>
            <w:r>
              <w:rPr>
                <w:bCs/>
                <w:b/>
              </w:rPr>
              <w:t xml:space="preserve">Status</w:t>
            </w:r>
          </w:p>
        </w:tc>
        <w:tc>
          <w:tcPr/>
          <w:p>
            <w:pPr>
              <w:pStyle w:val="Compact"/>
              <w:jc w:val="left"/>
            </w:pPr>
            <w:r>
              <w:t xml:space="preserve">PASS, FAIL, or NOT YET EXECUTED</w:t>
            </w:r>
          </w:p>
        </w:tc>
      </w:tr>
    </w:tbl>
    <w:p>
      <w:pPr>
        <w:pStyle w:val="BodyText"/>
      </w:pPr>
      <w:r>
        <w:t xml:space="preserve">Test cases are grouped into six suites (Sections 2–7) mirroring the component structure of the monograph and the Feasibility Report’s verification matrix (items V1–V11), plus a traceability matrix (Section 8) and a reproducibility appendix (Appendix A) giving the exact harness structure needed to re-run each Established-tier test independently.</w:t>
      </w:r>
    </w:p>
    <w:bookmarkEnd w:id="21"/>
    <w:bookmarkStart w:id="22" w:name="credibility-standard-applied"/>
    <w:p>
      <w:pPr>
        <w:pStyle w:val="Heading2"/>
      </w:pPr>
      <w:r>
        <w:t xml:space="preserve">Credibility Standard Applied</w:t>
      </w:r>
    </w:p>
    <w:p>
      <w:pPr>
        <w:pStyle w:val="FirstParagraph"/>
      </w:pPr>
      <w:r>
        <w:t xml:space="preserve">A test case is only included at</w:t>
      </w:r>
      <w:r>
        <w:t xml:space="preserve"> </w:t>
      </w:r>
      <w:r>
        <w:rPr>
          <w:bCs/>
          <w:b/>
        </w:rPr>
        <w:t xml:space="preserve">PASS</w:t>
      </w:r>
      <w:r>
        <w:t xml:space="preserve"> </w:t>
      </w:r>
      <w:r>
        <w:t xml:space="preserve">status in this document if it targets a specific, named failure mode the monograph itself documents as having previously occurred (Section 11’s four defects) or a specific property a theorem predicts, rather than a generic</w:t>
      </w:r>
      <w:r>
        <w:t xml:space="preserve"> </w:t>
      </w:r>
      <w:r>
        <w:t xml:space="preserve">“</w:t>
      </w:r>
      <w:r>
        <w:t xml:space="preserve">does it run</w:t>
      </w:r>
      <w:r>
        <w:t xml:space="preserve">”</w:t>
      </w:r>
      <w:r>
        <w:t xml:space="preserve"> </w:t>
      </w:r>
      <w:r>
        <w:t xml:space="preserve">smoke test. This is a deliberate, narrower bar than typical test-suite reporting: a test that merely confirms the happy path executes without an exception says little about whether the</w:t>
      </w:r>
      <w:r>
        <w:t xml:space="preserve"> </w:t>
      </w:r>
      <w:r>
        <w:rPr>
          <w:iCs/>
          <w:i/>
        </w:rPr>
        <w:t xml:space="preserve">specific</w:t>
      </w:r>
      <w:r>
        <w:t xml:space="preserve"> </w:t>
      </w:r>
      <w:r>
        <w:t xml:space="preserve">correctness property claimed (acyclicity, determinism, optimality, an approximation bound) actually holds, and this document is specifically about the latter, stronger form of evidence.</w:t>
      </w:r>
    </w:p>
    <w:bookmarkEnd w:id="22"/>
    <w:bookmarkStart w:id="27" w:name="test-suite-reading-order-recovery"/>
    <w:p>
      <w:pPr>
        <w:pStyle w:val="Heading2"/>
      </w:pPr>
      <w:r>
        <w:t xml:space="preserve">2. Test Suite: Reading-Order Recovery</w:t>
      </w:r>
    </w:p>
    <w:p>
      <w:pPr>
        <w:pStyle w:val="FirstParagraph"/>
      </w:pPr>
      <w:r>
        <w:t xml:space="preserve">This suite verifies Theorem 6.1 (construction-time acyclicity) and Theorem 6.2 (determinism), and directly targets Defect 1 (Section 11.2 of the monograph): a recursive DFS over a possibly-cyclic weighted matrix that was neither guaranteed to terminate nor guaranteed to produce the same output twice on the same document.</w:t>
      </w:r>
    </w:p>
    <w:bookmarkStart w:id="23" w:name="tc-01-dense-grid-acyclicity-stress-test"/>
    <w:p>
      <w:pPr>
        <w:pStyle w:val="Heading3"/>
      </w:pPr>
      <w:r>
        <w:t xml:space="preserve">TC-01: Dense-Grid Acyclicity Stress Test</w:t>
      </w:r>
    </w:p>
    <w:p>
      <w:pPr>
        <w:numPr>
          <w:ilvl w:val="0"/>
          <w:numId w:val="1001"/>
        </w:numPr>
        <w:pStyle w:val="Compact"/>
      </w:pPr>
      <w:r>
        <w:rPr>
          <w:bCs/>
          <w:b/>
        </w:rPr>
        <w:t xml:space="preserve">Claim under test:</w:t>
      </w:r>
      <w:r>
        <w:t xml:space="preserve"> </w:t>
      </w:r>
      <w:r>
        <w:t xml:space="preserve">Theorem 6.1 — the graph built under Definition 6.1 is acyclic, even under the specific adversarial condition (many same-row ties) that caused Defect 1.</w:t>
      </w:r>
    </w:p>
    <w:p>
      <w:pPr>
        <w:numPr>
          <w:ilvl w:val="0"/>
          <w:numId w:val="1001"/>
        </w:numPr>
        <w:pStyle w:val="Compact"/>
      </w:pPr>
      <w:r>
        <w:rPr>
          <w:bCs/>
          <w:b/>
        </w:rPr>
        <w:t xml:space="preserve">Preconditions:</w:t>
      </w:r>
      <w:r>
        <w:t xml:space="preserve"> </w:t>
      </w:r>
      <w:r>
        <w:t xml:space="preserve">Reading-order graph builder configured with default weights (α=0.5, β=0.3, γ=0.2), distance threshold τ_dist = 0.35 (normalized page units), row tolerance = 0.02.</w:t>
      </w:r>
    </w:p>
    <w:p>
      <w:pPr>
        <w:numPr>
          <w:ilvl w:val="0"/>
          <w:numId w:val="1001"/>
        </w:numPr>
        <w:pStyle w:val="Compact"/>
      </w:pPr>
      <w:r>
        <w:rPr>
          <w:bCs/>
          <w:b/>
        </w:rPr>
        <w:t xml:space="preserve">Input:</w:t>
      </w:r>
      <w:r>
        <w:t xml:space="preserve"> </w:t>
      </w:r>
      <w:r>
        <w:t xml:space="preserve">A synthetic 4×4 grid of 16 elements, each 0.20 × 0.20 normalized units, positioned so that every element lies within τ_dist of every other element (the specific condition under which the pre-fix bidirectional-edge defect manifested) — i.e., a fully-connected candidate set before Definition 6.1’s reading-forward filter is applied.</w:t>
      </w:r>
    </w:p>
    <w:p>
      <w:pPr>
        <w:numPr>
          <w:ilvl w:val="0"/>
          <w:numId w:val="1001"/>
        </w:numPr>
        <w:pStyle w:val="Compact"/>
      </w:pPr>
      <w:r>
        <w:rPr>
          <w:bCs/>
          <w:b/>
        </w:rPr>
        <w:t xml:space="preserve">Procedure:</w:t>
      </w:r>
      <w:r>
        <w:t xml:space="preserve"> </w:t>
      </w:r>
      <w:r>
        <w:t xml:space="preserve">Build the graph; run Kahn’s algorithm; record whether every node is visited exactly once and whether the algorithm terminates without exceeding a 10,000-iteration safety cap (included only to catch a non-terminating run without hanging the test harness — the pre-fix design had no such guarantee).</w:t>
      </w:r>
    </w:p>
    <w:p>
      <w:pPr>
        <w:numPr>
          <w:ilvl w:val="0"/>
          <w:numId w:val="1001"/>
        </w:numPr>
        <w:pStyle w:val="Compact"/>
      </w:pPr>
      <w:r>
        <w:rPr>
          <w:bCs/>
          <w:b/>
        </w:rPr>
        <w:t xml:space="preserve">Expected result:</w:t>
      </w:r>
      <w:r>
        <w:t xml:space="preserve"> </w:t>
      </w:r>
      <w:r>
        <w:t xml:space="preserve">All 16 nodes visited exactly once; no cycle detected; termination well within the iteration cap.</w:t>
      </w:r>
    </w:p>
    <w:p>
      <w:pPr>
        <w:numPr>
          <w:ilvl w:val="0"/>
          <w:numId w:val="1001"/>
        </w:numPr>
        <w:pStyle w:val="Compact"/>
      </w:pPr>
      <w:r>
        <w:rPr>
          <w:bCs/>
          <w:b/>
        </w:rPr>
        <w:t xml:space="preserve">Actual result:</w:t>
      </w:r>
      <w:r>
        <w:t xml:space="preserve"> </w:t>
      </w:r>
      <w:r>
        <w:t xml:space="preserve">All 16 nodes visited exactly once in 16 iterations; zero cycles detected; no in-degree-zero starvation at any step.</w:t>
      </w:r>
    </w:p>
    <w:p>
      <w:pPr>
        <w:numPr>
          <w:ilvl w:val="0"/>
          <w:numId w:val="1001"/>
        </w:numPr>
        <w:pStyle w:val="Compact"/>
      </w:pPr>
      <w:r>
        <w:rPr>
          <w:bCs/>
          <w:b/>
        </w:rPr>
        <w:t xml:space="preserve">Status:</w:t>
      </w:r>
      <w:r>
        <w:t xml:space="preserve"> </w:t>
      </w:r>
      <w:r>
        <w:t xml:space="preserve">PASS.</w:t>
      </w:r>
    </w:p>
    <w:bookmarkEnd w:id="23"/>
    <w:bookmarkStart w:id="24" w:name="tc-02-input-order-invariance-determinism"/>
    <w:p>
      <w:pPr>
        <w:pStyle w:val="Heading3"/>
      </w:pPr>
      <w:r>
        <w:t xml:space="preserve">TC-02: Input-Order Invariance (Determinism)</w:t>
      </w:r>
    </w:p>
    <w:p>
      <w:pPr>
        <w:numPr>
          <w:ilvl w:val="0"/>
          <w:numId w:val="1002"/>
        </w:numPr>
        <w:pStyle w:val="Compact"/>
      </w:pPr>
      <w:r>
        <w:rPr>
          <w:bCs/>
          <w:b/>
        </w:rPr>
        <w:t xml:space="preserve">Claim under test:</w:t>
      </w:r>
      <w:r>
        <w:t xml:space="preserve"> </w:t>
      </w:r>
      <w:r>
        <w:t xml:space="preserve">Theorem 6.2 — reading order is independent of the input node list’s original ordering.</w:t>
      </w:r>
    </w:p>
    <w:p>
      <w:pPr>
        <w:numPr>
          <w:ilvl w:val="0"/>
          <w:numId w:val="1002"/>
        </w:numPr>
        <w:pStyle w:val="Compact"/>
      </w:pPr>
      <w:r>
        <w:rPr>
          <w:bCs/>
          <w:b/>
        </w:rPr>
        <w:t xml:space="preserve">Preconditions:</w:t>
      </w:r>
      <w:r>
        <w:t xml:space="preserve"> </w:t>
      </w:r>
      <w:r>
        <w:t xml:space="preserve">Same builder configuration as TC-01.</w:t>
      </w:r>
    </w:p>
    <w:p>
      <w:pPr>
        <w:numPr>
          <w:ilvl w:val="0"/>
          <w:numId w:val="1002"/>
        </w:numPr>
        <w:pStyle w:val="Compact"/>
      </w:pPr>
      <w:r>
        <w:rPr>
          <w:bCs/>
          <w:b/>
        </w:rPr>
        <w:t xml:space="preserve">Input:</w:t>
      </w:r>
      <w:r>
        <w:t xml:space="preserve"> </w:t>
      </w:r>
      <w:r>
        <w:t xml:space="preserve">A 12-element synthetic two-column page layout (6 elements per column, realistic column/row spacing), processed twice: once with elements listed in natural top-to-bottom, left-to-right order, and once with the identical element set shuffled into reverse order before being passed to the graph builder.</w:t>
      </w:r>
    </w:p>
    <w:p>
      <w:pPr>
        <w:numPr>
          <w:ilvl w:val="0"/>
          <w:numId w:val="1002"/>
        </w:numPr>
        <w:pStyle w:val="Compact"/>
      </w:pPr>
      <w:r>
        <w:rPr>
          <w:bCs/>
          <w:b/>
        </w:rPr>
        <w:t xml:space="preserve">Procedure:</w:t>
      </w:r>
      <w:r>
        <w:t xml:space="preserve"> </w:t>
      </w:r>
      <w:r>
        <w:t xml:space="preserve">Run the full construction-and-Kahn’s-algorithm pipeline on both orderings; compare the two output sequences element-by-element.</w:t>
      </w:r>
    </w:p>
    <w:p>
      <w:pPr>
        <w:numPr>
          <w:ilvl w:val="0"/>
          <w:numId w:val="1002"/>
        </w:numPr>
        <w:pStyle w:val="Compact"/>
      </w:pPr>
      <w:r>
        <w:rPr>
          <w:bCs/>
          <w:b/>
        </w:rPr>
        <w:t xml:space="preserve">Expected result:</w:t>
      </w:r>
      <w:r>
        <w:t xml:space="preserve"> </w:t>
      </w:r>
      <w:r>
        <w:t xml:space="preserve">Identical output sequence under both input orderings.</w:t>
      </w:r>
    </w:p>
    <w:p>
      <w:pPr>
        <w:numPr>
          <w:ilvl w:val="0"/>
          <w:numId w:val="1002"/>
        </w:numPr>
        <w:pStyle w:val="Compact"/>
      </w:pPr>
      <w:r>
        <w:rPr>
          <w:bCs/>
          <w:b/>
        </w:rPr>
        <w:t xml:space="preserve">Actual result:</w:t>
      </w:r>
      <w:r>
        <w:t xml:space="preserve"> </w:t>
      </w:r>
      <w:r>
        <w:t xml:space="preserve">Identical sequence produced in both runs (12/12 positions matched).</w:t>
      </w:r>
    </w:p>
    <w:p>
      <w:pPr>
        <w:numPr>
          <w:ilvl w:val="0"/>
          <w:numId w:val="1002"/>
        </w:numPr>
        <w:pStyle w:val="Compact"/>
      </w:pPr>
      <w:r>
        <w:rPr>
          <w:bCs/>
          <w:b/>
        </w:rPr>
        <w:t xml:space="preserve">Status:</w:t>
      </w:r>
      <w:r>
        <w:t xml:space="preserve"> </w:t>
      </w:r>
      <w:r>
        <w:t xml:space="preserve">PASS.</w:t>
      </w:r>
    </w:p>
    <w:bookmarkEnd w:id="24"/>
    <w:bookmarkStart w:id="25" w:name="tc-03-multi-column-boundary-respect"/>
    <w:p>
      <w:pPr>
        <w:pStyle w:val="Heading3"/>
      </w:pPr>
      <w:r>
        <w:t xml:space="preserve">TC-03: Multi-Column Boundary Respect</w:t>
      </w:r>
    </w:p>
    <w:p>
      <w:pPr>
        <w:numPr>
          <w:ilvl w:val="0"/>
          <w:numId w:val="1003"/>
        </w:numPr>
        <w:pStyle w:val="Compact"/>
      </w:pPr>
      <w:r>
        <w:rPr>
          <w:bCs/>
          <w:b/>
        </w:rPr>
        <w:t xml:space="preserve">Claim under test:</w:t>
      </w:r>
      <w:r>
        <w:t xml:space="preserve"> </w:t>
      </w:r>
      <w:r>
        <w:t xml:space="preserve">The horizontal-overlap coefficient Φ_ij (Section 6.2) correctly suppresses spurious cross-column edges, preventing the column-blending failure mode Section 6.2 exists to avoid.</w:t>
      </w:r>
    </w:p>
    <w:p>
      <w:pPr>
        <w:numPr>
          <w:ilvl w:val="0"/>
          <w:numId w:val="1003"/>
        </w:numPr>
        <w:pStyle w:val="Compact"/>
      </w:pPr>
      <w:r>
        <w:rPr>
          <w:bCs/>
          <w:b/>
        </w:rPr>
        <w:t xml:space="preserve">Preconditions:</w:t>
      </w:r>
      <w:r>
        <w:t xml:space="preserve"> </w:t>
      </w:r>
      <w:r>
        <w:t xml:space="preserve">Same builder configuration as TC-01.</w:t>
      </w:r>
    </w:p>
    <w:p>
      <w:pPr>
        <w:numPr>
          <w:ilvl w:val="0"/>
          <w:numId w:val="1003"/>
        </w:numPr>
        <w:pStyle w:val="Compact"/>
      </w:pPr>
      <w:r>
        <w:rPr>
          <w:bCs/>
          <w:b/>
        </w:rPr>
        <w:t xml:space="preserve">Input:</w:t>
      </w:r>
      <w:r>
        <w:t xml:space="preserve"> </w:t>
      </w:r>
      <w:r>
        <w:t xml:space="preserve">A synthetic two-column page: Column A occupies x ∈ [0.05, 0.47], Column B occupies x ∈ [0.53, 0.95], each with 5 stacked text elements at matching y-coordinates across the two columns (i.e., row 1 of Column A is vertically level with row 1 of Column B, the specific geometry under which a naive y-then-x sort would interleave the columns).</w:t>
      </w:r>
    </w:p>
    <w:p>
      <w:pPr>
        <w:numPr>
          <w:ilvl w:val="0"/>
          <w:numId w:val="1003"/>
        </w:numPr>
        <w:pStyle w:val="Compact"/>
      </w:pPr>
      <w:r>
        <w:rPr>
          <w:bCs/>
          <w:b/>
        </w:rPr>
        <w:t xml:space="preserve">Procedure:</w:t>
      </w:r>
      <w:r>
        <w:t xml:space="preserve"> </w:t>
      </w:r>
      <w:r>
        <w:t xml:space="preserve">Build the graph; recover reading order; check whether all 5 Column A elements precede all 5 Column B elements in the output sequence.</w:t>
      </w:r>
    </w:p>
    <w:p>
      <w:pPr>
        <w:numPr>
          <w:ilvl w:val="0"/>
          <w:numId w:val="1003"/>
        </w:numPr>
        <w:pStyle w:val="Compact"/>
      </w:pPr>
      <w:r>
        <w:rPr>
          <w:bCs/>
          <w:b/>
        </w:rPr>
        <w:t xml:space="preserve">Expected result:</w:t>
      </w:r>
      <w:r>
        <w:t xml:space="preserve"> </w:t>
      </w:r>
      <w:r>
        <w:t xml:space="preserve">Full Column A block (5 elements) precedes full Column B block (5 elements) — no interleaving.</w:t>
      </w:r>
    </w:p>
    <w:p>
      <w:pPr>
        <w:numPr>
          <w:ilvl w:val="0"/>
          <w:numId w:val="1003"/>
        </w:numPr>
        <w:pStyle w:val="Compact"/>
      </w:pPr>
      <w:r>
        <w:rPr>
          <w:bCs/>
          <w:b/>
        </w:rPr>
        <w:t xml:space="preserve">Actual result:</w:t>
      </w:r>
      <w:r>
        <w:t xml:space="preserve"> </w:t>
      </w:r>
      <w:r>
        <w:t xml:space="preserve">Output sequence: A1, A2, A3, A4, A5, B1, B2, B3, B4, B5 — no interleaving observed.</w:t>
      </w:r>
    </w:p>
    <w:p>
      <w:pPr>
        <w:numPr>
          <w:ilvl w:val="0"/>
          <w:numId w:val="1003"/>
        </w:numPr>
        <w:pStyle w:val="Compact"/>
      </w:pPr>
      <w:r>
        <w:rPr>
          <w:bCs/>
          <w:b/>
        </w:rPr>
        <w:t xml:space="preserve">Status:</w:t>
      </w:r>
      <w:r>
        <w:t xml:space="preserve"> </w:t>
      </w:r>
      <w:r>
        <w:t xml:space="preserve">PASS.</w:t>
      </w:r>
    </w:p>
    <w:bookmarkEnd w:id="25"/>
    <w:bookmarkStart w:id="26" w:name="tc-04-recursion-depth-regression-guard"/>
    <w:p>
      <w:pPr>
        <w:pStyle w:val="Heading3"/>
      </w:pPr>
      <w:r>
        <w:t xml:space="preserve">TC-04: Recursion-Depth Regression Guard</w:t>
      </w:r>
    </w:p>
    <w:p>
      <w:pPr>
        <w:numPr>
          <w:ilvl w:val="0"/>
          <w:numId w:val="1004"/>
        </w:numPr>
        <w:pStyle w:val="Compact"/>
      </w:pPr>
      <w:r>
        <w:rPr>
          <w:bCs/>
          <w:b/>
        </w:rPr>
        <w:t xml:space="preserve">Claim under test:</w:t>
      </w:r>
      <w:r>
        <w:t xml:space="preserve"> </w:t>
      </w:r>
      <w:r>
        <w:t xml:space="preserve">The Kahn’s-algorithm replacement (Section 6.4) requires no recursion, eliminating the recursion-depth failure mode of the pre-fix DFS design.</w:t>
      </w:r>
    </w:p>
    <w:p>
      <w:pPr>
        <w:numPr>
          <w:ilvl w:val="0"/>
          <w:numId w:val="1004"/>
        </w:numPr>
        <w:pStyle w:val="Compact"/>
      </w:pPr>
      <w:r>
        <w:rPr>
          <w:bCs/>
          <w:b/>
        </w:rPr>
        <w:t xml:space="preserve">Preconditions:</w:t>
      </w:r>
      <w:r>
        <w:t xml:space="preserve"> </w:t>
      </w:r>
      <w:r>
        <w:t xml:space="preserve">Same builder configuration as TC-01.</w:t>
      </w:r>
    </w:p>
    <w:p>
      <w:pPr>
        <w:numPr>
          <w:ilvl w:val="0"/>
          <w:numId w:val="1004"/>
        </w:numPr>
        <w:pStyle w:val="Compact"/>
      </w:pPr>
      <w:r>
        <w:rPr>
          <w:bCs/>
          <w:b/>
        </w:rPr>
        <w:t xml:space="preserve">Input:</w:t>
      </w:r>
      <w:r>
        <w:t xml:space="preserve"> </w:t>
      </w:r>
      <w:r>
        <w:t xml:space="preserve">A synthetic 500-element single-column page (deliberately large to stress any residual recursive code path).</w:t>
      </w:r>
    </w:p>
    <w:p>
      <w:pPr>
        <w:numPr>
          <w:ilvl w:val="0"/>
          <w:numId w:val="1004"/>
        </w:numPr>
        <w:pStyle w:val="Compact"/>
      </w:pPr>
      <w:r>
        <w:rPr>
          <w:bCs/>
          <w:b/>
        </w:rPr>
        <w:t xml:space="preserve">Procedure:</w:t>
      </w:r>
      <w:r>
        <w:t xml:space="preserve"> </w:t>
      </w:r>
      <w:r>
        <w:t xml:space="preserve">Build the graph and recover reading order; monitor the call stack depth during execution.</w:t>
      </w:r>
    </w:p>
    <w:p>
      <w:pPr>
        <w:numPr>
          <w:ilvl w:val="0"/>
          <w:numId w:val="1004"/>
        </w:numPr>
        <w:pStyle w:val="Compact"/>
      </w:pPr>
      <w:r>
        <w:rPr>
          <w:bCs/>
          <w:b/>
        </w:rPr>
        <w:t xml:space="preserve">Expected result:</w:t>
      </w:r>
      <w:r>
        <w:t xml:space="preserve"> </w:t>
      </w:r>
      <w:r>
        <w:t xml:space="preserve">Maximum call-stack depth remains O(1) with respect to element count, consistent with an iterative (queue-based) Kahn’s-algorithm implementation.</w:t>
      </w:r>
    </w:p>
    <w:p>
      <w:pPr>
        <w:numPr>
          <w:ilvl w:val="0"/>
          <w:numId w:val="1004"/>
        </w:numPr>
        <w:pStyle w:val="Compact"/>
      </w:pPr>
      <w:r>
        <w:rPr>
          <w:bCs/>
          <w:b/>
        </w:rPr>
        <w:t xml:space="preserve">Actual result:</w:t>
      </w:r>
      <w:r>
        <w:t xml:space="preserve"> </w:t>
      </w:r>
      <w:r>
        <w:t xml:space="preserve">Maximum observed call-stack depth during graph traversal did not scale with the 500-element input, consistent with the iterative implementation; no stack-depth warnings raised.</w:t>
      </w:r>
    </w:p>
    <w:p>
      <w:pPr>
        <w:numPr>
          <w:ilvl w:val="0"/>
          <w:numId w:val="1004"/>
        </w:numPr>
        <w:pStyle w:val="Compact"/>
      </w:pPr>
      <w:r>
        <w:rPr>
          <w:bCs/>
          <w:b/>
        </w:rPr>
        <w:t xml:space="preserve">Status:</w:t>
      </w:r>
      <w:r>
        <w:t xml:space="preserve"> </w:t>
      </w:r>
      <w:r>
        <w:t xml:space="preserve">PASS.</w:t>
      </w:r>
    </w:p>
    <w:bookmarkEnd w:id="26"/>
    <w:bookmarkEnd w:id="27"/>
    <w:bookmarkStart w:id="33" w:name="test-suite-layout-aware-elastic-chunking"/>
    <w:p>
      <w:pPr>
        <w:pStyle w:val="Heading2"/>
      </w:pPr>
      <w:r>
        <w:t xml:space="preserve">3. Test Suite: Layout-Aware Elastic Chunking</w:t>
      </w:r>
    </w:p>
    <w:p>
      <w:pPr>
        <w:pStyle w:val="FirstParagraph"/>
      </w:pPr>
      <w:r>
        <w:t xml:space="preserve">This suite verifies the four boundary rules of Section 7.2 and directly targets Defect 2 (monograph Section 11.3): the chunking stage was specified only in prose, with no implementation to test at all, prior to the fix.</w:t>
      </w:r>
    </w:p>
    <w:bookmarkStart w:id="28" w:name="tc-05-protected-type-no-merge"/>
    <w:p>
      <w:pPr>
        <w:pStyle w:val="Heading3"/>
      </w:pPr>
      <w:r>
        <w:t xml:space="preserve">TC-05: Protected-Type No-Merge</w:t>
      </w:r>
    </w:p>
    <w:p>
      <w:pPr>
        <w:numPr>
          <w:ilvl w:val="0"/>
          <w:numId w:val="1005"/>
        </w:numPr>
        <w:pStyle w:val="Compact"/>
      </w:pPr>
      <w:r>
        <w:rPr>
          <w:bCs/>
          <w:b/>
        </w:rPr>
        <w:t xml:space="preserve">Claim under test:</w:t>
      </w:r>
      <w:r>
        <w:t xml:space="preserve"> </w:t>
      </w:r>
      <w:r>
        <w:t xml:space="preserve">Rule 1 (protected-type) — a table, code block, equation, or figure is never merged with adjacent prose regardless of proximity.</w:t>
      </w:r>
    </w:p>
    <w:p>
      <w:pPr>
        <w:numPr>
          <w:ilvl w:val="0"/>
          <w:numId w:val="1005"/>
        </w:numPr>
        <w:pStyle w:val="Compact"/>
      </w:pPr>
      <w:r>
        <w:rPr>
          <w:bCs/>
          <w:b/>
        </w:rPr>
        <w:t xml:space="preserve">Preconditions:</w:t>
      </w:r>
      <w:r>
        <w:t xml:space="preserve"> </w:t>
      </w:r>
      <w:r>
        <w:t xml:space="preserve">Chunker configured with default soft budget = 400 tokens, font-delta threshold = 1.4×, gap-multiple threshold = 2.0×.</w:t>
      </w:r>
    </w:p>
    <w:p>
      <w:pPr>
        <w:numPr>
          <w:ilvl w:val="0"/>
          <w:numId w:val="1005"/>
        </w:numPr>
        <w:pStyle w:val="Compact"/>
      </w:pPr>
      <w:r>
        <w:rPr>
          <w:bCs/>
          <w:b/>
        </w:rPr>
        <w:t xml:space="preserve">Input:</w:t>
      </w:r>
      <w:r>
        <w:t xml:space="preserve"> </w:t>
      </w:r>
      <w:r>
        <w:t xml:space="preserve">A synthetic reading-ordered sequence: [prose paragraph, 60 tokens] → [table element, 180 tokens] → [prose paragraph, 55 tokens], all three positioned with normal paragraph spacing (below the gap threshold) and identical font size (below the font-delta threshold) — i.e., every non-protected-type signal argues</w:t>
      </w:r>
      <w:r>
        <w:t xml:space="preserve"> </w:t>
      </w:r>
      <w:r>
        <w:rPr>
          <w:iCs/>
          <w:i/>
        </w:rPr>
        <w:t xml:space="preserve">for</w:t>
      </w:r>
      <w:r>
        <w:t xml:space="preserve"> </w:t>
      </w:r>
      <w:r>
        <w:t xml:space="preserve">merging, isolating the protected-type rule as the only variable that should prevent it.</w:t>
      </w:r>
    </w:p>
    <w:p>
      <w:pPr>
        <w:numPr>
          <w:ilvl w:val="0"/>
          <w:numId w:val="1005"/>
        </w:numPr>
        <w:pStyle w:val="Compact"/>
      </w:pPr>
      <w:r>
        <w:rPr>
          <w:bCs/>
          <w:b/>
        </w:rPr>
        <w:t xml:space="preserve">Procedure:</w:t>
      </w:r>
      <w:r>
        <w:t xml:space="preserve"> </w:t>
      </w:r>
      <w:r>
        <w:t xml:space="preserve">Run the boundary predicate β across both consecutive pairs; record the resulting chunk boundaries.</w:t>
      </w:r>
    </w:p>
    <w:p>
      <w:pPr>
        <w:numPr>
          <w:ilvl w:val="0"/>
          <w:numId w:val="1005"/>
        </w:numPr>
        <w:pStyle w:val="Compact"/>
      </w:pPr>
      <w:r>
        <w:rPr>
          <w:bCs/>
          <w:b/>
        </w:rPr>
        <w:t xml:space="preserve">Expected result:</w:t>
      </w:r>
      <w:r>
        <w:t xml:space="preserve"> </w:t>
      </w:r>
      <w:r>
        <w:t xml:space="preserve">Two hard boundaries — one on each side of the table element — regardless of the absence of any font or gap signal.</w:t>
      </w:r>
    </w:p>
    <w:p>
      <w:pPr>
        <w:numPr>
          <w:ilvl w:val="0"/>
          <w:numId w:val="1005"/>
        </w:numPr>
        <w:pStyle w:val="Compact"/>
      </w:pPr>
      <w:r>
        <w:rPr>
          <w:bCs/>
          <w:b/>
        </w:rPr>
        <w:t xml:space="preserve">Actual result:</w:t>
      </w:r>
      <w:r>
        <w:t xml:space="preserve"> </w:t>
      </w:r>
      <w:r>
        <w:t xml:space="preserve">Three chunks produced: {prose 1}, {table}, {prose 2}. Table isolated on both sides as expected.</w:t>
      </w:r>
    </w:p>
    <w:p>
      <w:pPr>
        <w:numPr>
          <w:ilvl w:val="0"/>
          <w:numId w:val="1005"/>
        </w:numPr>
        <w:pStyle w:val="Compact"/>
      </w:pPr>
      <w:r>
        <w:rPr>
          <w:bCs/>
          <w:b/>
        </w:rPr>
        <w:t xml:space="preserve">Status:</w:t>
      </w:r>
      <w:r>
        <w:t xml:space="preserve"> </w:t>
      </w:r>
      <w:r>
        <w:t xml:space="preserve">PASS.</w:t>
      </w:r>
    </w:p>
    <w:bookmarkEnd w:id="28"/>
    <w:bookmarkStart w:id="29" w:name="tc-06-font-delta-boundary-detection"/>
    <w:p>
      <w:pPr>
        <w:pStyle w:val="Heading3"/>
      </w:pPr>
      <w:r>
        <w:t xml:space="preserve">TC-06: Font-Delta Boundary Detection</w:t>
      </w:r>
    </w:p>
    <w:p>
      <w:pPr>
        <w:numPr>
          <w:ilvl w:val="0"/>
          <w:numId w:val="1006"/>
        </w:numPr>
        <w:pStyle w:val="Compact"/>
      </w:pPr>
      <w:r>
        <w:rPr>
          <w:bCs/>
          <w:b/>
        </w:rPr>
        <w:t xml:space="preserve">Claim under test:</w:t>
      </w:r>
      <w:r>
        <w:t xml:space="preserve"> </w:t>
      </w:r>
      <w:r>
        <w:t xml:space="preserve">Rule 2 (font-delta) — a large font-size shift between consecutive elements forces a boundary.</w:t>
      </w:r>
    </w:p>
    <w:p>
      <w:pPr>
        <w:numPr>
          <w:ilvl w:val="0"/>
          <w:numId w:val="1006"/>
        </w:numPr>
        <w:pStyle w:val="Compact"/>
      </w:pPr>
      <w:r>
        <w:rPr>
          <w:bCs/>
          <w:b/>
        </w:rPr>
        <w:t xml:space="preserve">Preconditions:</w:t>
      </w:r>
      <w:r>
        <w:t xml:space="preserve"> </w:t>
      </w:r>
      <w:r>
        <w:t xml:space="preserve">Same configuration as TC-05.</w:t>
      </w:r>
    </w:p>
    <w:p>
      <w:pPr>
        <w:numPr>
          <w:ilvl w:val="0"/>
          <w:numId w:val="1006"/>
        </w:numPr>
        <w:pStyle w:val="Compact"/>
      </w:pPr>
      <w:r>
        <w:rPr>
          <w:bCs/>
          <w:b/>
        </w:rPr>
        <w:t xml:space="preserve">Input:</w:t>
      </w:r>
      <w:r>
        <w:t xml:space="preserve"> </w:t>
      </w:r>
      <w:r>
        <w:t xml:space="preserve">[Heading element, 18pt, 6 tokens] → [body paragraph, 11pt, 120 tokens]. Font ratio 18/11 ≈ 1.64×, above the 1.4× threshold.</w:t>
      </w:r>
    </w:p>
    <w:p>
      <w:pPr>
        <w:numPr>
          <w:ilvl w:val="0"/>
          <w:numId w:val="1006"/>
        </w:numPr>
        <w:pStyle w:val="Compact"/>
      </w:pPr>
      <w:r>
        <w:rPr>
          <w:bCs/>
          <w:b/>
        </w:rPr>
        <w:t xml:space="preserve">Procedure:</w:t>
      </w:r>
      <w:r>
        <w:t xml:space="preserve"> </w:t>
      </w:r>
      <w:r>
        <w:t xml:space="preserve">Run the boundary predicate on the single consecutive pair.</w:t>
      </w:r>
    </w:p>
    <w:p>
      <w:pPr>
        <w:numPr>
          <w:ilvl w:val="0"/>
          <w:numId w:val="1006"/>
        </w:numPr>
        <w:pStyle w:val="Compact"/>
      </w:pPr>
      <w:r>
        <w:rPr>
          <w:bCs/>
          <w:b/>
        </w:rPr>
        <w:t xml:space="preserve">Expected result:</w:t>
      </w:r>
      <w:r>
        <w:t xml:space="preserve"> </w:t>
      </w:r>
      <w:r>
        <w:t xml:space="preserve">Boundary drawn between heading and body.</w:t>
      </w:r>
    </w:p>
    <w:p>
      <w:pPr>
        <w:numPr>
          <w:ilvl w:val="0"/>
          <w:numId w:val="1006"/>
        </w:numPr>
        <w:pStyle w:val="Compact"/>
      </w:pPr>
      <w:r>
        <w:rPr>
          <w:bCs/>
          <w:b/>
        </w:rPr>
        <w:t xml:space="preserve">Actual result:</w:t>
      </w:r>
      <w:r>
        <w:t xml:space="preserve"> </w:t>
      </w:r>
      <w:r>
        <w:t xml:space="preserve">Two chunks produced: {heading}, {body}.</w:t>
      </w:r>
    </w:p>
    <w:p>
      <w:pPr>
        <w:numPr>
          <w:ilvl w:val="0"/>
          <w:numId w:val="1006"/>
        </w:numPr>
        <w:pStyle w:val="Compact"/>
      </w:pPr>
      <w:r>
        <w:rPr>
          <w:bCs/>
          <w:b/>
        </w:rPr>
        <w:t xml:space="preserve">Status:</w:t>
      </w:r>
      <w:r>
        <w:t xml:space="preserve"> </w:t>
      </w:r>
      <w:r>
        <w:t xml:space="preserve">PASS.</w:t>
      </w:r>
    </w:p>
    <w:bookmarkEnd w:id="29"/>
    <w:bookmarkStart w:id="30" w:name="tc-07-similar-font-merge-negative-case"/>
    <w:p>
      <w:pPr>
        <w:pStyle w:val="Heading3"/>
      </w:pPr>
      <w:r>
        <w:t xml:space="preserve">TC-07: Similar-Font Merge (Negative Case)</w:t>
      </w:r>
    </w:p>
    <w:p>
      <w:pPr>
        <w:numPr>
          <w:ilvl w:val="0"/>
          <w:numId w:val="1007"/>
        </w:numPr>
        <w:pStyle w:val="Compact"/>
      </w:pPr>
      <w:r>
        <w:rPr>
          <w:bCs/>
          <w:b/>
        </w:rPr>
        <w:t xml:space="preserve">Claim under test:</w:t>
      </w:r>
      <w:r>
        <w:t xml:space="preserve"> </w:t>
      </w:r>
      <w:r>
        <w:t xml:space="preserve">Absence of spurious boundaries — two similar-font paragraphs merge into a single chunk when under budget, confirming Rule 2 does not over-fire and Rule 4 does not fire prematurely.</w:t>
      </w:r>
    </w:p>
    <w:p>
      <w:pPr>
        <w:numPr>
          <w:ilvl w:val="0"/>
          <w:numId w:val="1007"/>
        </w:numPr>
        <w:pStyle w:val="Compact"/>
      </w:pPr>
      <w:r>
        <w:rPr>
          <w:bCs/>
          <w:b/>
        </w:rPr>
        <w:t xml:space="preserve">Preconditions:</w:t>
      </w:r>
      <w:r>
        <w:t xml:space="preserve"> </w:t>
      </w:r>
      <w:r>
        <w:t xml:space="preserve">Same configuration as TC-05.</w:t>
      </w:r>
    </w:p>
    <w:p>
      <w:pPr>
        <w:numPr>
          <w:ilvl w:val="0"/>
          <w:numId w:val="1007"/>
        </w:numPr>
        <w:pStyle w:val="Compact"/>
      </w:pPr>
      <w:r>
        <w:rPr>
          <w:bCs/>
          <w:b/>
        </w:rPr>
        <w:t xml:space="preserve">Input:</w:t>
      </w:r>
      <w:r>
        <w:t xml:space="preserve"> </w:t>
      </w:r>
      <w:r>
        <w:t xml:space="preserve">[Paragraph, 11pt, 150 tokens] → [Paragraph, 11pt, 140 tokens], normal spacing, combined 290 tokens (below the 400-token soft budget).</w:t>
      </w:r>
    </w:p>
    <w:p>
      <w:pPr>
        <w:numPr>
          <w:ilvl w:val="0"/>
          <w:numId w:val="1007"/>
        </w:numPr>
        <w:pStyle w:val="Compact"/>
      </w:pPr>
      <w:r>
        <w:rPr>
          <w:bCs/>
          <w:b/>
        </w:rPr>
        <w:t xml:space="preserve">Procedure:</w:t>
      </w:r>
      <w:r>
        <w:t xml:space="preserve"> </w:t>
      </w:r>
      <w:r>
        <w:t xml:space="preserve">Run the boundary predicate on the pair.</w:t>
      </w:r>
    </w:p>
    <w:p>
      <w:pPr>
        <w:numPr>
          <w:ilvl w:val="0"/>
          <w:numId w:val="1007"/>
        </w:numPr>
        <w:pStyle w:val="Compact"/>
      </w:pPr>
      <w:r>
        <w:rPr>
          <w:bCs/>
          <w:b/>
        </w:rPr>
        <w:t xml:space="preserve">Expected result:</w:t>
      </w:r>
      <w:r>
        <w:t xml:space="preserve"> </w:t>
      </w:r>
      <w:r>
        <w:t xml:space="preserve">No boundary drawn; both paragraphs merge into one 290-token chunk.</w:t>
      </w:r>
    </w:p>
    <w:p>
      <w:pPr>
        <w:numPr>
          <w:ilvl w:val="0"/>
          <w:numId w:val="1007"/>
        </w:numPr>
        <w:pStyle w:val="Compact"/>
      </w:pPr>
      <w:r>
        <w:rPr>
          <w:bCs/>
          <w:b/>
        </w:rPr>
        <w:t xml:space="preserve">Actual result:</w:t>
      </w:r>
      <w:r>
        <w:t xml:space="preserve"> </w:t>
      </w:r>
      <w:r>
        <w:t xml:space="preserve">Single chunk produced, 290 tokens, both paragraphs present.</w:t>
      </w:r>
    </w:p>
    <w:p>
      <w:pPr>
        <w:numPr>
          <w:ilvl w:val="0"/>
          <w:numId w:val="1007"/>
        </w:numPr>
        <w:pStyle w:val="Compact"/>
      </w:pPr>
      <w:r>
        <w:rPr>
          <w:bCs/>
          <w:b/>
        </w:rPr>
        <w:t xml:space="preserve">Status:</w:t>
      </w:r>
      <w:r>
        <w:t xml:space="preserve"> </w:t>
      </w:r>
      <w:r>
        <w:t xml:space="preserve">PASS. This is the specific negative-case test the monograph (Section 11.3) flags as equally important to the positive-case tests above — a chunker that draws a boundary on every pair would trivially</w:t>
      </w:r>
      <w:r>
        <w:t xml:space="preserve"> </w:t>
      </w:r>
      <w:r>
        <w:t xml:space="preserve">“</w:t>
      </w:r>
      <w:r>
        <w:t xml:space="preserve">pass</w:t>
      </w:r>
      <w:r>
        <w:t xml:space="preserve">”</w:t>
      </w:r>
      <w:r>
        <w:t xml:space="preserve"> </w:t>
      </w:r>
      <w:r>
        <w:t xml:space="preserve">TC-05/TC-06 while failing its actual purpose.</w:t>
      </w:r>
    </w:p>
    <w:bookmarkEnd w:id="30"/>
    <w:bookmarkStart w:id="31" w:name="tc-08-soft-budget-triggered-split"/>
    <w:p>
      <w:pPr>
        <w:pStyle w:val="Heading3"/>
      </w:pPr>
      <w:r>
        <w:t xml:space="preserve">TC-08: Soft-Budget-Triggered Split</w:t>
      </w:r>
    </w:p>
    <w:p>
      <w:pPr>
        <w:numPr>
          <w:ilvl w:val="0"/>
          <w:numId w:val="1008"/>
        </w:numPr>
        <w:pStyle w:val="Compact"/>
      </w:pPr>
      <w:r>
        <w:rPr>
          <w:bCs/>
          <w:b/>
        </w:rPr>
        <w:t xml:space="preserve">Claim under test:</w:t>
      </w:r>
      <w:r>
        <w:t xml:space="preserve"> </w:t>
      </w:r>
      <w:r>
        <w:t xml:space="preserve">Rule 4 (soft-budget) — a long, uniform run of text is split once the soft token budget is exceeded, and does not fire on a still-small running chunk.</w:t>
      </w:r>
    </w:p>
    <w:p>
      <w:pPr>
        <w:numPr>
          <w:ilvl w:val="0"/>
          <w:numId w:val="1008"/>
        </w:numPr>
        <w:pStyle w:val="Compact"/>
      </w:pPr>
      <w:r>
        <w:rPr>
          <w:bCs/>
          <w:b/>
        </w:rPr>
        <w:t xml:space="preserve">Preconditions:</w:t>
      </w:r>
      <w:r>
        <w:t xml:space="preserve"> </w:t>
      </w:r>
      <w:r>
        <w:t xml:space="preserve">Same configuration as TC-05.</w:t>
      </w:r>
    </w:p>
    <w:p>
      <w:pPr>
        <w:numPr>
          <w:ilvl w:val="0"/>
          <w:numId w:val="1008"/>
        </w:numPr>
        <w:pStyle w:val="Compact"/>
      </w:pPr>
      <w:r>
        <w:rPr>
          <w:bCs/>
          <w:b/>
        </w:rPr>
        <w:t xml:space="preserve">Input:</w:t>
      </w:r>
      <w:r>
        <w:t xml:space="preserve"> </w:t>
      </w:r>
      <w:r>
        <w:t xml:space="preserve">A sequence of six uniform-font paragraphs of 100 tokens each (600 tokens total), all below the font-delta and gap thresholds pairwise.</w:t>
      </w:r>
    </w:p>
    <w:p>
      <w:pPr>
        <w:numPr>
          <w:ilvl w:val="0"/>
          <w:numId w:val="1008"/>
        </w:numPr>
        <w:pStyle w:val="Compact"/>
      </w:pPr>
      <w:r>
        <w:rPr>
          <w:bCs/>
          <w:b/>
        </w:rPr>
        <w:t xml:space="preserve">Procedure:</w:t>
      </w:r>
      <w:r>
        <w:t xml:space="preserve"> </w:t>
      </w:r>
      <w:r>
        <w:t xml:space="preserve">Run the boundary predicate across all five consecutive pairs; record where boundaries are drawn relative to the running per-chunk token total.</w:t>
      </w:r>
    </w:p>
    <w:p>
      <w:pPr>
        <w:numPr>
          <w:ilvl w:val="0"/>
          <w:numId w:val="1008"/>
        </w:numPr>
        <w:pStyle w:val="Compact"/>
      </w:pPr>
      <w:r>
        <w:rPr>
          <w:bCs/>
          <w:b/>
        </w:rPr>
        <w:t xml:space="preserve">Expected result:</w:t>
      </w:r>
      <w:r>
        <w:t xml:space="preserve"> </w:t>
      </w:r>
      <w:r>
        <w:t xml:space="preserve">No boundary before the running total would exceed 400 tokens; a boundary drawn once the 5th paragraph would push the running total from 400 to 500, i.e., a boundary after paragraph 4 (400 tokens) and paragraphs 1–4 forming one chunk, paragraphs 5–6 forming a second (200-token) chunk.</w:t>
      </w:r>
    </w:p>
    <w:p>
      <w:pPr>
        <w:numPr>
          <w:ilvl w:val="0"/>
          <w:numId w:val="1008"/>
        </w:numPr>
        <w:pStyle w:val="Compact"/>
      </w:pPr>
      <w:r>
        <w:rPr>
          <w:bCs/>
          <w:b/>
        </w:rPr>
        <w:t xml:space="preserve">Actual result:</w:t>
      </w:r>
      <w:r>
        <w:t xml:space="preserve"> </w:t>
      </w:r>
      <w:r>
        <w:t xml:space="preserve">Boundary drawn after paragraph 4 exactly as predicted; resulting chunks: {P1–P4, 400 tokens}, {P5–P6, 200 tokens}.</w:t>
      </w:r>
    </w:p>
    <w:p>
      <w:pPr>
        <w:numPr>
          <w:ilvl w:val="0"/>
          <w:numId w:val="1008"/>
        </w:numPr>
        <w:pStyle w:val="Compact"/>
      </w:pPr>
      <w:r>
        <w:rPr>
          <w:bCs/>
          <w:b/>
        </w:rPr>
        <w:t xml:space="preserve">Status:</w:t>
      </w:r>
      <w:r>
        <w:t xml:space="preserve"> </w:t>
      </w:r>
      <w:r>
        <w:t xml:space="preserve">PASS.</w:t>
      </w:r>
    </w:p>
    <w:bookmarkEnd w:id="31"/>
    <w:bookmarkStart w:id="32" w:name="Xc2cab2e034a0260e19af8fc9fa30cae7fd66bac"/>
    <w:p>
      <w:pPr>
        <w:pStyle w:val="Heading3"/>
      </w:pPr>
      <w:r>
        <w:t xml:space="preserve">TC-08b: Hard-Ceiling Safety Valve (Protected Type Exceeding Budget)</w:t>
      </w:r>
    </w:p>
    <w:p>
      <w:pPr>
        <w:numPr>
          <w:ilvl w:val="0"/>
          <w:numId w:val="1009"/>
        </w:numPr>
        <w:pStyle w:val="Compact"/>
      </w:pPr>
      <w:r>
        <w:rPr>
          <w:bCs/>
          <w:b/>
        </w:rPr>
        <w:t xml:space="preserve">Claim under test:</w:t>
      </w:r>
      <w:r>
        <w:t xml:space="preserve"> </w:t>
      </w:r>
      <w:r>
        <w:t xml:space="preserve">Section 7.4 — the hard token ceiling is a safety valve, not the normal chunking policy; it only engages when a protected block alone exceeds the configured maximum, and its use is logged distinctly from normal structural splitting.</w:t>
      </w:r>
    </w:p>
    <w:p>
      <w:pPr>
        <w:numPr>
          <w:ilvl w:val="0"/>
          <w:numId w:val="1009"/>
        </w:numPr>
        <w:pStyle w:val="Compact"/>
      </w:pPr>
      <w:r>
        <w:rPr>
          <w:bCs/>
          <w:b/>
        </w:rPr>
        <w:t xml:space="preserve">Preconditions:</w:t>
      </w:r>
      <w:r>
        <w:t xml:space="preserve"> </w:t>
      </w:r>
      <w:r>
        <w:t xml:space="preserve">Hard ceiling configured at 1,200 tokens for this test (a deliberately low value to make the safety-valve path reachable in a synthetic test).</w:t>
      </w:r>
    </w:p>
    <w:p>
      <w:pPr>
        <w:numPr>
          <w:ilvl w:val="0"/>
          <w:numId w:val="1009"/>
        </w:numPr>
        <w:pStyle w:val="Compact"/>
      </w:pPr>
      <w:r>
        <w:rPr>
          <w:bCs/>
          <w:b/>
        </w:rPr>
        <w:t xml:space="preserve">Input:</w:t>
      </w:r>
      <w:r>
        <w:t xml:space="preserve"> </w:t>
      </w:r>
      <w:r>
        <w:t xml:space="preserve">A single synthetic table element with no internal substructure exploitable for splitting, sized at 1,500 tokens.</w:t>
      </w:r>
    </w:p>
    <w:p>
      <w:pPr>
        <w:numPr>
          <w:ilvl w:val="0"/>
          <w:numId w:val="1009"/>
        </w:numPr>
        <w:pStyle w:val="Compact"/>
      </w:pPr>
      <w:r>
        <w:rPr>
          <w:bCs/>
          <w:b/>
        </w:rPr>
        <w:t xml:space="preserve">Procedure:</w:t>
      </w:r>
      <w:r>
        <w:t xml:space="preserve"> </w:t>
      </w:r>
      <w:r>
        <w:t xml:space="preserve">Run the chunker on the single oversized protected element; check whether the safety-valve path is invoked and logged.</w:t>
      </w:r>
    </w:p>
    <w:p>
      <w:pPr>
        <w:numPr>
          <w:ilvl w:val="0"/>
          <w:numId w:val="1009"/>
        </w:numPr>
        <w:pStyle w:val="Compact"/>
      </w:pPr>
      <w:r>
        <w:rPr>
          <w:bCs/>
          <w:b/>
        </w:rPr>
        <w:t xml:space="preserve">Expected result:</w:t>
      </w:r>
      <w:r>
        <w:t xml:space="preserve"> </w:t>
      </w:r>
      <w:r>
        <w:t xml:space="preserve">The 1,500-token table is split only because it exceeds the hard ceiling (not because of any structural rule), and the resulting chunk(s) carry a safety-valve flag distinguishing this split from a normal structural boundary.</w:t>
      </w:r>
    </w:p>
    <w:p>
      <w:pPr>
        <w:numPr>
          <w:ilvl w:val="0"/>
          <w:numId w:val="1009"/>
        </w:numPr>
        <w:pStyle w:val="Compact"/>
      </w:pPr>
      <w:r>
        <w:rPr>
          <w:bCs/>
          <w:b/>
        </w:rPr>
        <w:t xml:space="preserve">Actual result:</w:t>
      </w:r>
      <w:r>
        <w:t xml:space="preserve"> </w:t>
      </w:r>
      <w:r>
        <w:t xml:space="preserve">Table split into two chunks (1,200 + 300 tokens) with the safety-valve flag set on both; no other document in the same test batch (all under the ceiling) triggered the flag.</w:t>
      </w:r>
    </w:p>
    <w:p>
      <w:pPr>
        <w:numPr>
          <w:ilvl w:val="0"/>
          <w:numId w:val="1009"/>
        </w:numPr>
        <w:pStyle w:val="Compact"/>
      </w:pPr>
      <w:r>
        <w:rPr>
          <w:bCs/>
          <w:b/>
        </w:rPr>
        <w:t xml:space="preserve">Status:</w:t>
      </w:r>
      <w:r>
        <w:t xml:space="preserve"> </w:t>
      </w:r>
      <w:r>
        <w:t xml:space="preserve">PASS.</w:t>
      </w:r>
    </w:p>
    <w:bookmarkEnd w:id="32"/>
    <w:bookmarkEnd w:id="33"/>
    <w:bookmarkStart w:id="39" w:name="test-suite-budget-aware-context-packing"/>
    <w:p>
      <w:pPr>
        <w:pStyle w:val="Heading2"/>
      </w:pPr>
      <w:r>
        <w:t xml:space="preserve">4. Test Suite: Budget-Aware Context Packing</w:t>
      </w:r>
    </w:p>
    <w:p>
      <w:pPr>
        <w:pStyle w:val="FirstParagraph"/>
      </w:pPr>
      <w:r>
        <w:t xml:space="preserve">This suite verifies the exact DP solver’s optimality (Section 9.2), the greedy fallback’s approximation bound (Theorem 9.1), and directly targets Defect 3 (monograph Section 11.4): an unbounded O(N·C) memory profile in the original backtracking implementation.</w:t>
      </w:r>
    </w:p>
    <w:bookmarkStart w:id="34" w:name="X89e84644d9e3c42e74015a44cf47c61190fe49b"/>
    <w:p>
      <w:pPr>
        <w:pStyle w:val="Heading3"/>
      </w:pPr>
      <w:r>
        <w:t xml:space="preserve">TC-09: Exact DP Optimality vs. Brute Force</w:t>
      </w:r>
    </w:p>
    <w:p>
      <w:pPr>
        <w:numPr>
          <w:ilvl w:val="0"/>
          <w:numId w:val="1010"/>
        </w:numPr>
        <w:pStyle w:val="Compact"/>
      </w:pPr>
      <w:r>
        <w:rPr>
          <w:bCs/>
          <w:b/>
        </w:rPr>
        <w:t xml:space="preserve">Claim under test:</w:t>
      </w:r>
      <w:r>
        <w:t xml:space="preserve"> </w:t>
      </w:r>
      <w:r>
        <w:t xml:space="preserve">The DP recurrence of Section 9.2 produces the value-maximizing selection.</w:t>
      </w:r>
    </w:p>
    <w:p>
      <w:pPr>
        <w:numPr>
          <w:ilvl w:val="0"/>
          <w:numId w:val="1010"/>
        </w:numPr>
        <w:pStyle w:val="Compact"/>
      </w:pPr>
      <w:r>
        <w:rPr>
          <w:bCs/>
          <w:b/>
        </w:rPr>
        <w:t xml:space="preserve">Preconditions:</w:t>
      </w:r>
      <w:r>
        <w:t xml:space="preserve"> </w:t>
      </w:r>
      <w:r>
        <w:t xml:space="preserve">Exact solver enabled (max_dp_cells guard set high enough not to trigger fallback for this instance size).</w:t>
      </w:r>
    </w:p>
    <w:p>
      <w:pPr>
        <w:numPr>
          <w:ilvl w:val="0"/>
          <w:numId w:val="1010"/>
        </w:numPr>
        <w:pStyle w:val="Compact"/>
      </w:pPr>
      <w:r>
        <w:rPr>
          <w:bCs/>
          <w:b/>
        </w:rPr>
        <w:t xml:space="preserve">Input:</w:t>
      </w:r>
      <w:r>
        <w:t xml:space="preserve"> </w:t>
      </w:r>
      <w:r>
        <w:t xml:space="preserve">18 synthetic candidate chunks with randomly generated (value, token-weight) pairs (values uniform in [0.1, 1.0], weights uniform in [20, 300] tokens), token budget C = 800.</w:t>
      </w:r>
    </w:p>
    <w:p>
      <w:pPr>
        <w:numPr>
          <w:ilvl w:val="0"/>
          <w:numId w:val="1010"/>
        </w:numPr>
        <w:pStyle w:val="Compact"/>
      </w:pPr>
      <w:r>
        <w:rPr>
          <w:bCs/>
          <w:b/>
        </w:rPr>
        <w:t xml:space="preserve">Procedure:</w:t>
      </w:r>
      <w:r>
        <w:t xml:space="preserve"> </w:t>
      </w:r>
      <w:r>
        <w:t xml:space="preserve">Run the exact DP solver; separately enumerate all 2^18 = 262,144 possible inclusion/exclusion subsets by brute force, filter to budget-feasible subsets, and take the maximum-value one; compare the two selected values.</w:t>
      </w:r>
    </w:p>
    <w:p>
      <w:pPr>
        <w:numPr>
          <w:ilvl w:val="0"/>
          <w:numId w:val="1010"/>
        </w:numPr>
        <w:pStyle w:val="Compact"/>
      </w:pPr>
      <w:r>
        <w:rPr>
          <w:bCs/>
          <w:b/>
        </w:rPr>
        <w:t xml:space="preserve">Expected result:</w:t>
      </w:r>
      <w:r>
        <w:t xml:space="preserve"> </w:t>
      </w:r>
      <w:r>
        <w:t xml:space="preserve">DP-selected value exactly equals brute-force-optimal value.</w:t>
      </w:r>
    </w:p>
    <w:p>
      <w:pPr>
        <w:numPr>
          <w:ilvl w:val="0"/>
          <w:numId w:val="1010"/>
        </w:numPr>
        <w:pStyle w:val="Compact"/>
      </w:pPr>
      <w:r>
        <w:rPr>
          <w:bCs/>
          <w:b/>
        </w:rPr>
        <w:t xml:space="preserve">Actual result:</w:t>
      </w:r>
      <w:r>
        <w:t xml:space="preserve"> </w:t>
      </w:r>
      <w:r>
        <w:t xml:space="preserve">Both methods report identical optimal value (to the Ω=10⁴ quantization precision of Section 9.2) and an identical selected subset.</w:t>
      </w:r>
    </w:p>
    <w:p>
      <w:pPr>
        <w:numPr>
          <w:ilvl w:val="0"/>
          <w:numId w:val="1010"/>
        </w:numPr>
        <w:pStyle w:val="Compact"/>
      </w:pPr>
      <w:r>
        <w:rPr>
          <w:bCs/>
          <w:b/>
        </w:rPr>
        <w:t xml:space="preserve">Status:</w:t>
      </w:r>
      <w:r>
        <w:t xml:space="preserve"> </w:t>
      </w:r>
      <w:r>
        <w:t xml:space="preserve">PASS.</w:t>
      </w:r>
    </w:p>
    <w:bookmarkEnd w:id="34"/>
    <w:bookmarkStart w:id="35" w:name="tc-10-dp-optimality-repeated-trials"/>
    <w:p>
      <w:pPr>
        <w:pStyle w:val="Heading3"/>
      </w:pPr>
      <w:r>
        <w:t xml:space="preserve">TC-10: DP Optimality — Repeated Trials</w:t>
      </w:r>
    </w:p>
    <w:p>
      <w:pPr>
        <w:numPr>
          <w:ilvl w:val="0"/>
          <w:numId w:val="1011"/>
        </w:numPr>
        <w:pStyle w:val="Compact"/>
      </w:pPr>
      <w:r>
        <w:rPr>
          <w:bCs/>
          <w:b/>
        </w:rPr>
        <w:t xml:space="preserve">Claim under test:</w:t>
      </w:r>
      <w:r>
        <w:t xml:space="preserve"> </w:t>
      </w:r>
      <w:r>
        <w:t xml:space="preserve">TC-09’s result is not a coincidence of one random instance.</w:t>
      </w:r>
    </w:p>
    <w:p>
      <w:pPr>
        <w:numPr>
          <w:ilvl w:val="0"/>
          <w:numId w:val="1011"/>
        </w:numPr>
        <w:pStyle w:val="Compact"/>
      </w:pPr>
      <w:r>
        <w:rPr>
          <w:bCs/>
          <w:b/>
        </w:rPr>
        <w:t xml:space="preserve">Preconditions:</w:t>
      </w:r>
      <w:r>
        <w:t xml:space="preserve"> </w:t>
      </w:r>
      <w:r>
        <w:t xml:space="preserve">Same as TC-09.</w:t>
      </w:r>
    </w:p>
    <w:p>
      <w:pPr>
        <w:numPr>
          <w:ilvl w:val="0"/>
          <w:numId w:val="1011"/>
        </w:numPr>
        <w:pStyle w:val="Compact"/>
      </w:pPr>
      <w:r>
        <w:rPr>
          <w:bCs/>
          <w:b/>
        </w:rPr>
        <w:t xml:space="preserve">Input:</w:t>
      </w:r>
      <w:r>
        <w:t xml:space="preserve"> </w:t>
      </w:r>
      <w:r>
        <w:t xml:space="preserve">20 independently-generated random instances at N=16 (chosen to keep brute-force enumeration, 2^16 = 65,536 subsets, fast across 20 repeated trials), each with a freshly sampled budget C ∈ [400, 1000].</w:t>
      </w:r>
    </w:p>
    <w:p>
      <w:pPr>
        <w:numPr>
          <w:ilvl w:val="0"/>
          <w:numId w:val="1011"/>
        </w:numPr>
        <w:pStyle w:val="Compact"/>
      </w:pPr>
      <w:r>
        <w:rPr>
          <w:bCs/>
          <w:b/>
        </w:rPr>
        <w:t xml:space="preserve">Procedure:</w:t>
      </w:r>
      <w:r>
        <w:t xml:space="preserve"> </w:t>
      </w:r>
      <w:r>
        <w:t xml:space="preserve">Run DP and brute force on all 20 instances; count matches.</w:t>
      </w:r>
    </w:p>
    <w:p>
      <w:pPr>
        <w:numPr>
          <w:ilvl w:val="0"/>
          <w:numId w:val="1011"/>
        </w:numPr>
        <w:pStyle w:val="Compact"/>
      </w:pPr>
      <w:r>
        <w:rPr>
          <w:bCs/>
          <w:b/>
        </w:rPr>
        <w:t xml:space="preserve">Expected result:</w:t>
      </w:r>
      <w:r>
        <w:t xml:space="preserve"> </w:t>
      </w:r>
      <w:r>
        <w:t xml:space="preserve">20/20 exact matches.</w:t>
      </w:r>
    </w:p>
    <w:p>
      <w:pPr>
        <w:numPr>
          <w:ilvl w:val="0"/>
          <w:numId w:val="1011"/>
        </w:numPr>
        <w:pStyle w:val="Compact"/>
      </w:pPr>
      <w:r>
        <w:rPr>
          <w:bCs/>
          <w:b/>
        </w:rPr>
        <w:t xml:space="preserve">Actual result:</w:t>
      </w:r>
      <w:r>
        <w:t xml:space="preserve"> </w:t>
      </w:r>
      <w:r>
        <w:t xml:space="preserve">20/20 exact matches.</w:t>
      </w:r>
    </w:p>
    <w:p>
      <w:pPr>
        <w:numPr>
          <w:ilvl w:val="0"/>
          <w:numId w:val="1011"/>
        </w:numPr>
        <w:pStyle w:val="Compact"/>
      </w:pPr>
      <w:r>
        <w:rPr>
          <w:bCs/>
          <w:b/>
        </w:rPr>
        <w:t xml:space="preserve">Status:</w:t>
      </w:r>
      <w:r>
        <w:t xml:space="preserve"> </w:t>
      </w:r>
      <w:r>
        <w:t xml:space="preserve">PASS.</w:t>
      </w:r>
    </w:p>
    <w:bookmarkEnd w:id="35"/>
    <w:bookmarkStart w:id="36" w:name="Xa3ef0603f699290ee9da788b2dd2b6b23550efa"/>
    <w:p>
      <w:pPr>
        <w:pStyle w:val="Heading3"/>
      </w:pPr>
      <w:r>
        <w:t xml:space="preserve">TC-11: Greedy Fallback — Hard Budget Compliance Under Forced Trigger</w:t>
      </w:r>
    </w:p>
    <w:p>
      <w:pPr>
        <w:numPr>
          <w:ilvl w:val="0"/>
          <w:numId w:val="1012"/>
        </w:numPr>
        <w:pStyle w:val="Compact"/>
      </w:pPr>
      <w:r>
        <w:rPr>
          <w:bCs/>
          <w:b/>
        </w:rPr>
        <w:t xml:space="preserve">Claim under test:</w:t>
      </w:r>
      <w:r>
        <w:t xml:space="preserve"> </w:t>
      </w:r>
      <w:r>
        <w:t xml:space="preserve">Section 11.4’s fix — when max_dp_cells is exceeded, the packer falls back to the greedy heuristic, and the fallback path never exceeds the hard token ceiling.</w:t>
      </w:r>
    </w:p>
    <w:p>
      <w:pPr>
        <w:numPr>
          <w:ilvl w:val="0"/>
          <w:numId w:val="1012"/>
        </w:numPr>
        <w:pStyle w:val="Compact"/>
      </w:pPr>
      <w:r>
        <w:rPr>
          <w:bCs/>
          <w:b/>
        </w:rPr>
        <w:t xml:space="preserve">Preconditions:</w:t>
      </w:r>
      <w:r>
        <w:t xml:space="preserve"> </w:t>
      </w:r>
      <w:r>
        <w:t xml:space="preserve">max_dp_cells artificially set to 100 (a deliberately small guard, to force the fallback path on an instance that would otherwise run exactly).</w:t>
      </w:r>
    </w:p>
    <w:p>
      <w:pPr>
        <w:numPr>
          <w:ilvl w:val="0"/>
          <w:numId w:val="1012"/>
        </w:numPr>
        <w:pStyle w:val="Compact"/>
      </w:pPr>
      <w:r>
        <w:rPr>
          <w:bCs/>
          <w:b/>
        </w:rPr>
        <w:t xml:space="preserve">Input:</w:t>
      </w:r>
      <w:r>
        <w:t xml:space="preserve"> </w:t>
      </w:r>
      <w:r>
        <w:t xml:space="preserve">The same 18-item instance as TC-09 (N=18, C=800; N·C = 14,400 ≫ 100, guaranteed to exceed the guard).</w:t>
      </w:r>
    </w:p>
    <w:p>
      <w:pPr>
        <w:numPr>
          <w:ilvl w:val="0"/>
          <w:numId w:val="1012"/>
        </w:numPr>
        <w:pStyle w:val="Compact"/>
      </w:pPr>
      <w:r>
        <w:rPr>
          <w:bCs/>
          <w:b/>
        </w:rPr>
        <w:t xml:space="preserve">Procedure:</w:t>
      </w:r>
      <w:r>
        <w:t xml:space="preserve"> </w:t>
      </w:r>
      <w:r>
        <w:t xml:space="preserve">Run the packer; confirm the greedy fallback path executed (not the exact path); sum the token weights of the returned selection; compare against C=800.</w:t>
      </w:r>
    </w:p>
    <w:p>
      <w:pPr>
        <w:numPr>
          <w:ilvl w:val="0"/>
          <w:numId w:val="1012"/>
        </w:numPr>
        <w:pStyle w:val="Compact"/>
      </w:pPr>
      <w:r>
        <w:rPr>
          <w:bCs/>
          <w:b/>
        </w:rPr>
        <w:t xml:space="preserve">Expected result:</w:t>
      </w:r>
      <w:r>
        <w:t xml:space="preserve"> </w:t>
      </w:r>
      <w:r>
        <w:t xml:space="preserve">Fallback path reported as used (result object’s exact/approximate flag set to</w:t>
      </w:r>
      <w:r>
        <w:t xml:space="preserve"> </w:t>
      </w:r>
      <w:r>
        <w:t xml:space="preserve">“</w:t>
      </w:r>
      <w:r>
        <w:t xml:space="preserve">approximate</w:t>
      </w:r>
      <w:r>
        <w:t xml:space="preserve">”</w:t>
      </w:r>
      <w:r>
        <w:t xml:space="preserve">); total selected weight ≤ 800.</w:t>
      </w:r>
    </w:p>
    <w:p>
      <w:pPr>
        <w:numPr>
          <w:ilvl w:val="0"/>
          <w:numId w:val="1012"/>
        </w:numPr>
        <w:pStyle w:val="Compact"/>
      </w:pPr>
      <w:r>
        <w:rPr>
          <w:bCs/>
          <w:b/>
        </w:rPr>
        <w:t xml:space="preserve">Actual result:</w:t>
      </w:r>
      <w:r>
        <w:t xml:space="preserve"> </w:t>
      </w:r>
      <w:r>
        <w:t xml:space="preserve">Fallback path used as expected; total selected weight = 780 ≤ 800 (budget respected with 20 tokens of slack, consistent with the greedy algorithm’s item-granularity limitation on perfectly filling the budget).</w:t>
      </w:r>
    </w:p>
    <w:p>
      <w:pPr>
        <w:numPr>
          <w:ilvl w:val="0"/>
          <w:numId w:val="1012"/>
        </w:numPr>
        <w:pStyle w:val="Compact"/>
      </w:pPr>
      <w:r>
        <w:rPr>
          <w:bCs/>
          <w:b/>
        </w:rPr>
        <w:t xml:space="preserve">Status:</w:t>
      </w:r>
      <w:r>
        <w:t xml:space="preserve"> </w:t>
      </w:r>
      <w:r>
        <w:t xml:space="preserve">PASS.</w:t>
      </w:r>
    </w:p>
    <w:bookmarkEnd w:id="36"/>
    <w:bookmarkStart w:id="37" w:name="tc-12-greedy-12-approximation-bound"/>
    <w:p>
      <w:pPr>
        <w:pStyle w:val="Heading3"/>
      </w:pPr>
      <w:r>
        <w:t xml:space="preserve">TC-12: Greedy 1/2-Approximation Bound</w:t>
      </w:r>
    </w:p>
    <w:p>
      <w:pPr>
        <w:numPr>
          <w:ilvl w:val="0"/>
          <w:numId w:val="1013"/>
        </w:numPr>
        <w:pStyle w:val="Compact"/>
      </w:pPr>
      <w:r>
        <w:rPr>
          <w:bCs/>
          <w:b/>
        </w:rPr>
        <w:t xml:space="preserve">Claim under test:</w:t>
      </w:r>
      <w:r>
        <w:t xml:space="preserve"> </w:t>
      </w:r>
      <w:r>
        <w:t xml:space="preserve">Theorem 9.1 — the greedy value-density fallback achieves at least half the optimal value.</w:t>
      </w:r>
    </w:p>
    <w:p>
      <w:pPr>
        <w:numPr>
          <w:ilvl w:val="0"/>
          <w:numId w:val="1013"/>
        </w:numPr>
        <w:pStyle w:val="Compact"/>
      </w:pPr>
      <w:r>
        <w:rPr>
          <w:bCs/>
          <w:b/>
        </w:rPr>
        <w:t xml:space="preserve">Preconditions:</w:t>
      </w:r>
      <w:r>
        <w:t xml:space="preserve"> </w:t>
      </w:r>
      <w:r>
        <w:t xml:space="preserve">Same 20 instances as TC-10, run under both the exact solver (to establish OPT, per TC-10’s confirmed-optimal DP result) and the greedy fallback (forced via the TC-11 method).</w:t>
      </w:r>
    </w:p>
    <w:p>
      <w:pPr>
        <w:numPr>
          <w:ilvl w:val="0"/>
          <w:numId w:val="1013"/>
        </w:numPr>
        <w:pStyle w:val="Compact"/>
      </w:pPr>
      <w:r>
        <w:rPr>
          <w:bCs/>
          <w:b/>
        </w:rPr>
        <w:t xml:space="preserve">Input:</w:t>
      </w:r>
      <w:r>
        <w:t xml:space="preserve"> </w:t>
      </w:r>
      <w:r>
        <w:t xml:space="preserve">The 20 instances from TC-10.</w:t>
      </w:r>
    </w:p>
    <w:p>
      <w:pPr>
        <w:numPr>
          <w:ilvl w:val="0"/>
          <w:numId w:val="1013"/>
        </w:numPr>
        <w:pStyle w:val="Compact"/>
      </w:pPr>
      <w:r>
        <w:rPr>
          <w:bCs/>
          <w:b/>
        </w:rPr>
        <w:t xml:space="preserve">Procedure:</w:t>
      </w:r>
      <w:r>
        <w:t xml:space="preserve"> </w:t>
      </w:r>
      <w:r>
        <w:t xml:space="preserve">For each instance, compute greedy_value / OPT_value; check the ratio against the 0.5 lower bound predicted by Theorem 9.1.</w:t>
      </w:r>
    </w:p>
    <w:p>
      <w:pPr>
        <w:numPr>
          <w:ilvl w:val="0"/>
          <w:numId w:val="1013"/>
        </w:numPr>
        <w:pStyle w:val="Compact"/>
      </w:pPr>
      <w:r>
        <w:rPr>
          <w:bCs/>
          <w:b/>
        </w:rPr>
        <w:t xml:space="preserve">Expected result:</w:t>
      </w:r>
      <w:r>
        <w:t xml:space="preserve"> </w:t>
      </w:r>
      <w:r>
        <w:t xml:space="preserve">All 20 ratios ≥ 0.5.</w:t>
      </w:r>
    </w:p>
    <w:p>
      <w:pPr>
        <w:numPr>
          <w:ilvl w:val="0"/>
          <w:numId w:val="1013"/>
        </w:numPr>
        <w:pStyle w:val="Compact"/>
      </w:pPr>
      <w:r>
        <w:rPr>
          <w:bCs/>
          <w:b/>
        </w:rPr>
        <w:t xml:space="preserve">Actual result:</w:t>
      </w:r>
      <w:r>
        <w:t xml:space="preserve"> </w:t>
      </w:r>
      <w:r>
        <w:t xml:space="preserve">All 20 ratios ≥ 0.5; observed range 0.71–1.0 across the 20 instances (comfortably above the theoretical worst-case bound, consistent with the bound being a guaranteed floor rather than a typical-case estimate).</w:t>
      </w:r>
    </w:p>
    <w:p>
      <w:pPr>
        <w:numPr>
          <w:ilvl w:val="0"/>
          <w:numId w:val="1013"/>
        </w:numPr>
        <w:pStyle w:val="Compact"/>
      </w:pPr>
      <w:r>
        <w:rPr>
          <w:bCs/>
          <w:b/>
        </w:rPr>
        <w:t xml:space="preserve">Status:</w:t>
      </w:r>
      <w:r>
        <w:t xml:space="preserve"> </w:t>
      </w:r>
      <w:r>
        <w:t xml:space="preserve">PASS.</w:t>
      </w:r>
    </w:p>
    <w:bookmarkEnd w:id="37"/>
    <w:bookmarkStart w:id="38" w:name="X6004527278ef8068596ef389d40f6357234db73"/>
    <w:p>
      <w:pPr>
        <w:pStyle w:val="Heading3"/>
      </w:pPr>
      <w:r>
        <w:t xml:space="preserve">TC-13: Protected-Structure Preservation Under Tight Budget</w:t>
      </w:r>
    </w:p>
    <w:p>
      <w:pPr>
        <w:numPr>
          <w:ilvl w:val="0"/>
          <w:numId w:val="1014"/>
        </w:numPr>
        <w:pStyle w:val="Compact"/>
      </w:pPr>
      <w:r>
        <w:rPr>
          <w:bCs/>
          <w:b/>
        </w:rPr>
        <w:t xml:space="preserve">Claim under test:</w:t>
      </w:r>
      <w:r>
        <w:t xml:space="preserve"> </w:t>
      </w:r>
      <w:r>
        <w:t xml:space="preserve">The end-to-end claim motivating Sections 8–9 — that knapsack packing avoids truncating a large, high-value structural unit, unlike naive top-k truncation.</w:t>
      </w:r>
    </w:p>
    <w:p>
      <w:pPr>
        <w:numPr>
          <w:ilvl w:val="0"/>
          <w:numId w:val="1014"/>
        </w:numPr>
        <w:pStyle w:val="Compact"/>
      </w:pPr>
      <w:r>
        <w:rPr>
          <w:bCs/>
          <w:b/>
        </w:rPr>
        <w:t xml:space="preserve">Preconditions:</w:t>
      </w:r>
      <w:r>
        <w:t xml:space="preserve"> </w:t>
      </w:r>
      <w:r>
        <w:t xml:space="preserve">Exact solver enabled.</w:t>
      </w:r>
    </w:p>
    <w:p>
      <w:pPr>
        <w:numPr>
          <w:ilvl w:val="0"/>
          <w:numId w:val="1014"/>
        </w:numPr>
        <w:pStyle w:val="Compact"/>
      </w:pPr>
      <w:r>
        <w:rPr>
          <w:bCs/>
          <w:b/>
        </w:rPr>
        <w:t xml:space="preserve">Input:</w:t>
      </w:r>
      <w:r>
        <w:t xml:space="preserve"> </w:t>
      </w:r>
      <w:r>
        <w:t xml:space="preserve">The five-chunk worked example of monograph Appendix F (title, two body columns, table, footer; token budget C=400), reproduced here as an executable test rather than a narrative illustration.</w:t>
      </w:r>
    </w:p>
    <w:p>
      <w:pPr>
        <w:numPr>
          <w:ilvl w:val="0"/>
          <w:numId w:val="1014"/>
        </w:numPr>
        <w:pStyle w:val="Compact"/>
      </w:pPr>
      <w:r>
        <w:rPr>
          <w:bCs/>
          <w:b/>
        </w:rPr>
        <w:t xml:space="preserve">Procedure:</w:t>
      </w:r>
      <w:r>
        <w:t xml:space="preserve"> </w:t>
      </w:r>
      <w:r>
        <w:t xml:space="preserve">Run the exact DP solver on the Appendix F values; separately simulate naive top-k-similarity truncation (sort by raw cosine similarity, greedily fill budget, truncating the last item that doesn’t fully fit) on the same input; compare whether either method truncates a chunk mid-unit.</w:t>
      </w:r>
    </w:p>
    <w:p>
      <w:pPr>
        <w:numPr>
          <w:ilvl w:val="0"/>
          <w:numId w:val="1014"/>
        </w:numPr>
        <w:pStyle w:val="Compact"/>
      </w:pPr>
      <w:r>
        <w:rPr>
          <w:bCs/>
          <w:b/>
        </w:rPr>
        <w:t xml:space="preserve">Expected result:</w:t>
      </w:r>
      <w:r>
        <w:t xml:space="preserve"> </w:t>
      </w:r>
      <w:r>
        <w:t xml:space="preserve">DP-based packer selects {title, table, footer} intact, no partial-chunk truncation; naive top-k truncation either drops the table entirely after the highest-similarity item or truncates a column chunk mid-content, depending on the specific truncation implementation.</w:t>
      </w:r>
    </w:p>
    <w:p>
      <w:pPr>
        <w:numPr>
          <w:ilvl w:val="0"/>
          <w:numId w:val="1014"/>
        </w:numPr>
        <w:pStyle w:val="Compact"/>
      </w:pPr>
      <w:r>
        <w:rPr>
          <w:bCs/>
          <w:b/>
        </w:rPr>
        <w:t xml:space="preserve">Actual result:</w:t>
      </w:r>
      <w:r>
        <w:t xml:space="preserve"> </w:t>
      </w:r>
      <w:r>
        <w:t xml:space="preserve">DP-based packer selected {title, table, footer} exactly as predicted in Appendix F, with total value 1.049 and weight 230/400 tokens — no chunk truncated mid-unit. The naive top-k baseline, implemented as a comparison harness for this test only, selected {table} then attempted {column A} (340 tokens) against a remaining budget of 190 tokens and dropped it entirely rather than including it partially (this specific baseline implementation chooses to drop rather than truncate at the token boundary — a</w:t>
      </w:r>
      <w:r>
        <w:t xml:space="preserve"> </w:t>
      </w:r>
      <w:r>
        <w:rPr>
          <w:iCs/>
          <w:i/>
        </w:rPr>
        <w:t xml:space="preserve">different</w:t>
      </w:r>
      <w:r>
        <w:t xml:space="preserve">, though still suboptimal, failure mode than mid-unit truncation, and is reported here exactly as observed rather than adjusted to match the monograph’s illustrative worst case).</w:t>
      </w:r>
    </w:p>
    <w:p>
      <w:pPr>
        <w:numPr>
          <w:ilvl w:val="0"/>
          <w:numId w:val="1014"/>
        </w:numPr>
        <w:pStyle w:val="Compact"/>
      </w:pPr>
      <w:r>
        <w:rPr>
          <w:bCs/>
          <w:b/>
        </w:rPr>
        <w:t xml:space="preserve">Status:</w:t>
      </w:r>
      <w:r>
        <w:t xml:space="preserve"> </w:t>
      </w:r>
      <w:r>
        <w:t xml:space="preserve">PASS, with a noted caveat: this test confirms the packer’s own selection is structure-preserving; it does not confirm mid-unit truncation specifically for every possible naive-baseline implementation, since the comparison baseline used here happens to drop-not-truncate. A baseline configured to truncate at the exact token boundary (rather than drop) would be needed to reproduce the literal mid-row-truncation scenario Section 1.2 describes; this is noted as a refinement for a future revision of this test rather than a failure of the claim under test, which concerns the packer’s own behavior.</w:t>
      </w:r>
    </w:p>
    <w:bookmarkEnd w:id="38"/>
    <w:bookmarkEnd w:id="39"/>
    <w:bookmarkStart w:id="45" w:name="X14f9a24bc4de9511b670a058582ecd2ec6ceab2"/>
    <w:p>
      <w:pPr>
        <w:pStyle w:val="Heading2"/>
      </w:pPr>
      <w:r>
        <w:t xml:space="preserve">5. Test Suite: Extension Components (Multimodal and Large-Scale)</w:t>
      </w:r>
    </w:p>
    <w:p>
      <w:pPr>
        <w:pStyle w:val="FirstParagraph"/>
      </w:pPr>
      <w:r>
        <w:t xml:space="preserve">These test cases correspond to Feasibility Report items V5 and V6 (Demonstrated-at-small-scale tier): implemented and verified against synthetic instances, not yet against realistic multimodal document workloads at scale.</w:t>
      </w:r>
    </w:p>
    <w:bookmarkStart w:id="40" w:name="Xdaa2bdf6b397ea9d554e8d79e896364067da19b"/>
    <w:p>
      <w:pPr>
        <w:pStyle w:val="Heading3"/>
      </w:pPr>
      <w:r>
        <w:t xml:space="preserve">TC-14: Multi-Choice Knapsack Optimality vs. Brute Force</w:t>
      </w:r>
    </w:p>
    <w:p>
      <w:pPr>
        <w:numPr>
          <w:ilvl w:val="0"/>
          <w:numId w:val="1015"/>
        </w:numPr>
        <w:pStyle w:val="Compact"/>
      </w:pPr>
      <w:r>
        <w:rPr>
          <w:bCs/>
          <w:b/>
        </w:rPr>
        <w:t xml:space="preserve">Claim under test:</w:t>
      </w:r>
      <w:r>
        <w:t xml:space="preserve"> </w:t>
      </w:r>
      <w:r>
        <w:t xml:space="preserve">The multi-choice DP recurrence (Section 12.1) produces the value-maximizing tier selection across asset groups, with at most one tier selected per group.</w:t>
      </w:r>
    </w:p>
    <w:p>
      <w:pPr>
        <w:numPr>
          <w:ilvl w:val="0"/>
          <w:numId w:val="1015"/>
        </w:numPr>
        <w:pStyle w:val="Compact"/>
      </w:pPr>
      <w:r>
        <w:rPr>
          <w:bCs/>
          <w:b/>
        </w:rPr>
        <w:t xml:space="preserve">Preconditions:</w:t>
      </w:r>
      <w:r>
        <w:t xml:space="preserve"> </w:t>
      </w:r>
      <w:r>
        <w:t xml:space="preserve">Multi-choice solver enabled.</w:t>
      </w:r>
    </w:p>
    <w:p>
      <w:pPr>
        <w:numPr>
          <w:ilvl w:val="0"/>
          <w:numId w:val="1015"/>
        </w:numPr>
        <w:pStyle w:val="Compact"/>
      </w:pPr>
      <w:r>
        <w:rPr>
          <w:bCs/>
          <w:b/>
        </w:rPr>
        <w:t xml:space="preserve">Input:</w:t>
      </w:r>
      <w:r>
        <w:t xml:space="preserve"> </w:t>
      </w:r>
      <w:r>
        <w:t xml:space="preserve">6 synthetic asset groups (representing 6 multimodal assets), each with 3 representation tiers (caption-only, structured-summary, full-embedding) with monotonically increasing (value, weight) pairs per tier, budget C = 600.</w:t>
      </w:r>
    </w:p>
    <w:p>
      <w:pPr>
        <w:numPr>
          <w:ilvl w:val="0"/>
          <w:numId w:val="1015"/>
        </w:numPr>
        <w:pStyle w:val="Compact"/>
      </w:pPr>
      <w:r>
        <w:rPr>
          <w:bCs/>
          <w:b/>
        </w:rPr>
        <w:t xml:space="preserve">Procedure:</w:t>
      </w:r>
      <w:r>
        <w:t xml:space="preserve"> </w:t>
      </w:r>
      <w:r>
        <w:t xml:space="preserve">Run the multi-choice DP solver; enumerate all 4^6 = 4,096 valid tier-selection combinations (3 tiers + skip, per group) by brute force; compare optimal values.</w:t>
      </w:r>
    </w:p>
    <w:p>
      <w:pPr>
        <w:numPr>
          <w:ilvl w:val="0"/>
          <w:numId w:val="1015"/>
        </w:numPr>
        <w:pStyle w:val="Compact"/>
      </w:pPr>
      <w:r>
        <w:rPr>
          <w:bCs/>
          <w:b/>
        </w:rPr>
        <w:t xml:space="preserve">Expected result:</w:t>
      </w:r>
      <w:r>
        <w:t xml:space="preserve"> </w:t>
      </w:r>
      <w:r>
        <w:t xml:space="preserve">Exact match; no group has more than one tier selected.</w:t>
      </w:r>
    </w:p>
    <w:p>
      <w:pPr>
        <w:numPr>
          <w:ilvl w:val="0"/>
          <w:numId w:val="1015"/>
        </w:numPr>
        <w:pStyle w:val="Compact"/>
      </w:pPr>
      <w:r>
        <w:rPr>
          <w:bCs/>
          <w:b/>
        </w:rPr>
        <w:t xml:space="preserve">Actual result:</w:t>
      </w:r>
      <w:r>
        <w:t xml:space="preserve"> </w:t>
      </w:r>
      <w:r>
        <w:t xml:space="preserve">Exact match on selected value; constraint satisfied for all 6 groups in the DP solution.</w:t>
      </w:r>
    </w:p>
    <w:p>
      <w:pPr>
        <w:numPr>
          <w:ilvl w:val="0"/>
          <w:numId w:val="1015"/>
        </w:numPr>
        <w:pStyle w:val="Compact"/>
      </w:pPr>
      <w:r>
        <w:rPr>
          <w:bCs/>
          <w:b/>
        </w:rPr>
        <w:t xml:space="preserve">Status:</w:t>
      </w:r>
      <w:r>
        <w:t xml:space="preserve"> </w:t>
      </w:r>
      <w:r>
        <w:t xml:space="preserve">PASS.</w:t>
      </w:r>
    </w:p>
    <w:bookmarkEnd w:id="40"/>
    <w:bookmarkStart w:id="41" w:name="Xe969aa677e90ce435fa56355f627bf5b3ca787b"/>
    <w:p>
      <w:pPr>
        <w:pStyle w:val="Heading3"/>
      </w:pPr>
      <w:r>
        <w:t xml:space="preserve">TC-15: Lagrangian Relaxation Weak-Duality Sandwich</w:t>
      </w:r>
    </w:p>
    <w:p>
      <w:pPr>
        <w:numPr>
          <w:ilvl w:val="0"/>
          <w:numId w:val="1016"/>
        </w:numPr>
        <w:pStyle w:val="Compact"/>
      </w:pPr>
      <w:r>
        <w:rPr>
          <w:bCs/>
          <w:b/>
        </w:rPr>
        <w:t xml:space="preserve">Claim under test:</w:t>
      </w:r>
      <w:r>
        <w:t xml:space="preserve"> </w:t>
      </w:r>
      <w:r>
        <w:t xml:space="preserve">Section 12.2 — the Lagrangian dual bound upper-bounds true optimum, and the constructed primal-feasible solution lower-bounds it, with the gap narrowing across subgradient iterations.</w:t>
      </w:r>
    </w:p>
    <w:p>
      <w:pPr>
        <w:numPr>
          <w:ilvl w:val="0"/>
          <w:numId w:val="1016"/>
        </w:numPr>
        <w:pStyle w:val="Compact"/>
      </w:pPr>
      <w:r>
        <w:rPr>
          <w:bCs/>
          <w:b/>
        </w:rPr>
        <w:t xml:space="preserve">Preconditions:</w:t>
      </w:r>
      <w:r>
        <w:t xml:space="preserve"> </w:t>
      </w:r>
      <w:r>
        <w:t xml:space="preserve">Lagrangian solver configured with initial multiplier 0.1, subgradient step size decaying as 1/sqrt(t).</w:t>
      </w:r>
    </w:p>
    <w:p>
      <w:pPr>
        <w:numPr>
          <w:ilvl w:val="0"/>
          <w:numId w:val="1016"/>
        </w:numPr>
        <w:pStyle w:val="Compact"/>
      </w:pPr>
      <w:r>
        <w:rPr>
          <w:bCs/>
          <w:b/>
        </w:rPr>
        <w:t xml:space="preserve">Input:</w:t>
      </w:r>
      <w:r>
        <w:t xml:space="preserve"> </w:t>
      </w:r>
      <w:r>
        <w:t xml:space="preserve">The same 6-group instance as TC-14 (small enough for brute-force ground truth to be available for comparison).</w:t>
      </w:r>
    </w:p>
    <w:p>
      <w:pPr>
        <w:numPr>
          <w:ilvl w:val="0"/>
          <w:numId w:val="1016"/>
        </w:numPr>
        <w:pStyle w:val="Compact"/>
      </w:pPr>
      <w:r>
        <w:rPr>
          <w:bCs/>
          <w:b/>
        </w:rPr>
        <w:t xml:space="preserve">Procedure:</w:t>
      </w:r>
      <w:r>
        <w:t xml:space="preserve"> </w:t>
      </w:r>
      <w:r>
        <w:t xml:space="preserve">Run 50 subgradient iterations; record the dual bound and constructed primal-feasible value at iterations 1, 10, 25, 50; compare both against the TC-14 brute-force optimum.</w:t>
      </w:r>
    </w:p>
    <w:p>
      <w:pPr>
        <w:numPr>
          <w:ilvl w:val="0"/>
          <w:numId w:val="1016"/>
        </w:numPr>
        <w:pStyle w:val="Compact"/>
      </w:pPr>
      <w:r>
        <w:rPr>
          <w:bCs/>
          <w:b/>
        </w:rPr>
        <w:t xml:space="preserve">Expected result:</w:t>
      </w:r>
      <w:r>
        <w:t xml:space="preserve"> </w:t>
      </w:r>
      <w:r>
        <w:t xml:space="preserve">Dual bound is greater than or equal to true optimum, which is greater than or equal to primal-feasible value, at every iteration; gap (dual minus primal) non-increasing on average across iterations.</w:t>
      </w:r>
    </w:p>
    <w:p>
      <w:pPr>
        <w:numPr>
          <w:ilvl w:val="0"/>
          <w:numId w:val="1016"/>
        </w:numPr>
        <w:pStyle w:val="Compact"/>
      </w:pPr>
      <w:r>
        <w:rPr>
          <w:bCs/>
          <w:b/>
        </w:rPr>
        <w:t xml:space="preserve">Actual result:</w:t>
      </w:r>
      <w:r>
        <w:t xml:space="preserve"> </w:t>
      </w:r>
      <w:r>
        <w:t xml:space="preserve">Sandwich property held at all 4 checkpoints; gap decreased from 0.34 (iteration 1) to 0.03 (iteration 50), with true optimum (from TC-14) confirmed within the sandwich at every checkpoint.</w:t>
      </w:r>
    </w:p>
    <w:p>
      <w:pPr>
        <w:numPr>
          <w:ilvl w:val="0"/>
          <w:numId w:val="1016"/>
        </w:numPr>
        <w:pStyle w:val="Compact"/>
      </w:pPr>
      <w:r>
        <w:rPr>
          <w:bCs/>
          <w:b/>
        </w:rPr>
        <w:t xml:space="preserve">Status:</w:t>
      </w:r>
      <w:r>
        <w:t xml:space="preserve"> </w:t>
      </w:r>
      <w:r>
        <w:t xml:space="preserve">PASS.</w:t>
      </w:r>
    </w:p>
    <w:bookmarkEnd w:id="41"/>
    <w:bookmarkStart w:id="42" w:name="Xfb9fa41bc4907abc19a7dba3d51c5723f86b247"/>
    <w:p>
      <w:pPr>
        <w:pStyle w:val="Heading3"/>
      </w:pPr>
      <w:r>
        <w:t xml:space="preserve">TC-16: Spectral Embedder — Known Cluster Recovery</w:t>
      </w:r>
    </w:p>
    <w:p>
      <w:pPr>
        <w:numPr>
          <w:ilvl w:val="0"/>
          <w:numId w:val="1017"/>
        </w:numPr>
        <w:pStyle w:val="Compact"/>
      </w:pPr>
      <w:r>
        <w:rPr>
          <w:bCs/>
          <w:b/>
        </w:rPr>
        <w:t xml:space="preserve">Claim under test:</w:t>
      </w:r>
      <w:r>
        <w:t xml:space="preserve"> </w:t>
      </w:r>
      <w:r>
        <w:t xml:space="preserve">Section 12.4 — the spectral embedder correctly separates elements into their constituent structural clusters.</w:t>
      </w:r>
    </w:p>
    <w:p>
      <w:pPr>
        <w:numPr>
          <w:ilvl w:val="0"/>
          <w:numId w:val="1017"/>
        </w:numPr>
        <w:pStyle w:val="Compact"/>
      </w:pPr>
      <w:r>
        <w:rPr>
          <w:bCs/>
          <w:b/>
        </w:rPr>
        <w:t xml:space="preserve">Preconditions:</w:t>
      </w:r>
      <w:r>
        <w:t xml:space="preserve"> </w:t>
      </w:r>
      <w:r>
        <w:t xml:space="preserve">Spectral engine configured with default Laplacian normalization (symmetric normalized Laplacian).</w:t>
      </w:r>
    </w:p>
    <w:p>
      <w:pPr>
        <w:numPr>
          <w:ilvl w:val="0"/>
          <w:numId w:val="1017"/>
        </w:numPr>
        <w:pStyle w:val="Compact"/>
      </w:pPr>
      <w:r>
        <w:rPr>
          <w:bCs/>
          <w:b/>
        </w:rPr>
        <w:t xml:space="preserve">Input:</w:t>
      </w:r>
      <w:r>
        <w:t xml:space="preserve"> </w:t>
      </w:r>
      <w:r>
        <w:t xml:space="preserve">A synthetic affinity matrix constructed block-diagonal by design: 3 clusters of 8 elements each, with high within-block affinity (0.8-1.0) and low cross-block affinity (0.0-0.1) - ground-truth cluster membership known by construction.</w:t>
      </w:r>
    </w:p>
    <w:p>
      <w:pPr>
        <w:numPr>
          <w:ilvl w:val="0"/>
          <w:numId w:val="1017"/>
        </w:numPr>
        <w:pStyle w:val="Compact"/>
      </w:pPr>
      <w:r>
        <w:rPr>
          <w:bCs/>
          <w:b/>
        </w:rPr>
        <w:t xml:space="preserve">Procedure:</w:t>
      </w:r>
      <w:r>
        <w:t xml:space="preserve"> </w:t>
      </w:r>
      <w:r>
        <w:t xml:space="preserve">Run spectral clustering on the synthetic affinity matrix; compare recovered cluster assignment against the known ground truth.</w:t>
      </w:r>
    </w:p>
    <w:p>
      <w:pPr>
        <w:numPr>
          <w:ilvl w:val="0"/>
          <w:numId w:val="1017"/>
        </w:numPr>
        <w:pStyle w:val="Compact"/>
      </w:pPr>
      <w:r>
        <w:rPr>
          <w:bCs/>
          <w:b/>
        </w:rPr>
        <w:t xml:space="preserve">Expected result:</w:t>
      </w:r>
      <w:r>
        <w:t xml:space="preserve"> </w:t>
      </w:r>
      <w:r>
        <w:t xml:space="preserve">All 24 elements correctly assigned to their constructed block.</w:t>
      </w:r>
    </w:p>
    <w:p>
      <w:pPr>
        <w:numPr>
          <w:ilvl w:val="0"/>
          <w:numId w:val="1017"/>
        </w:numPr>
        <w:pStyle w:val="Compact"/>
      </w:pPr>
      <w:r>
        <w:rPr>
          <w:bCs/>
          <w:b/>
        </w:rPr>
        <w:t xml:space="preserve">Actual result:</w:t>
      </w:r>
      <w:r>
        <w:t xml:space="preserve"> </w:t>
      </w:r>
      <w:r>
        <w:t xml:space="preserve">24/24 elements correctly clustered; no cross-block misassignment.</w:t>
      </w:r>
    </w:p>
    <w:p>
      <w:pPr>
        <w:numPr>
          <w:ilvl w:val="0"/>
          <w:numId w:val="1017"/>
        </w:numPr>
        <w:pStyle w:val="Compact"/>
      </w:pPr>
      <w:r>
        <w:rPr>
          <w:bCs/>
          <w:b/>
        </w:rPr>
        <w:t xml:space="preserve">Status:</w:t>
      </w:r>
      <w:r>
        <w:t xml:space="preserve"> </w:t>
      </w:r>
      <w:r>
        <w:t xml:space="preserve">PASS (on synthetic, block-diagonal-by-construction input only - this test does not establish performance on real document structural graphs, where cluster boundaries are not this clean; see Section 7, item TC-NE-2).</w:t>
      </w:r>
    </w:p>
    <w:bookmarkEnd w:id="42"/>
    <w:bookmarkStart w:id="43" w:name="X5b763a3ea68259ff260e367cf9fe4deff93821a"/>
    <w:p>
      <w:pPr>
        <w:pStyle w:val="Heading3"/>
      </w:pPr>
      <w:r>
        <w:t xml:space="preserve">TC-17: Hitting-Time Monotonicity on a Path Graph</w:t>
      </w:r>
    </w:p>
    <w:p>
      <w:pPr>
        <w:numPr>
          <w:ilvl w:val="0"/>
          <w:numId w:val="1018"/>
        </w:numPr>
        <w:pStyle w:val="Compact"/>
      </w:pPr>
      <w:r>
        <w:rPr>
          <w:bCs/>
          <w:b/>
        </w:rPr>
        <w:t xml:space="preserve">Claim under test:</w:t>
      </w:r>
      <w:r>
        <w:t xml:space="preserve"> </w:t>
      </w:r>
      <w:r>
        <w:t xml:space="preserve">Section 12.5 — expected hitting time increases monotonically with graph distance, on the simplest structurally unambiguous test case.</w:t>
      </w:r>
    </w:p>
    <w:p>
      <w:pPr>
        <w:numPr>
          <w:ilvl w:val="0"/>
          <w:numId w:val="1018"/>
        </w:numPr>
        <w:pStyle w:val="Compact"/>
      </w:pPr>
      <w:r>
        <w:rPr>
          <w:bCs/>
          <w:b/>
        </w:rPr>
        <w:t xml:space="preserve">Preconditions:</w:t>
      </w:r>
      <w:r>
        <w:t xml:space="preserve"> </w:t>
      </w:r>
      <w:r>
        <w:t xml:space="preserve">Absorbing Markov chain formulation configured per Section 12.5.</w:t>
      </w:r>
    </w:p>
    <w:p>
      <w:pPr>
        <w:numPr>
          <w:ilvl w:val="0"/>
          <w:numId w:val="1018"/>
        </w:numPr>
        <w:pStyle w:val="Compact"/>
      </w:pPr>
      <w:r>
        <w:rPr>
          <w:bCs/>
          <w:b/>
        </w:rPr>
        <w:t xml:space="preserve">Input:</w:t>
      </w:r>
      <w:r>
        <w:t xml:space="preserve"> </w:t>
      </w:r>
      <w:r>
        <w:t xml:space="preserve">A synthetic 10-node path graph (a simple linear chain, node 1 through node 10, each connected only to its immediate neighbors).</w:t>
      </w:r>
    </w:p>
    <w:p>
      <w:pPr>
        <w:numPr>
          <w:ilvl w:val="0"/>
          <w:numId w:val="1018"/>
        </w:numPr>
        <w:pStyle w:val="Compact"/>
      </w:pPr>
      <w:r>
        <w:rPr>
          <w:bCs/>
          <w:b/>
        </w:rPr>
        <w:t xml:space="preserve">Procedure:</w:t>
      </w:r>
      <w:r>
        <w:t xml:space="preserve"> </w:t>
      </w:r>
      <w:r>
        <w:t xml:space="preserve">Compute expected hitting time from node 1 to each of nodes 2 through 10; check for monotonic increase.</w:t>
      </w:r>
    </w:p>
    <w:p>
      <w:pPr>
        <w:numPr>
          <w:ilvl w:val="0"/>
          <w:numId w:val="1018"/>
        </w:numPr>
        <w:pStyle w:val="Compact"/>
      </w:pPr>
      <w:r>
        <w:rPr>
          <w:bCs/>
          <w:b/>
        </w:rPr>
        <w:t xml:space="preserve">Expected result:</w:t>
      </w:r>
      <w:r>
        <w:t xml:space="preserve"> </w:t>
      </w:r>
      <w:r>
        <w:t xml:space="preserve">Hitting time strictly increasing from node 2 through node 10.</w:t>
      </w:r>
    </w:p>
    <w:p>
      <w:pPr>
        <w:numPr>
          <w:ilvl w:val="0"/>
          <w:numId w:val="1018"/>
        </w:numPr>
        <w:pStyle w:val="Compact"/>
      </w:pPr>
      <w:r>
        <w:rPr>
          <w:bCs/>
          <w:b/>
        </w:rPr>
        <w:t xml:space="preserve">Actual result:</w:t>
      </w:r>
      <w:r>
        <w:t xml:space="preserve"> </w:t>
      </w:r>
      <w:r>
        <w:t xml:space="preserve">Strictly increasing sequence observed across all 9 measured hitting times.</w:t>
      </w:r>
    </w:p>
    <w:p>
      <w:pPr>
        <w:numPr>
          <w:ilvl w:val="0"/>
          <w:numId w:val="1018"/>
        </w:numPr>
        <w:pStyle w:val="Compact"/>
      </w:pPr>
      <w:r>
        <w:rPr>
          <w:bCs/>
          <w:b/>
        </w:rPr>
        <w:t xml:space="preserve">Status:</w:t>
      </w:r>
      <w:r>
        <w:t xml:space="preserve"> </w:t>
      </w:r>
      <w:r>
        <w:t xml:space="preserve">PASS.</w:t>
      </w:r>
    </w:p>
    <w:bookmarkEnd w:id="43"/>
    <w:bookmarkStart w:id="44" w:name="X3c5bfbe3852924627cca3839cc07a02b5d10ac8"/>
    <w:p>
      <w:pPr>
        <w:pStyle w:val="Heading3"/>
      </w:pPr>
      <w:r>
        <w:t xml:space="preserve">TC-18: Contextual Bandit Convergence Under Simulated Feedback</w:t>
      </w:r>
    </w:p>
    <w:p>
      <w:pPr>
        <w:numPr>
          <w:ilvl w:val="0"/>
          <w:numId w:val="1019"/>
        </w:numPr>
        <w:pStyle w:val="Compact"/>
      </w:pPr>
      <w:r>
        <w:rPr>
          <w:bCs/>
          <w:b/>
        </w:rPr>
        <w:t xml:space="preserve">Claim under test:</w:t>
      </w:r>
      <w:r>
        <w:t xml:space="preserve"> </w:t>
      </w:r>
      <w:r>
        <w:t xml:space="preserve">Section 13.5 — the LinUCB router converges toward selecting a higher-reward arm with increasing frequency under repeated feedback.</w:t>
      </w:r>
    </w:p>
    <w:p>
      <w:pPr>
        <w:numPr>
          <w:ilvl w:val="0"/>
          <w:numId w:val="1019"/>
        </w:numPr>
        <w:pStyle w:val="Compact"/>
      </w:pPr>
      <w:r>
        <w:rPr>
          <w:bCs/>
          <w:b/>
        </w:rPr>
        <w:t xml:space="preserve">Preconditions:</w:t>
      </w:r>
      <w:r>
        <w:t xml:space="preserve"> </w:t>
      </w:r>
      <w:r>
        <w:t xml:space="preserve">LinUCB configured with exploration parameter 1.0, 4 candidate arms, fixed context vector.</w:t>
      </w:r>
    </w:p>
    <w:p>
      <w:pPr>
        <w:numPr>
          <w:ilvl w:val="0"/>
          <w:numId w:val="1019"/>
        </w:numPr>
        <w:pStyle w:val="Compact"/>
      </w:pPr>
      <w:r>
        <w:rPr>
          <w:bCs/>
          <w:b/>
        </w:rPr>
        <w:t xml:space="preserve">Input:</w:t>
      </w:r>
      <w:r>
        <w:t xml:space="preserve"> </w:t>
      </w:r>
      <w:r>
        <w:t xml:space="preserve">A synthetic reward function assigning arm 3 a reward margin of +0.2 over the other three arms (each drawn from the same base distribution otherwise), simulated over 2,000 rounds.</w:t>
      </w:r>
    </w:p>
    <w:p>
      <w:pPr>
        <w:numPr>
          <w:ilvl w:val="0"/>
          <w:numId w:val="1019"/>
        </w:numPr>
        <w:pStyle w:val="Compact"/>
      </w:pPr>
      <w:r>
        <w:rPr>
          <w:bCs/>
          <w:b/>
        </w:rPr>
        <w:t xml:space="preserve">Procedure:</w:t>
      </w:r>
      <w:r>
        <w:t xml:space="preserve"> </w:t>
      </w:r>
      <w:r>
        <w:t xml:space="preserve">Run the bandit loop for 2,000 rounds; track arm-3 selection frequency across rounds 1-100, 500-600, and 1,900-2,000.</w:t>
      </w:r>
    </w:p>
    <w:p>
      <w:pPr>
        <w:numPr>
          <w:ilvl w:val="0"/>
          <w:numId w:val="1019"/>
        </w:numPr>
        <w:pStyle w:val="Compact"/>
      </w:pPr>
      <w:r>
        <w:rPr>
          <w:bCs/>
          <w:b/>
        </w:rPr>
        <w:t xml:space="preserve">Expected result:</w:t>
      </w:r>
      <w:r>
        <w:t xml:space="preserve"> </w:t>
      </w:r>
      <w:r>
        <w:t xml:space="preserve">Increasing arm-3 selection frequency across the three windows, converging toward consistent arm-3 selection by the final window.</w:t>
      </w:r>
    </w:p>
    <w:p>
      <w:pPr>
        <w:numPr>
          <w:ilvl w:val="0"/>
          <w:numId w:val="1019"/>
        </w:numPr>
        <w:pStyle w:val="Compact"/>
      </w:pPr>
      <w:r>
        <w:rPr>
          <w:bCs/>
          <w:b/>
        </w:rPr>
        <w:t xml:space="preserve">Actual result:</w:t>
      </w:r>
      <w:r>
        <w:t xml:space="preserve"> </w:t>
      </w:r>
      <w:r>
        <w:t xml:space="preserve">Arm-3 selection frequency: 31% (rounds 1-100), 68% (rounds 500-600), 94% (rounds 1,900-2,000) - consistent with the predicted exploration-to-exploitation convergence pattern.</w:t>
      </w:r>
    </w:p>
    <w:p>
      <w:pPr>
        <w:numPr>
          <w:ilvl w:val="0"/>
          <w:numId w:val="1019"/>
        </w:numPr>
        <w:pStyle w:val="Compact"/>
      </w:pPr>
      <w:r>
        <w:rPr>
          <w:bCs/>
          <w:b/>
        </w:rPr>
        <w:t xml:space="preserve">Status:</w:t>
      </w:r>
      <w:r>
        <w:t xml:space="preserve"> </w:t>
      </w:r>
      <w:r>
        <w:t xml:space="preserve">PASS (convergence-behavior test only; reward-signal calibration against real user-satisfaction data is a separate, not-yet-executed question - see Feasibility Report risk R7).</w:t>
      </w:r>
    </w:p>
    <w:bookmarkEnd w:id="44"/>
    <w:bookmarkEnd w:id="45"/>
    <w:bookmarkStart w:id="48" w:name="X5715adf7f95cb6dee418f1bbbffe50432914d69"/>
    <w:p>
      <w:pPr>
        <w:pStyle w:val="Heading2"/>
      </w:pPr>
      <w:r>
        <w:t xml:space="preserve">6. Test Suite: End-to-End Pipeline Integration</w:t>
      </w:r>
    </w:p>
    <w:p>
      <w:pPr>
        <w:pStyle w:val="FirstParagraph"/>
      </w:pPr>
      <w:r>
        <w:t xml:space="preserve">Individually-passing component tests do not by themselves establish that components compose correctly. This suite verifies that composition.</w:t>
      </w:r>
    </w:p>
    <w:bookmarkStart w:id="46" w:name="X572c3c89dd87e9c9f3753cfc2b8db8dbb1ca053"/>
    <w:p>
      <w:pPr>
        <w:pStyle w:val="Heading3"/>
      </w:pPr>
      <w:r>
        <w:t xml:space="preserve">TC-19: Full Pipeline Trace — Synthetic Mixed-Layout Document</w:t>
      </w:r>
    </w:p>
    <w:p>
      <w:pPr>
        <w:numPr>
          <w:ilvl w:val="0"/>
          <w:numId w:val="1020"/>
        </w:numPr>
        <w:pStyle w:val="Compact"/>
      </w:pPr>
      <w:r>
        <w:rPr>
          <w:bCs/>
          <w:b/>
        </w:rPr>
        <w:t xml:space="preserve">Claim under test:</w:t>
      </w:r>
      <w:r>
        <w:t xml:space="preserve"> </w:t>
      </w:r>
      <w:r>
        <w:t xml:space="preserve">The individually-tested stages (reading order, chunking, packing) compose correctly end-to-end, per monograph Section 11.5’s stated intent for the 18-case suite to include integration coverage, not only isolated unit tests.</w:t>
      </w:r>
    </w:p>
    <w:p>
      <w:pPr>
        <w:numPr>
          <w:ilvl w:val="0"/>
          <w:numId w:val="1020"/>
        </w:numPr>
        <w:pStyle w:val="Compact"/>
      </w:pPr>
      <w:r>
        <w:rPr>
          <w:bCs/>
          <w:b/>
        </w:rPr>
        <w:t xml:space="preserve">Preconditions:</w:t>
      </w:r>
      <w:r>
        <w:t xml:space="preserve"> </w:t>
      </w:r>
      <w:r>
        <w:t xml:space="preserve">Full pipeline configured with the settings used across TC-01 through TC-13 (default weights, thresholds, and budgets as stated in each respective test case).</w:t>
      </w:r>
    </w:p>
    <w:p>
      <w:pPr>
        <w:numPr>
          <w:ilvl w:val="0"/>
          <w:numId w:val="1020"/>
        </w:numPr>
        <w:pStyle w:val="Compact"/>
      </w:pPr>
      <w:r>
        <w:rPr>
          <w:bCs/>
          <w:b/>
        </w:rPr>
        <w:t xml:space="preserve">Input:</w:t>
      </w:r>
      <w:r>
        <w:t xml:space="preserve"> </w:t>
      </w:r>
      <w:r>
        <w:t xml:space="preserve">A synthetic 3-page document combining every structural pattern exercised individually above: page 1 has a two-column layout (per TC-03), page 2 has a title/table/footer arrangement (per TC-13’s Appendix F structure), and page 3 has a long uniform-font run exceeding the soft chunking budget (per TC-08). Total: 27 elements across 3 pages, approximately 2,100 tokens.</w:t>
      </w:r>
    </w:p>
    <w:p>
      <w:pPr>
        <w:numPr>
          <w:ilvl w:val="0"/>
          <w:numId w:val="1020"/>
        </w:numPr>
        <w:pStyle w:val="Compact"/>
      </w:pPr>
      <w:r>
        <w:rPr>
          <w:bCs/>
          <w:b/>
        </w:rPr>
        <w:t xml:space="preserve">Procedure:</w:t>
      </w:r>
      <w:r>
        <w:t xml:space="preserve"> </w:t>
      </w:r>
      <w:r>
        <w:t xml:space="preserve">Run ingestion through context-building end-to-end: graph construction and reading-order recovery (Section 6), elastic chunking (Section 7), value scoring against a synthetic query targeting the page-2 table (Section 8), and exact knapsack packing at budget C=500 (Section 9). At each stage boundary, assert the invariant that stage is individually responsible for (no column interleaving after graph construction; no protected-type merge after chunking; budget compliance and reading-order-consistent final ordering after packing).</w:t>
      </w:r>
    </w:p>
    <w:p>
      <w:pPr>
        <w:numPr>
          <w:ilvl w:val="0"/>
          <w:numId w:val="1020"/>
        </w:numPr>
        <w:pStyle w:val="Compact"/>
      </w:pPr>
      <w:r>
        <w:rPr>
          <w:bCs/>
          <w:b/>
        </w:rPr>
        <w:t xml:space="preserve">Expected result:</w:t>
      </w:r>
      <w:r>
        <w:t xml:space="preserve"> </w:t>
      </w:r>
      <w:r>
        <w:t xml:space="preserve">All per-stage invariants hold simultaneously on the composed pipeline, and the final packed context is re-sorted into reading order (Section 6.6) rather than left in value-rank order.</w:t>
      </w:r>
    </w:p>
    <w:p>
      <w:pPr>
        <w:numPr>
          <w:ilvl w:val="0"/>
          <w:numId w:val="1020"/>
        </w:numPr>
        <w:pStyle w:val="Compact"/>
      </w:pPr>
      <w:r>
        <w:rPr>
          <w:bCs/>
          <w:b/>
        </w:rPr>
        <w:t xml:space="preserve">Actual result:</w:t>
      </w:r>
      <w:r>
        <w:t xml:space="preserve"> </w:t>
      </w:r>
      <w:r>
        <w:t xml:space="preserve">All invariants held: page-1 columns remained non-interleaved through reading-order recovery; the page-2 table remained unmerged through chunking; the page-3 long run was split at the soft-budget boundary as in TC-08; the packer selected a budget-compliant subset including the page-2 table intact; and the final delivered chunk order matched the graph-recovered reading order rather than the packer’s internal value-rank order.</w:t>
      </w:r>
    </w:p>
    <w:p>
      <w:pPr>
        <w:numPr>
          <w:ilvl w:val="0"/>
          <w:numId w:val="1020"/>
        </w:numPr>
        <w:pStyle w:val="Compact"/>
      </w:pPr>
      <w:r>
        <w:rPr>
          <w:bCs/>
          <w:b/>
        </w:rPr>
        <w:t xml:space="preserve">Status:</w:t>
      </w:r>
      <w:r>
        <w:t xml:space="preserve"> </w:t>
      </w:r>
      <w:r>
        <w:t xml:space="preserve">PASS.</w:t>
      </w:r>
    </w:p>
    <w:bookmarkEnd w:id="46"/>
    <w:bookmarkStart w:id="47" w:name="X0293f03d9b4c7aa3d6362f5229b382099c8c1e5"/>
    <w:p>
      <w:pPr>
        <w:pStyle w:val="Heading3"/>
      </w:pPr>
      <w:r>
        <w:t xml:space="preserve">Reading This Result Alongside the Component Tests</w:t>
      </w:r>
    </w:p>
    <w:p>
      <w:pPr>
        <w:pStyle w:val="FirstParagraph"/>
      </w:pPr>
      <w:r>
        <w:t xml:space="preserve">TC-19’s pass status is evidence of a different and additional claim than TC-01–TC-18 individually provide: not merely that each stage is correct in isolation, but that no stage’s output violates an assumption a downstream stage depends on. This is the specific integration-level concern the monograph’s Section 11.7</w:t>
      </w:r>
      <w:r>
        <w:t xml:space="preserve"> </w:t>
      </w:r>
      <w:r>
        <w:t xml:space="preserve">“</w:t>
      </w:r>
      <w:r>
        <w:t xml:space="preserve">general lesson</w:t>
      </w:r>
      <w:r>
        <w:t xml:space="preserve">”</w:t>
      </w:r>
      <w:r>
        <w:t xml:space="preserve"> </w:t>
      </w:r>
      <w:r>
        <w:t xml:space="preserve">flags — a defect can live in the gap between two individually-correct components as easily as within one component — and TC-19 is this document’s direct answer to that concern for the three Established-tier stages. It does not extend that answer to the Demonstrated-at-small-scale extension components of Section 5, whose integration with the core pipeline under production-scale multimodal load remains an open item (Section 7).</w:t>
      </w:r>
    </w:p>
    <w:bookmarkEnd w:id="47"/>
    <w:bookmarkEnd w:id="48"/>
    <w:bookmarkStart w:id="56" w:name="specified-but-not-yet-executed"/>
    <w:p>
      <w:pPr>
        <w:pStyle w:val="Heading2"/>
      </w:pPr>
      <w:r>
        <w:t xml:space="preserve">7. Specified but Not Yet Executed</w:t>
      </w:r>
    </w:p>
    <w:p>
      <w:pPr>
        <w:pStyle w:val="FirstParagraph"/>
      </w:pPr>
      <w:r>
        <w:t xml:space="preserve">Consistent with this document’s credibility standard (Section 1), the following test cases are specified precisely enough to run but have not yet been executed against the reference implementation. Listing them here — rather than omitting them, or listing them as passing without evidence — is itself part of this document’s credibility claim: a reader should be able to see exactly where the evidence currently ends.</w:t>
      </w:r>
    </w:p>
    <w:bookmarkStart w:id="49" w:name="Xb81bf59658563270b90c2f90877e9096948c0a7"/>
    <w:p>
      <w:pPr>
        <w:pStyle w:val="Heading3"/>
      </w:pPr>
      <w:r>
        <w:t xml:space="preserve">TC-NE-1: Trained Semantic Encoder A/B Benchmark</w:t>
      </w:r>
    </w:p>
    <w:p>
      <w:pPr>
        <w:numPr>
          <w:ilvl w:val="0"/>
          <w:numId w:val="1021"/>
        </w:numPr>
        <w:pStyle w:val="Compact"/>
      </w:pPr>
      <w:r>
        <w:rPr>
          <w:bCs/>
          <w:b/>
        </w:rPr>
        <w:t xml:space="preserve">Corresponds to:</w:t>
      </w:r>
      <w:r>
        <w:t xml:space="preserve"> </w:t>
      </w:r>
      <w:r>
        <w:t xml:space="preserve">Feasibility Report item V7, risk R4.</w:t>
      </w:r>
    </w:p>
    <w:p>
      <w:pPr>
        <w:numPr>
          <w:ilvl w:val="0"/>
          <w:numId w:val="1021"/>
        </w:numPr>
        <w:pStyle w:val="Compact"/>
      </w:pPr>
      <w:r>
        <w:rPr>
          <w:bCs/>
          <w:b/>
        </w:rPr>
        <w:t xml:space="preserve">Would verify:</w:t>
      </w:r>
      <w:r>
        <w:t xml:space="preserve"> </w:t>
      </w:r>
      <w:r>
        <w:t xml:space="preserve">Whether a trained LayoutLMv3-class semantic encoder improves retrieval precision over the structurally-verified mock currently wired into the semantic engine (monograph Section 5.6).</w:t>
      </w:r>
    </w:p>
    <w:p>
      <w:pPr>
        <w:numPr>
          <w:ilvl w:val="0"/>
          <w:numId w:val="1021"/>
        </w:numPr>
        <w:pStyle w:val="Compact"/>
      </w:pPr>
      <w:r>
        <w:rPr>
          <w:bCs/>
          <w:b/>
        </w:rPr>
        <w:t xml:space="preserve">Blocking dependency:</w:t>
      </w:r>
      <w:r>
        <w:t xml:space="preserve"> </w:t>
      </w:r>
      <w:r>
        <w:t xml:space="preserve">Requires a trained encoder to be integrated first (Feasibility Report Section 2.5 schedule item).</w:t>
      </w:r>
    </w:p>
    <w:p>
      <w:pPr>
        <w:numPr>
          <w:ilvl w:val="0"/>
          <w:numId w:val="1021"/>
        </w:numPr>
        <w:pStyle w:val="Compact"/>
      </w:pPr>
      <w:r>
        <w:rPr>
          <w:bCs/>
          <w:b/>
        </w:rPr>
        <w:t xml:space="preserve">Status:</w:t>
      </w:r>
      <w:r>
        <w:t xml:space="preserve"> </w:t>
      </w:r>
      <w:r>
        <w:t xml:space="preserve">NOT YET EXECUTED.</w:t>
      </w:r>
    </w:p>
    <w:bookmarkEnd w:id="49"/>
    <w:bookmarkStart w:id="50" w:name="X748021fc03ee4e1df9dc907a5b6167e529e0f1a"/>
    <w:p>
      <w:pPr>
        <w:pStyle w:val="Heading3"/>
      </w:pPr>
      <w:r>
        <w:t xml:space="preserve">TC-NE-2: Spectral Clustering on Real Document Structural Graphs</w:t>
      </w:r>
    </w:p>
    <w:p>
      <w:pPr>
        <w:numPr>
          <w:ilvl w:val="0"/>
          <w:numId w:val="1022"/>
        </w:numPr>
        <w:pStyle w:val="Compact"/>
      </w:pPr>
      <w:r>
        <w:rPr>
          <w:bCs/>
          <w:b/>
        </w:rPr>
        <w:t xml:space="preserve">Corresponds to:</w:t>
      </w:r>
      <w:r>
        <w:t xml:space="preserve"> </w:t>
      </w:r>
      <w:r>
        <w:t xml:space="preserve">Extends TC-16 beyond synthetic block-diagonal input.</w:t>
      </w:r>
    </w:p>
    <w:p>
      <w:pPr>
        <w:numPr>
          <w:ilvl w:val="0"/>
          <w:numId w:val="1022"/>
        </w:numPr>
        <w:pStyle w:val="Compact"/>
      </w:pPr>
      <w:r>
        <w:rPr>
          <w:bCs/>
          <w:b/>
        </w:rPr>
        <w:t xml:space="preserve">Would verify:</w:t>
      </w:r>
      <w:r>
        <w:t xml:space="preserve"> </w:t>
      </w:r>
      <w:r>
        <w:t xml:space="preserve">Whether the spectral embedder’s clean recovery on synthetic clusters (TC-16) transfers to real document structural graphs, where cluster boundaries are typically noisier and human-annotated ground truth is required for comparison.</w:t>
      </w:r>
    </w:p>
    <w:p>
      <w:pPr>
        <w:numPr>
          <w:ilvl w:val="0"/>
          <w:numId w:val="1022"/>
        </w:numPr>
        <w:pStyle w:val="Compact"/>
      </w:pPr>
      <w:r>
        <w:rPr>
          <w:bCs/>
          <w:b/>
        </w:rPr>
        <w:t xml:space="preserve">Blocking dependency:</w:t>
      </w:r>
      <w:r>
        <w:t xml:space="preserve"> </w:t>
      </w:r>
      <w:r>
        <w:t xml:space="preserve">Requires a human-annotated structural-grouping ground-truth set, not yet assembled.</w:t>
      </w:r>
    </w:p>
    <w:p>
      <w:pPr>
        <w:numPr>
          <w:ilvl w:val="0"/>
          <w:numId w:val="1022"/>
        </w:numPr>
        <w:pStyle w:val="Compact"/>
      </w:pPr>
      <w:r>
        <w:rPr>
          <w:bCs/>
          <w:b/>
        </w:rPr>
        <w:t xml:space="preserve">Status:</w:t>
      </w:r>
      <w:r>
        <w:t xml:space="preserve"> </w:t>
      </w:r>
      <w:r>
        <w:t xml:space="preserve">NOT YET EXECUTED.</w:t>
      </w:r>
    </w:p>
    <w:bookmarkEnd w:id="50"/>
    <w:bookmarkStart w:id="51" w:name="X24d557064e6a2efa3b2b6f1e86b96192a703419"/>
    <w:p>
      <w:pPr>
        <w:pStyle w:val="Heading3"/>
      </w:pPr>
      <w:r>
        <w:t xml:space="preserve">TC-NE-3: Multimodal Encoder Semantic Quality (Image/Flowchart)</w:t>
      </w:r>
    </w:p>
    <w:p>
      <w:pPr>
        <w:numPr>
          <w:ilvl w:val="0"/>
          <w:numId w:val="1023"/>
        </w:numPr>
        <w:pStyle w:val="Compact"/>
      </w:pPr>
      <w:r>
        <w:rPr>
          <w:bCs/>
          <w:b/>
        </w:rPr>
        <w:t xml:space="preserve">Corresponds to:</w:t>
      </w:r>
      <w:r>
        <w:t xml:space="preserve"> </w:t>
      </w:r>
      <w:r>
        <w:t xml:space="preserve">Feasibility Report item V8, risk R5.</w:t>
      </w:r>
    </w:p>
    <w:p>
      <w:pPr>
        <w:numPr>
          <w:ilvl w:val="0"/>
          <w:numId w:val="1023"/>
        </w:numPr>
        <w:pStyle w:val="Compact"/>
      </w:pPr>
      <w:r>
        <w:rPr>
          <w:bCs/>
          <w:b/>
        </w:rPr>
        <w:t xml:space="preserve">Would verify:</w:t>
      </w:r>
      <w:r>
        <w:t xml:space="preserve"> </w:t>
      </w:r>
      <w:r>
        <w:t xml:space="preserve">Semantic retrieval quality of the image and flowchart encoders (monograph Section 12.3) once trained, versus their currently structurally-verified-only status.</w:t>
      </w:r>
    </w:p>
    <w:p>
      <w:pPr>
        <w:numPr>
          <w:ilvl w:val="0"/>
          <w:numId w:val="1023"/>
        </w:numPr>
        <w:pStyle w:val="Compact"/>
      </w:pPr>
      <w:r>
        <w:rPr>
          <w:bCs/>
          <w:b/>
        </w:rPr>
        <w:t xml:space="preserve">Blocking dependency:</w:t>
      </w:r>
      <w:r>
        <w:t xml:space="preserve"> </w:t>
      </w:r>
      <w:r>
        <w:t xml:space="preserve">Requires a labeled diagram/figure training corpus (Feasibility Report Section 2.5 schedule item).</w:t>
      </w:r>
    </w:p>
    <w:p>
      <w:pPr>
        <w:numPr>
          <w:ilvl w:val="0"/>
          <w:numId w:val="1023"/>
        </w:numPr>
        <w:pStyle w:val="Compact"/>
      </w:pPr>
      <w:r>
        <w:rPr>
          <w:bCs/>
          <w:b/>
        </w:rPr>
        <w:t xml:space="preserve">Status:</w:t>
      </w:r>
      <w:r>
        <w:t xml:space="preserve"> </w:t>
      </w:r>
      <w:r>
        <w:t xml:space="preserve">NOT YET EXECUTED.</w:t>
      </w:r>
    </w:p>
    <w:bookmarkEnd w:id="51"/>
    <w:bookmarkStart w:id="52" w:name="tc-ne-4-end-to-end-failure-injection"/>
    <w:p>
      <w:pPr>
        <w:pStyle w:val="Heading3"/>
      </w:pPr>
      <w:r>
        <w:t xml:space="preserve">TC-NE-4: End-to-End Failure Injection</w:t>
      </w:r>
    </w:p>
    <w:p>
      <w:pPr>
        <w:numPr>
          <w:ilvl w:val="0"/>
          <w:numId w:val="1024"/>
        </w:numPr>
        <w:pStyle w:val="Compact"/>
      </w:pPr>
      <w:r>
        <w:rPr>
          <w:bCs/>
          <w:b/>
        </w:rPr>
        <w:t xml:space="preserve">Corresponds to:</w:t>
      </w:r>
      <w:r>
        <w:t xml:space="preserve"> </w:t>
      </w:r>
      <w:r>
        <w:t xml:space="preserve">Feasibility Report item V9, risk R6.</w:t>
      </w:r>
    </w:p>
    <w:p>
      <w:pPr>
        <w:numPr>
          <w:ilvl w:val="0"/>
          <w:numId w:val="1024"/>
        </w:numPr>
        <w:pStyle w:val="Compact"/>
      </w:pPr>
      <w:r>
        <w:rPr>
          <w:bCs/>
          <w:b/>
        </w:rPr>
        <w:t xml:space="preserve">Would verify:</w:t>
      </w:r>
      <w:r>
        <w:t xml:space="preserve"> </w:t>
      </w:r>
      <w:r>
        <w:t xml:space="preserve">Whether each of the fallback paths specified in monograph Workflow 5 (dense-retrieval failure, vector-database outage, LLM timeout, OCR low-confidence escalation) actually activates within its stated latency budget when the corresponding failure is deliberately injected, as distinct from each fallback</w:t>
      </w:r>
      <w:r>
        <w:t xml:space="preserve"> </w:t>
      </w:r>
      <w:r>
        <w:rPr>
          <w:iCs/>
          <w:i/>
        </w:rPr>
        <w:t xml:space="preserve">condition</w:t>
      </w:r>
      <w:r>
        <w:t xml:space="preserve"> </w:t>
      </w:r>
      <w:r>
        <w:t xml:space="preserve">being individually specifiable and unit-testable (which is already true).</w:t>
      </w:r>
    </w:p>
    <w:p>
      <w:pPr>
        <w:numPr>
          <w:ilvl w:val="0"/>
          <w:numId w:val="1024"/>
        </w:numPr>
        <w:pStyle w:val="Compact"/>
      </w:pPr>
      <w:r>
        <w:rPr>
          <w:bCs/>
          <w:b/>
        </w:rPr>
        <w:t xml:space="preserve">Blocking dependency:</w:t>
      </w:r>
      <w:r>
        <w:t xml:space="preserve"> </w:t>
      </w:r>
      <w:r>
        <w:t xml:space="preserve">Requires a staging environment with the ability to deliberately fail each dependency independently (Feasibility Report Section 4.7 test-environment requirement).</w:t>
      </w:r>
    </w:p>
    <w:p>
      <w:pPr>
        <w:numPr>
          <w:ilvl w:val="0"/>
          <w:numId w:val="1024"/>
        </w:numPr>
        <w:pStyle w:val="Compact"/>
      </w:pPr>
      <w:r>
        <w:rPr>
          <w:bCs/>
          <w:b/>
        </w:rPr>
        <w:t xml:space="preserve">Status:</w:t>
      </w:r>
      <w:r>
        <w:t xml:space="preserve"> </w:t>
      </w:r>
      <w:r>
        <w:t xml:space="preserve">NOT YET EXECUTED.</w:t>
      </w:r>
    </w:p>
    <w:bookmarkEnd w:id="52"/>
    <w:bookmarkStart w:id="53" w:name="Xed0f538f4e4eac76dac3aacdbba3d214e30bce7"/>
    <w:p>
      <w:pPr>
        <w:pStyle w:val="Heading3"/>
      </w:pPr>
      <w:r>
        <w:t xml:space="preserve">TC-NE-5: Tenant-Isolation Adversarial Audit</w:t>
      </w:r>
    </w:p>
    <w:p>
      <w:pPr>
        <w:numPr>
          <w:ilvl w:val="0"/>
          <w:numId w:val="1025"/>
        </w:numPr>
        <w:pStyle w:val="Compact"/>
      </w:pPr>
      <w:r>
        <w:rPr>
          <w:bCs/>
          <w:b/>
        </w:rPr>
        <w:t xml:space="preserve">Corresponds to:</w:t>
      </w:r>
      <w:r>
        <w:t xml:space="preserve"> </w:t>
      </w:r>
      <w:r>
        <w:t xml:space="preserve">Feasibility Report item V10, risk R1 (Critical priority).</w:t>
      </w:r>
    </w:p>
    <w:p>
      <w:pPr>
        <w:numPr>
          <w:ilvl w:val="0"/>
          <w:numId w:val="1025"/>
        </w:numPr>
        <w:pStyle w:val="Compact"/>
      </w:pPr>
      <w:r>
        <w:rPr>
          <w:bCs/>
          <w:b/>
        </w:rPr>
        <w:t xml:space="preserve">Would verify:</w:t>
      </w:r>
      <w:r>
        <w:t xml:space="preserve"> </w:t>
      </w:r>
      <w:r>
        <w:t xml:space="preserve">Whether the three independently-enforced row-level-security layers (lexical index, vector index, relational metadata store) and the Tier-2 semantic-cache tenant scoping (monograph Section 17.3) actually prevent cross-tenant data access under deliberate adversarial attempts, as distinct from the isolation</w:t>
      </w:r>
      <w:r>
        <w:t xml:space="preserve"> </w:t>
      </w:r>
      <w:r>
        <w:rPr>
          <w:iCs/>
          <w:i/>
        </w:rPr>
        <w:t xml:space="preserve">design</w:t>
      </w:r>
      <w:r>
        <w:t xml:space="preserve"> </w:t>
      </w:r>
      <w:r>
        <w:t xml:space="preserve">being specified precisely (which is already true).</w:t>
      </w:r>
    </w:p>
    <w:p>
      <w:pPr>
        <w:numPr>
          <w:ilvl w:val="0"/>
          <w:numId w:val="1025"/>
        </w:numPr>
        <w:pStyle w:val="Compact"/>
      </w:pPr>
      <w:r>
        <w:rPr>
          <w:bCs/>
          <w:b/>
        </w:rPr>
        <w:t xml:space="preserve">Blocking dependency:</w:t>
      </w:r>
      <w:r>
        <w:t xml:space="preserve"> </w:t>
      </w:r>
      <w:r>
        <w:t xml:space="preserve">Requires an engaged third-party security auditor or a dedicated internal red-team allocation (Feasibility Report Section 4.7).</w:t>
      </w:r>
    </w:p>
    <w:p>
      <w:pPr>
        <w:numPr>
          <w:ilvl w:val="0"/>
          <w:numId w:val="1025"/>
        </w:numPr>
        <w:pStyle w:val="Compact"/>
      </w:pPr>
      <w:r>
        <w:rPr>
          <w:bCs/>
          <w:b/>
        </w:rPr>
        <w:t xml:space="preserve">Status:</w:t>
      </w:r>
      <w:r>
        <w:t xml:space="preserve"> </w:t>
      </w:r>
      <w:r>
        <w:t xml:space="preserve">NOT YET EXECUTED. Flagged as the single highest-priority item in this document given its Critical risk-register priority.</w:t>
      </w:r>
    </w:p>
    <w:bookmarkEnd w:id="53"/>
    <w:bookmarkStart w:id="54" w:name="Xc168af7e8be96ba53ef1f06f6c153c525ed80d8"/>
    <w:p>
      <w:pPr>
        <w:pStyle w:val="Heading3"/>
      </w:pPr>
      <w:r>
        <w:t xml:space="preserve">TC-NE-6: Corpus-Scale Load Test (Three Sub-Tests)</w:t>
      </w:r>
    </w:p>
    <w:p>
      <w:pPr>
        <w:numPr>
          <w:ilvl w:val="0"/>
          <w:numId w:val="1026"/>
        </w:numPr>
        <w:pStyle w:val="Compact"/>
      </w:pPr>
      <w:r>
        <w:rPr>
          <w:bCs/>
          <w:b/>
        </w:rPr>
        <w:t xml:space="preserve">Corresponds to:</w:t>
      </w:r>
      <w:r>
        <w:t xml:space="preserve"> </w:t>
      </w:r>
      <w:r>
        <w:t xml:space="preserve">Feasibility Report Section 4.4’s bounded load-testing protocol, risk R2.</w:t>
      </w:r>
    </w:p>
    <w:p>
      <w:pPr>
        <w:numPr>
          <w:ilvl w:val="0"/>
          <w:numId w:val="1026"/>
        </w:numPr>
        <w:pStyle w:val="Compact"/>
      </w:pPr>
      <w:r>
        <w:rPr>
          <w:bCs/>
          <w:b/>
        </w:rPr>
        <w:t xml:space="preserve">Would verify:</w:t>
      </w:r>
      <w:r>
        <w:t xml:space="preserve"> </w:t>
      </w:r>
      <w:r>
        <w:t xml:space="preserve">ANN index sub-linearity, tenant-filter latency behavior, and ingestion-throughput bottleneck location at the 1M/10M/100M document scale points.</w:t>
      </w:r>
    </w:p>
    <w:p>
      <w:pPr>
        <w:numPr>
          <w:ilvl w:val="0"/>
          <w:numId w:val="1026"/>
        </w:numPr>
        <w:pStyle w:val="Compact"/>
      </w:pPr>
      <w:r>
        <w:rPr>
          <w:bCs/>
          <w:b/>
        </w:rPr>
        <w:t xml:space="preserve">Blocking dependency:</w:t>
      </w:r>
      <w:r>
        <w:t xml:space="preserve"> </w:t>
      </w:r>
      <w:r>
        <w:t xml:space="preserve">Requires a provisioned staging environment at corpus scale and a synthetic or de-identified document set (Feasibility Report Section 4.7).</w:t>
      </w:r>
    </w:p>
    <w:p>
      <w:pPr>
        <w:numPr>
          <w:ilvl w:val="0"/>
          <w:numId w:val="1026"/>
        </w:numPr>
        <w:pStyle w:val="Compact"/>
      </w:pPr>
      <w:r>
        <w:rPr>
          <w:bCs/>
          <w:b/>
        </w:rPr>
        <w:t xml:space="preserve">Status:</w:t>
      </w:r>
      <w:r>
        <w:t xml:space="preserve"> </w:t>
      </w:r>
      <w:r>
        <w:t xml:space="preserve">NOT YET EXECUTED.</w:t>
      </w:r>
    </w:p>
    <w:bookmarkEnd w:id="54"/>
    <w:bookmarkStart w:id="55" w:name="X5d229b925692e0fcb021f667fab98a7ae59ba10"/>
    <w:p>
      <w:pPr>
        <w:pStyle w:val="Heading3"/>
      </w:pPr>
      <w:r>
        <w:t xml:space="preserve">TC-NE-7: Measured Token/Latency Reduction at Accuracy Parity</w:t>
      </w:r>
    </w:p>
    <w:p>
      <w:pPr>
        <w:numPr>
          <w:ilvl w:val="0"/>
          <w:numId w:val="1027"/>
        </w:numPr>
        <w:pStyle w:val="Compact"/>
      </w:pPr>
      <w:r>
        <w:rPr>
          <w:bCs/>
          <w:b/>
        </w:rPr>
        <w:t xml:space="preserve">Corresponds to:</w:t>
      </w:r>
      <w:r>
        <w:t xml:space="preserve"> </w:t>
      </w:r>
      <w:r>
        <w:t xml:space="preserve">Feasibility Report Section 4.3’s cost-telemetry extension, risk R3.</w:t>
      </w:r>
    </w:p>
    <w:p>
      <w:pPr>
        <w:numPr>
          <w:ilvl w:val="0"/>
          <w:numId w:val="1027"/>
        </w:numPr>
        <w:pStyle w:val="Compact"/>
      </w:pPr>
      <w:r>
        <w:rPr>
          <w:bCs/>
          <w:b/>
        </w:rPr>
        <w:t xml:space="preserve">Would verify:</w:t>
      </w:r>
      <w:r>
        <w:t xml:space="preserve"> </w:t>
      </w:r>
      <w:r>
        <w:t xml:space="preserve">Whether the monograph’s Table 5 targets (20-70% token reduction, 30-60% latency reduction) are met when measured against the naive-chunking baseline at matched accuracy, using the DocVQA/TAT-QA protocol.</w:t>
      </w:r>
    </w:p>
    <w:p>
      <w:pPr>
        <w:numPr>
          <w:ilvl w:val="0"/>
          <w:numId w:val="1027"/>
        </w:numPr>
        <w:pStyle w:val="Compact"/>
      </w:pPr>
      <w:r>
        <w:rPr>
          <w:bCs/>
          <w:b/>
        </w:rPr>
        <w:t xml:space="preserve">Blocking dependency:</w:t>
      </w:r>
      <w:r>
        <w:t xml:space="preserve"> </w:t>
      </w:r>
      <w:r>
        <w:t xml:space="preserve">Requires the DocVQA/TAT-QA benchmark run itself (Feasibility Report Section 4.3), which is a broader prerequisite this specific measurement rides alongside.</w:t>
      </w:r>
    </w:p>
    <w:p>
      <w:pPr>
        <w:numPr>
          <w:ilvl w:val="0"/>
          <w:numId w:val="1027"/>
        </w:numPr>
        <w:pStyle w:val="Compact"/>
      </w:pPr>
      <w:r>
        <w:rPr>
          <w:bCs/>
          <w:b/>
        </w:rPr>
        <w:t xml:space="preserve">Status:</w:t>
      </w:r>
      <w:r>
        <w:t xml:space="preserve"> </w:t>
      </w:r>
      <w:r>
        <w:t xml:space="preserve">NOT YET EXECUTED.</w:t>
      </w:r>
    </w:p>
    <w:bookmarkEnd w:id="55"/>
    <w:bookmarkEnd w:id="56"/>
    <w:bookmarkStart w:id="58" w:name="traceability-matrix"/>
    <w:p>
      <w:pPr>
        <w:pStyle w:val="Heading2"/>
      </w:pPr>
      <w:r>
        <w:t xml:space="preserve">8. Traceability Matrix</w:t>
      </w:r>
    </w:p>
    <w:p>
      <w:pPr>
        <w:pStyle w:val="FirstParagraph"/>
      </w:pPr>
      <w:r>
        <w:t xml:space="preserve">Table 1 gives the complete mapping from every test case in this document to the specific theorem or specification clause it verifies, its monograph section, and its current status — the single table a reviewer needs to audit this document’s coverage claim.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Case</w:t>
            </w:r>
          </w:p>
        </w:tc>
        <w:tc>
          <w:tcPr/>
          <w:p>
            <w:pPr>
              <w:pStyle w:val="Compact"/>
              <w:jc w:val="left"/>
            </w:pPr>
            <w:r>
              <w:t xml:space="preserve">Verifies</w:t>
            </w:r>
          </w:p>
        </w:tc>
        <w:tc>
          <w:tcPr/>
          <w:p>
            <w:pPr>
              <w:pStyle w:val="Compact"/>
              <w:jc w:val="left"/>
            </w:pPr>
            <w:r>
              <w:t xml:space="preserve">Monograph reference</w:t>
            </w:r>
          </w:p>
        </w:tc>
        <w:tc>
          <w:tcPr/>
          <w:p>
            <w:pPr>
              <w:pStyle w:val="Compact"/>
              <w:jc w:val="left"/>
            </w:pPr>
            <w:r>
              <w:t xml:space="preserve">Status</w:t>
            </w:r>
          </w:p>
        </w:tc>
      </w:tr>
      <w:tr>
        <w:tc>
          <w:tcPr/>
          <w:p>
            <w:pPr>
              <w:pStyle w:val="Compact"/>
              <w:jc w:val="left"/>
            </w:pPr>
            <w:r>
              <w:t xml:space="preserve">TC-01</w:t>
            </w:r>
          </w:p>
        </w:tc>
        <w:tc>
          <w:tcPr/>
          <w:p>
            <w:pPr>
              <w:pStyle w:val="Compact"/>
              <w:jc w:val="left"/>
            </w:pPr>
            <w:r>
              <w:t xml:space="preserve">Construction-time acyclicity</w:t>
            </w:r>
          </w:p>
        </w:tc>
        <w:tc>
          <w:tcPr/>
          <w:p>
            <w:pPr>
              <w:pStyle w:val="Compact"/>
              <w:jc w:val="left"/>
            </w:pPr>
            <w:r>
              <w:t xml:space="preserve">Theorem 6.1</w:t>
            </w:r>
          </w:p>
        </w:tc>
        <w:tc>
          <w:tcPr/>
          <w:p>
            <w:pPr>
              <w:pStyle w:val="Compact"/>
              <w:jc w:val="left"/>
            </w:pPr>
            <w:r>
              <w:t xml:space="preserve">PASS</w:t>
            </w:r>
          </w:p>
        </w:tc>
      </w:tr>
      <w:tr>
        <w:tc>
          <w:tcPr/>
          <w:p>
            <w:pPr>
              <w:pStyle w:val="Compact"/>
              <w:jc w:val="left"/>
            </w:pPr>
            <w:r>
              <w:t xml:space="preserve">TC-02</w:t>
            </w:r>
          </w:p>
        </w:tc>
        <w:tc>
          <w:tcPr/>
          <w:p>
            <w:pPr>
              <w:pStyle w:val="Compact"/>
              <w:jc w:val="left"/>
            </w:pPr>
            <w:r>
              <w:t xml:space="preserve">Determinism (input-order invariance)</w:t>
            </w:r>
          </w:p>
        </w:tc>
        <w:tc>
          <w:tcPr/>
          <w:p>
            <w:pPr>
              <w:pStyle w:val="Compact"/>
              <w:jc w:val="left"/>
            </w:pPr>
            <w:r>
              <w:t xml:space="preserve">Theorem 6.2</w:t>
            </w:r>
          </w:p>
        </w:tc>
        <w:tc>
          <w:tcPr/>
          <w:p>
            <w:pPr>
              <w:pStyle w:val="Compact"/>
              <w:jc w:val="left"/>
            </w:pPr>
            <w:r>
              <w:t xml:space="preserve">PASS</w:t>
            </w:r>
          </w:p>
        </w:tc>
      </w:tr>
      <w:tr>
        <w:tc>
          <w:tcPr/>
          <w:p>
            <w:pPr>
              <w:pStyle w:val="Compact"/>
              <w:jc w:val="left"/>
            </w:pPr>
            <w:r>
              <w:t xml:space="preserve">TC-03</w:t>
            </w:r>
          </w:p>
        </w:tc>
        <w:tc>
          <w:tcPr/>
          <w:p>
            <w:pPr>
              <w:pStyle w:val="Compact"/>
              <w:jc w:val="left"/>
            </w:pPr>
            <w:r>
              <w:t xml:space="preserve">Multi-column boundary respect</w:t>
            </w:r>
          </w:p>
        </w:tc>
        <w:tc>
          <w:tcPr/>
          <w:p>
            <w:pPr>
              <w:pStyle w:val="Compact"/>
              <w:jc w:val="left"/>
            </w:pPr>
            <w:r>
              <w:t xml:space="preserve">Section 6.2 (Φ coefficient)</w:t>
            </w:r>
          </w:p>
        </w:tc>
        <w:tc>
          <w:tcPr/>
          <w:p>
            <w:pPr>
              <w:pStyle w:val="Compact"/>
              <w:jc w:val="left"/>
            </w:pPr>
            <w:r>
              <w:t xml:space="preserve">PASS</w:t>
            </w:r>
          </w:p>
        </w:tc>
      </w:tr>
      <w:tr>
        <w:tc>
          <w:tcPr/>
          <w:p>
            <w:pPr>
              <w:pStyle w:val="Compact"/>
              <w:jc w:val="left"/>
            </w:pPr>
            <w:r>
              <w:t xml:space="preserve">TC-04</w:t>
            </w:r>
          </w:p>
        </w:tc>
        <w:tc>
          <w:tcPr/>
          <w:p>
            <w:pPr>
              <w:pStyle w:val="Compact"/>
              <w:jc w:val="left"/>
            </w:pPr>
            <w:r>
              <w:t xml:space="preserve">No-recursion regression guard</w:t>
            </w:r>
          </w:p>
        </w:tc>
        <w:tc>
          <w:tcPr/>
          <w:p>
            <w:pPr>
              <w:pStyle w:val="Compact"/>
              <w:jc w:val="left"/>
            </w:pPr>
            <w:r>
              <w:t xml:space="preserve">Section 6.4</w:t>
            </w:r>
          </w:p>
        </w:tc>
        <w:tc>
          <w:tcPr/>
          <w:p>
            <w:pPr>
              <w:pStyle w:val="Compact"/>
              <w:jc w:val="left"/>
            </w:pPr>
            <w:r>
              <w:t xml:space="preserve">PASS</w:t>
            </w:r>
          </w:p>
        </w:tc>
      </w:tr>
      <w:tr>
        <w:tc>
          <w:tcPr/>
          <w:p>
            <w:pPr>
              <w:pStyle w:val="Compact"/>
              <w:jc w:val="left"/>
            </w:pPr>
            <w:r>
              <w:t xml:space="preserve">TC-05</w:t>
            </w:r>
          </w:p>
        </w:tc>
        <w:tc>
          <w:tcPr/>
          <w:p>
            <w:pPr>
              <w:pStyle w:val="Compact"/>
              <w:jc w:val="left"/>
            </w:pPr>
            <w:r>
              <w:t xml:space="preserve">Protected-type no-merge</w:t>
            </w:r>
          </w:p>
        </w:tc>
        <w:tc>
          <w:tcPr/>
          <w:p>
            <w:pPr>
              <w:pStyle w:val="Compact"/>
              <w:jc w:val="left"/>
            </w:pPr>
            <w:r>
              <w:t xml:space="preserve">Section 7.2, Rule 1</w:t>
            </w:r>
          </w:p>
        </w:tc>
        <w:tc>
          <w:tcPr/>
          <w:p>
            <w:pPr>
              <w:pStyle w:val="Compact"/>
              <w:jc w:val="left"/>
            </w:pPr>
            <w:r>
              <w:t xml:space="preserve">PASS</w:t>
            </w:r>
          </w:p>
        </w:tc>
      </w:tr>
      <w:tr>
        <w:tc>
          <w:tcPr/>
          <w:p>
            <w:pPr>
              <w:pStyle w:val="Compact"/>
              <w:jc w:val="left"/>
            </w:pPr>
            <w:r>
              <w:t xml:space="preserve">TC-06</w:t>
            </w:r>
          </w:p>
        </w:tc>
        <w:tc>
          <w:tcPr/>
          <w:p>
            <w:pPr>
              <w:pStyle w:val="Compact"/>
              <w:jc w:val="left"/>
            </w:pPr>
            <w:r>
              <w:t xml:space="preserve">Font-delta boundary detection</w:t>
            </w:r>
          </w:p>
        </w:tc>
        <w:tc>
          <w:tcPr/>
          <w:p>
            <w:pPr>
              <w:pStyle w:val="Compact"/>
              <w:jc w:val="left"/>
            </w:pPr>
            <w:r>
              <w:t xml:space="preserve">Section 7.2, Rule 2</w:t>
            </w:r>
          </w:p>
        </w:tc>
        <w:tc>
          <w:tcPr/>
          <w:p>
            <w:pPr>
              <w:pStyle w:val="Compact"/>
              <w:jc w:val="left"/>
            </w:pPr>
            <w:r>
              <w:t xml:space="preserve">PASS</w:t>
            </w:r>
          </w:p>
        </w:tc>
      </w:tr>
      <w:tr>
        <w:tc>
          <w:tcPr/>
          <w:p>
            <w:pPr>
              <w:pStyle w:val="Compact"/>
              <w:jc w:val="left"/>
            </w:pPr>
            <w:r>
              <w:t xml:space="preserve">TC-07</w:t>
            </w:r>
          </w:p>
        </w:tc>
        <w:tc>
          <w:tcPr/>
          <w:p>
            <w:pPr>
              <w:pStyle w:val="Compact"/>
              <w:jc w:val="left"/>
            </w:pPr>
            <w:r>
              <w:t xml:space="preserve">Similar-font merge (negative case)</w:t>
            </w:r>
          </w:p>
        </w:tc>
        <w:tc>
          <w:tcPr/>
          <w:p>
            <w:pPr>
              <w:pStyle w:val="Compact"/>
              <w:jc w:val="left"/>
            </w:pPr>
            <w:r>
              <w:t xml:space="preserve">Section 7.2, Rules 2 &amp; 4</w:t>
            </w:r>
          </w:p>
        </w:tc>
        <w:tc>
          <w:tcPr/>
          <w:p>
            <w:pPr>
              <w:pStyle w:val="Compact"/>
              <w:jc w:val="left"/>
            </w:pPr>
            <w:r>
              <w:t xml:space="preserve">PASS</w:t>
            </w:r>
          </w:p>
        </w:tc>
      </w:tr>
      <w:tr>
        <w:tc>
          <w:tcPr/>
          <w:p>
            <w:pPr>
              <w:pStyle w:val="Compact"/>
              <w:jc w:val="left"/>
            </w:pPr>
            <w:r>
              <w:t xml:space="preserve">TC-08</w:t>
            </w:r>
          </w:p>
        </w:tc>
        <w:tc>
          <w:tcPr/>
          <w:p>
            <w:pPr>
              <w:pStyle w:val="Compact"/>
              <w:jc w:val="left"/>
            </w:pPr>
            <w:r>
              <w:t xml:space="preserve">Soft-budget-triggered split</w:t>
            </w:r>
          </w:p>
        </w:tc>
        <w:tc>
          <w:tcPr/>
          <w:p>
            <w:pPr>
              <w:pStyle w:val="Compact"/>
              <w:jc w:val="left"/>
            </w:pPr>
            <w:r>
              <w:t xml:space="preserve">Section 7.2, Rule 4</w:t>
            </w:r>
          </w:p>
        </w:tc>
        <w:tc>
          <w:tcPr/>
          <w:p>
            <w:pPr>
              <w:pStyle w:val="Compact"/>
              <w:jc w:val="left"/>
            </w:pPr>
            <w:r>
              <w:t xml:space="preserve">PASS</w:t>
            </w:r>
          </w:p>
        </w:tc>
      </w:tr>
      <w:tr>
        <w:tc>
          <w:tcPr/>
          <w:p>
            <w:pPr>
              <w:pStyle w:val="Compact"/>
              <w:jc w:val="left"/>
            </w:pPr>
            <w:r>
              <w:t xml:space="preserve">TC-08b</w:t>
            </w:r>
          </w:p>
        </w:tc>
        <w:tc>
          <w:tcPr/>
          <w:p>
            <w:pPr>
              <w:pStyle w:val="Compact"/>
              <w:jc w:val="left"/>
            </w:pPr>
            <w:r>
              <w:t xml:space="preserve">Hard-ceiling safety valve</w:t>
            </w:r>
          </w:p>
        </w:tc>
        <w:tc>
          <w:tcPr/>
          <w:p>
            <w:pPr>
              <w:pStyle w:val="Compact"/>
              <w:jc w:val="left"/>
            </w:pPr>
            <w:r>
              <w:t xml:space="preserve">Section 7.4</w:t>
            </w:r>
          </w:p>
        </w:tc>
        <w:tc>
          <w:tcPr/>
          <w:p>
            <w:pPr>
              <w:pStyle w:val="Compact"/>
              <w:jc w:val="left"/>
            </w:pPr>
            <w:r>
              <w:t xml:space="preserve">PASS</w:t>
            </w:r>
          </w:p>
        </w:tc>
      </w:tr>
      <w:tr>
        <w:tc>
          <w:tcPr/>
          <w:p>
            <w:pPr>
              <w:pStyle w:val="Compact"/>
              <w:jc w:val="left"/>
            </w:pPr>
            <w:r>
              <w:t xml:space="preserve">TC-09</w:t>
            </w:r>
          </w:p>
        </w:tc>
        <w:tc>
          <w:tcPr/>
          <w:p>
            <w:pPr>
              <w:pStyle w:val="Compact"/>
              <w:jc w:val="left"/>
            </w:pPr>
            <w:r>
              <w:t xml:space="preserve">Exact DP optimality</w:t>
            </w:r>
          </w:p>
        </w:tc>
        <w:tc>
          <w:tcPr/>
          <w:p>
            <w:pPr>
              <w:pStyle w:val="Compact"/>
              <w:jc w:val="left"/>
            </w:pPr>
            <w:r>
              <w:t xml:space="preserve">Section 9.2</w:t>
            </w:r>
          </w:p>
        </w:tc>
        <w:tc>
          <w:tcPr/>
          <w:p>
            <w:pPr>
              <w:pStyle w:val="Compact"/>
              <w:jc w:val="left"/>
            </w:pPr>
            <w:r>
              <w:t xml:space="preserve">PASS</w:t>
            </w:r>
          </w:p>
        </w:tc>
      </w:tr>
      <w:tr>
        <w:tc>
          <w:tcPr/>
          <w:p>
            <w:pPr>
              <w:pStyle w:val="Compact"/>
              <w:jc w:val="left"/>
            </w:pPr>
            <w:r>
              <w:t xml:space="preserve">TC-10</w:t>
            </w:r>
          </w:p>
        </w:tc>
        <w:tc>
          <w:tcPr/>
          <w:p>
            <w:pPr>
              <w:pStyle w:val="Compact"/>
              <w:jc w:val="left"/>
            </w:pPr>
            <w:r>
              <w:t xml:space="preserve">DP optimality, repeated trials</w:t>
            </w:r>
          </w:p>
        </w:tc>
        <w:tc>
          <w:tcPr/>
          <w:p>
            <w:pPr>
              <w:pStyle w:val="Compact"/>
              <w:jc w:val="left"/>
            </w:pPr>
            <w:r>
              <w:t xml:space="preserve">Section 9.2</w:t>
            </w:r>
          </w:p>
        </w:tc>
        <w:tc>
          <w:tcPr/>
          <w:p>
            <w:pPr>
              <w:pStyle w:val="Compact"/>
              <w:jc w:val="left"/>
            </w:pPr>
            <w:r>
              <w:t xml:space="preserve">PASS</w:t>
            </w:r>
          </w:p>
        </w:tc>
      </w:tr>
      <w:tr>
        <w:tc>
          <w:tcPr/>
          <w:p>
            <w:pPr>
              <w:pStyle w:val="Compact"/>
              <w:jc w:val="left"/>
            </w:pPr>
            <w:r>
              <w:t xml:space="preserve">TC-11</w:t>
            </w:r>
          </w:p>
        </w:tc>
        <w:tc>
          <w:tcPr/>
          <w:p>
            <w:pPr>
              <w:pStyle w:val="Compact"/>
              <w:jc w:val="left"/>
            </w:pPr>
            <w:r>
              <w:t xml:space="preserve">Greedy fallback budget compliance</w:t>
            </w:r>
          </w:p>
        </w:tc>
        <w:tc>
          <w:tcPr/>
          <w:p>
            <w:pPr>
              <w:pStyle w:val="Compact"/>
              <w:jc w:val="left"/>
            </w:pPr>
            <w:r>
              <w:t xml:space="preserve">Section 11.4 fix</w:t>
            </w:r>
          </w:p>
        </w:tc>
        <w:tc>
          <w:tcPr/>
          <w:p>
            <w:pPr>
              <w:pStyle w:val="Compact"/>
              <w:jc w:val="left"/>
            </w:pPr>
            <w:r>
              <w:t xml:space="preserve">PASS</w:t>
            </w:r>
          </w:p>
        </w:tc>
      </w:tr>
      <w:tr>
        <w:tc>
          <w:tcPr/>
          <w:p>
            <w:pPr>
              <w:pStyle w:val="Compact"/>
              <w:jc w:val="left"/>
            </w:pPr>
            <w:r>
              <w:t xml:space="preserve">TC-12</w:t>
            </w:r>
          </w:p>
        </w:tc>
        <w:tc>
          <w:tcPr/>
          <w:p>
            <w:pPr>
              <w:pStyle w:val="Compact"/>
              <w:jc w:val="left"/>
            </w:pPr>
            <w:r>
              <w:t xml:space="preserve">Greedy 1/2-approximation bound</w:t>
            </w:r>
          </w:p>
        </w:tc>
        <w:tc>
          <w:tcPr/>
          <w:p>
            <w:pPr>
              <w:pStyle w:val="Compact"/>
              <w:jc w:val="left"/>
            </w:pPr>
            <w:r>
              <w:t xml:space="preserve">Theorem 9.1</w:t>
            </w:r>
          </w:p>
        </w:tc>
        <w:tc>
          <w:tcPr/>
          <w:p>
            <w:pPr>
              <w:pStyle w:val="Compact"/>
              <w:jc w:val="left"/>
            </w:pPr>
            <w:r>
              <w:t xml:space="preserve">PASS</w:t>
            </w:r>
          </w:p>
        </w:tc>
      </w:tr>
      <w:tr>
        <w:tc>
          <w:tcPr/>
          <w:p>
            <w:pPr>
              <w:pStyle w:val="Compact"/>
              <w:jc w:val="left"/>
            </w:pPr>
            <w:r>
              <w:t xml:space="preserve">TC-13</w:t>
            </w:r>
          </w:p>
        </w:tc>
        <w:tc>
          <w:tcPr/>
          <w:p>
            <w:pPr>
              <w:pStyle w:val="Compact"/>
              <w:jc w:val="left"/>
            </w:pPr>
            <w:r>
              <w:t xml:space="preserve">Structure preservation under tight budget</w:t>
            </w:r>
          </w:p>
        </w:tc>
        <w:tc>
          <w:tcPr/>
          <w:p>
            <w:pPr>
              <w:pStyle w:val="Compact"/>
              <w:jc w:val="left"/>
            </w:pPr>
            <w:r>
              <w:t xml:space="preserve">Sections 8-9, Appendix F</w:t>
            </w:r>
          </w:p>
        </w:tc>
        <w:tc>
          <w:tcPr/>
          <w:p>
            <w:pPr>
              <w:pStyle w:val="Compact"/>
              <w:jc w:val="left"/>
            </w:pPr>
            <w:r>
              <w:t xml:space="preserve">PASS (with noted baseline caveat)</w:t>
            </w:r>
          </w:p>
        </w:tc>
      </w:tr>
      <w:tr>
        <w:tc>
          <w:tcPr/>
          <w:p>
            <w:pPr>
              <w:pStyle w:val="Compact"/>
              <w:jc w:val="left"/>
            </w:pPr>
            <w:r>
              <w:t xml:space="preserve">TC-14</w:t>
            </w:r>
          </w:p>
        </w:tc>
        <w:tc>
          <w:tcPr/>
          <w:p>
            <w:pPr>
              <w:pStyle w:val="Compact"/>
              <w:jc w:val="left"/>
            </w:pPr>
            <w:r>
              <w:t xml:space="preserve">Multi-choice knapsack optimality</w:t>
            </w:r>
          </w:p>
        </w:tc>
        <w:tc>
          <w:tcPr/>
          <w:p>
            <w:pPr>
              <w:pStyle w:val="Compact"/>
              <w:jc w:val="left"/>
            </w:pPr>
            <w:r>
              <w:t xml:space="preserve">Section 12.1</w:t>
            </w:r>
          </w:p>
        </w:tc>
        <w:tc>
          <w:tcPr/>
          <w:p>
            <w:pPr>
              <w:pStyle w:val="Compact"/>
              <w:jc w:val="left"/>
            </w:pPr>
            <w:r>
              <w:t xml:space="preserve">PASS</w:t>
            </w:r>
          </w:p>
        </w:tc>
      </w:tr>
      <w:tr>
        <w:tc>
          <w:tcPr/>
          <w:p>
            <w:pPr>
              <w:pStyle w:val="Compact"/>
              <w:jc w:val="left"/>
            </w:pPr>
            <w:r>
              <w:t xml:space="preserve">TC-15</w:t>
            </w:r>
          </w:p>
        </w:tc>
        <w:tc>
          <w:tcPr/>
          <w:p>
            <w:pPr>
              <w:pStyle w:val="Compact"/>
              <w:jc w:val="left"/>
            </w:pPr>
            <w:r>
              <w:t xml:space="preserve">Lagrangian weak-duality sandwich</w:t>
            </w:r>
          </w:p>
        </w:tc>
        <w:tc>
          <w:tcPr/>
          <w:p>
            <w:pPr>
              <w:pStyle w:val="Compact"/>
              <w:jc w:val="left"/>
            </w:pPr>
            <w:r>
              <w:t xml:space="preserve">Section 12.2</w:t>
            </w:r>
          </w:p>
        </w:tc>
        <w:tc>
          <w:tcPr/>
          <w:p>
            <w:pPr>
              <w:pStyle w:val="Compact"/>
              <w:jc w:val="left"/>
            </w:pPr>
            <w:r>
              <w:t xml:space="preserve">PASS</w:t>
            </w:r>
          </w:p>
        </w:tc>
      </w:tr>
      <w:tr>
        <w:tc>
          <w:tcPr/>
          <w:p>
            <w:pPr>
              <w:pStyle w:val="Compact"/>
              <w:jc w:val="left"/>
            </w:pPr>
            <w:r>
              <w:t xml:space="preserve">TC-16</w:t>
            </w:r>
          </w:p>
        </w:tc>
        <w:tc>
          <w:tcPr/>
          <w:p>
            <w:pPr>
              <w:pStyle w:val="Compact"/>
              <w:jc w:val="left"/>
            </w:pPr>
            <w:r>
              <w:t xml:space="preserve">Spectral cluster recovery (synthetic)</w:t>
            </w:r>
          </w:p>
        </w:tc>
        <w:tc>
          <w:tcPr/>
          <w:p>
            <w:pPr>
              <w:pStyle w:val="Compact"/>
              <w:jc w:val="left"/>
            </w:pPr>
            <w:r>
              <w:t xml:space="preserve">Section 12.4</w:t>
            </w:r>
          </w:p>
        </w:tc>
        <w:tc>
          <w:tcPr/>
          <w:p>
            <w:pPr>
              <w:pStyle w:val="Compact"/>
              <w:jc w:val="left"/>
            </w:pPr>
            <w:r>
              <w:t xml:space="preserve">PASS (synthetic only)</w:t>
            </w:r>
          </w:p>
        </w:tc>
      </w:tr>
      <w:tr>
        <w:tc>
          <w:tcPr/>
          <w:p>
            <w:pPr>
              <w:pStyle w:val="Compact"/>
              <w:jc w:val="left"/>
            </w:pPr>
            <w:r>
              <w:t xml:space="preserve">TC-17</w:t>
            </w:r>
          </w:p>
        </w:tc>
        <w:tc>
          <w:tcPr/>
          <w:p>
            <w:pPr>
              <w:pStyle w:val="Compact"/>
              <w:jc w:val="left"/>
            </w:pPr>
            <w:r>
              <w:t xml:space="preserve">Hitting-time monotonicity</w:t>
            </w:r>
          </w:p>
        </w:tc>
        <w:tc>
          <w:tcPr/>
          <w:p>
            <w:pPr>
              <w:pStyle w:val="Compact"/>
              <w:jc w:val="left"/>
            </w:pPr>
            <w:r>
              <w:t xml:space="preserve">Section 12.5</w:t>
            </w:r>
          </w:p>
        </w:tc>
        <w:tc>
          <w:tcPr/>
          <w:p>
            <w:pPr>
              <w:pStyle w:val="Compact"/>
              <w:jc w:val="left"/>
            </w:pPr>
            <w:r>
              <w:t xml:space="preserve">PASS</w:t>
            </w:r>
          </w:p>
        </w:tc>
      </w:tr>
      <w:tr>
        <w:tc>
          <w:tcPr/>
          <w:p>
            <w:pPr>
              <w:pStyle w:val="Compact"/>
              <w:jc w:val="left"/>
            </w:pPr>
            <w:r>
              <w:t xml:space="preserve">TC-18</w:t>
            </w:r>
          </w:p>
        </w:tc>
        <w:tc>
          <w:tcPr/>
          <w:p>
            <w:pPr>
              <w:pStyle w:val="Compact"/>
              <w:jc w:val="left"/>
            </w:pPr>
            <w:r>
              <w:t xml:space="preserve">Bandit convergence (simulated)</w:t>
            </w:r>
          </w:p>
        </w:tc>
        <w:tc>
          <w:tcPr/>
          <w:p>
            <w:pPr>
              <w:pStyle w:val="Compact"/>
              <w:jc w:val="left"/>
            </w:pPr>
            <w:r>
              <w:t xml:space="preserve">Section 13.5</w:t>
            </w:r>
          </w:p>
        </w:tc>
        <w:tc>
          <w:tcPr/>
          <w:p>
            <w:pPr>
              <w:pStyle w:val="Compact"/>
              <w:jc w:val="left"/>
            </w:pPr>
            <w:r>
              <w:t xml:space="preserve">PASS (convergence only)</w:t>
            </w:r>
          </w:p>
        </w:tc>
      </w:tr>
      <w:tr>
        <w:tc>
          <w:tcPr/>
          <w:p>
            <w:pPr>
              <w:pStyle w:val="Compact"/>
              <w:jc w:val="left"/>
            </w:pPr>
            <w:r>
              <w:t xml:space="preserve">TC-19</w:t>
            </w:r>
          </w:p>
        </w:tc>
        <w:tc>
          <w:tcPr/>
          <w:p>
            <w:pPr>
              <w:pStyle w:val="Compact"/>
              <w:jc w:val="left"/>
            </w:pPr>
            <w:r>
              <w:t xml:space="preserve">End-to-end pipeline composition</w:t>
            </w:r>
          </w:p>
        </w:tc>
        <w:tc>
          <w:tcPr/>
          <w:p>
            <w:pPr>
              <w:pStyle w:val="Compact"/>
              <w:jc w:val="left"/>
            </w:pPr>
            <w:r>
              <w:t xml:space="preserve">Sections 6, 7, 9 jointly</w:t>
            </w:r>
          </w:p>
        </w:tc>
        <w:tc>
          <w:tcPr/>
          <w:p>
            <w:pPr>
              <w:pStyle w:val="Compact"/>
              <w:jc w:val="left"/>
            </w:pPr>
            <w:r>
              <w:t xml:space="preserve">PASS</w:t>
            </w:r>
          </w:p>
        </w:tc>
      </w:tr>
      <w:tr>
        <w:tc>
          <w:tcPr/>
          <w:p>
            <w:pPr>
              <w:pStyle w:val="Compact"/>
              <w:jc w:val="left"/>
            </w:pPr>
            <w:r>
              <w:t xml:space="preserve">TC-NE-1</w:t>
            </w:r>
          </w:p>
        </w:tc>
        <w:tc>
          <w:tcPr/>
          <w:p>
            <w:pPr>
              <w:pStyle w:val="Compact"/>
              <w:jc w:val="left"/>
            </w:pPr>
            <w:r>
              <w:t xml:space="preserve">Trained semantic encoder quality</w:t>
            </w:r>
          </w:p>
        </w:tc>
        <w:tc>
          <w:tcPr/>
          <w:p>
            <w:pPr>
              <w:pStyle w:val="Compact"/>
              <w:jc w:val="left"/>
            </w:pPr>
            <w:r>
              <w:t xml:space="preserve">Section 5.6, 12.7</w:t>
            </w:r>
          </w:p>
        </w:tc>
        <w:tc>
          <w:tcPr/>
          <w:p>
            <w:pPr>
              <w:pStyle w:val="Compact"/>
              <w:jc w:val="left"/>
            </w:pPr>
            <w:r>
              <w:t xml:space="preserve">NOT YET EXECUTED</w:t>
            </w:r>
          </w:p>
        </w:tc>
      </w:tr>
      <w:tr>
        <w:tc>
          <w:tcPr/>
          <w:p>
            <w:pPr>
              <w:pStyle w:val="Compact"/>
              <w:jc w:val="left"/>
            </w:pPr>
            <w:r>
              <w:t xml:space="preserve">TC-NE-2</w:t>
            </w:r>
          </w:p>
        </w:tc>
        <w:tc>
          <w:tcPr/>
          <w:p>
            <w:pPr>
              <w:pStyle w:val="Compact"/>
              <w:jc w:val="left"/>
            </w:pPr>
            <w:r>
              <w:t xml:space="preserve">Spectral clustering, real graphs</w:t>
            </w:r>
          </w:p>
        </w:tc>
        <w:tc>
          <w:tcPr/>
          <w:p>
            <w:pPr>
              <w:pStyle w:val="Compact"/>
              <w:jc w:val="left"/>
            </w:pPr>
            <w:r>
              <w:t xml:space="preserve">Section 12.4</w:t>
            </w:r>
          </w:p>
        </w:tc>
        <w:tc>
          <w:tcPr/>
          <w:p>
            <w:pPr>
              <w:pStyle w:val="Compact"/>
              <w:jc w:val="left"/>
            </w:pPr>
            <w:r>
              <w:t xml:space="preserve">NOT YET EXECUTED</w:t>
            </w:r>
          </w:p>
        </w:tc>
      </w:tr>
      <w:tr>
        <w:tc>
          <w:tcPr/>
          <w:p>
            <w:pPr>
              <w:pStyle w:val="Compact"/>
              <w:jc w:val="left"/>
            </w:pPr>
            <w:r>
              <w:t xml:space="preserve">TC-NE-3</w:t>
            </w:r>
          </w:p>
        </w:tc>
        <w:tc>
          <w:tcPr/>
          <w:p>
            <w:pPr>
              <w:pStyle w:val="Compact"/>
              <w:jc w:val="left"/>
            </w:pPr>
            <w:r>
              <w:t xml:space="preserve">Multimodal encoder semantic quality</w:t>
            </w:r>
          </w:p>
        </w:tc>
        <w:tc>
          <w:tcPr/>
          <w:p>
            <w:pPr>
              <w:pStyle w:val="Compact"/>
              <w:jc w:val="left"/>
            </w:pPr>
            <w:r>
              <w:t xml:space="preserve">Section 12.3</w:t>
            </w:r>
          </w:p>
        </w:tc>
        <w:tc>
          <w:tcPr/>
          <w:p>
            <w:pPr>
              <w:pStyle w:val="Compact"/>
              <w:jc w:val="left"/>
            </w:pPr>
            <w:r>
              <w:t xml:space="preserve">NOT YET EXECUTED</w:t>
            </w:r>
          </w:p>
        </w:tc>
      </w:tr>
      <w:tr>
        <w:tc>
          <w:tcPr/>
          <w:p>
            <w:pPr>
              <w:pStyle w:val="Compact"/>
              <w:jc w:val="left"/>
            </w:pPr>
            <w:r>
              <w:t xml:space="preserve">TC-NE-4</w:t>
            </w:r>
          </w:p>
        </w:tc>
        <w:tc>
          <w:tcPr/>
          <w:p>
            <w:pPr>
              <w:pStyle w:val="Compact"/>
              <w:jc w:val="left"/>
            </w:pPr>
            <w:r>
              <w:t xml:space="preserve">End-to-end failure injection</w:t>
            </w:r>
          </w:p>
        </w:tc>
        <w:tc>
          <w:tcPr/>
          <w:p>
            <w:pPr>
              <w:pStyle w:val="Compact"/>
              <w:jc w:val="left"/>
            </w:pPr>
            <w:r>
              <w:t xml:space="preserve">Workflow 5, Section 18.5</w:t>
            </w:r>
          </w:p>
        </w:tc>
        <w:tc>
          <w:tcPr/>
          <w:p>
            <w:pPr>
              <w:pStyle w:val="Compact"/>
              <w:jc w:val="left"/>
            </w:pPr>
            <w:r>
              <w:t xml:space="preserve">NOT YET EXECUTED</w:t>
            </w:r>
          </w:p>
        </w:tc>
      </w:tr>
      <w:tr>
        <w:tc>
          <w:tcPr/>
          <w:p>
            <w:pPr>
              <w:pStyle w:val="Compact"/>
              <w:jc w:val="left"/>
            </w:pPr>
            <w:r>
              <w:t xml:space="preserve">TC-NE-5</w:t>
            </w:r>
          </w:p>
        </w:tc>
        <w:tc>
          <w:tcPr/>
          <w:p>
            <w:pPr>
              <w:pStyle w:val="Compact"/>
              <w:jc w:val="left"/>
            </w:pPr>
            <w:r>
              <w:t xml:space="preserve">Tenant-isolation adversarial audit</w:t>
            </w:r>
          </w:p>
        </w:tc>
        <w:tc>
          <w:tcPr/>
          <w:p>
            <w:pPr>
              <w:pStyle w:val="Compact"/>
              <w:jc w:val="left"/>
            </w:pPr>
            <w:r>
              <w:t xml:space="preserve">Section 17.3</w:t>
            </w:r>
          </w:p>
        </w:tc>
        <w:tc>
          <w:tcPr/>
          <w:p>
            <w:pPr>
              <w:pStyle w:val="Compact"/>
              <w:jc w:val="left"/>
            </w:pPr>
            <w:r>
              <w:t xml:space="preserve">NOT YET EXECUTED</w:t>
            </w:r>
          </w:p>
        </w:tc>
      </w:tr>
      <w:tr>
        <w:tc>
          <w:tcPr/>
          <w:p>
            <w:pPr>
              <w:pStyle w:val="Compact"/>
              <w:jc w:val="left"/>
            </w:pPr>
            <w:r>
              <w:t xml:space="preserve">TC-NE-6</w:t>
            </w:r>
          </w:p>
        </w:tc>
        <w:tc>
          <w:tcPr/>
          <w:p>
            <w:pPr>
              <w:pStyle w:val="Compact"/>
              <w:jc w:val="left"/>
            </w:pPr>
            <w:r>
              <w:t xml:space="preserve">Corpus-scale load test</w:t>
            </w:r>
          </w:p>
        </w:tc>
        <w:tc>
          <w:tcPr/>
          <w:p>
            <w:pPr>
              <w:pStyle w:val="Compact"/>
              <w:jc w:val="left"/>
            </w:pPr>
            <w:r>
              <w:t xml:space="preserve">Section 20.3</w:t>
            </w:r>
          </w:p>
        </w:tc>
        <w:tc>
          <w:tcPr/>
          <w:p>
            <w:pPr>
              <w:pStyle w:val="Compact"/>
              <w:jc w:val="left"/>
            </w:pPr>
            <w:r>
              <w:t xml:space="preserve">NOT YET EXECUTED</w:t>
            </w:r>
          </w:p>
        </w:tc>
      </w:tr>
      <w:tr>
        <w:tc>
          <w:tcPr/>
          <w:p>
            <w:pPr>
              <w:pStyle w:val="Compact"/>
              <w:jc w:val="left"/>
            </w:pPr>
            <w:r>
              <w:t xml:space="preserve">TC-NE-7</w:t>
            </w:r>
          </w:p>
        </w:tc>
        <w:tc>
          <w:tcPr/>
          <w:p>
            <w:pPr>
              <w:pStyle w:val="Compact"/>
              <w:jc w:val="left"/>
            </w:pPr>
            <w:r>
              <w:t xml:space="preserve">Measured cost-reduction at accuracy parity</w:t>
            </w:r>
          </w:p>
        </w:tc>
        <w:tc>
          <w:tcPr/>
          <w:p>
            <w:pPr>
              <w:pStyle w:val="Compact"/>
              <w:jc w:val="left"/>
            </w:pPr>
            <w:r>
              <w:t xml:space="preserve">Section 16, Table 5</w:t>
            </w:r>
          </w:p>
        </w:tc>
        <w:tc>
          <w:tcPr/>
          <w:p>
            <w:pPr>
              <w:pStyle w:val="Compact"/>
              <w:jc w:val="left"/>
            </w:pPr>
            <w:r>
              <w:t xml:space="preserve">NOT YET EXECUTED</w:t>
            </w:r>
          </w:p>
        </w:tc>
      </w:tr>
    </w:tbl>
    <w:bookmarkStart w:id="57" w:name="coverage-summary"/>
    <w:p>
      <w:pPr>
        <w:pStyle w:val="Heading3"/>
      </w:pPr>
      <w:r>
        <w:t xml:space="preserve">8.1 Coverage Summary</w:t>
      </w:r>
    </w:p>
    <w:p>
      <w:pPr>
        <w:pStyle w:val="FirstParagraph"/>
      </w:pPr>
      <w:r>
        <w:t xml:space="preserve">Of 27 test cases specified in this document, 20 (TC-01 through TC-19, including TC-08b) have been executed against the reference implementation with a PASS result, matching and detailing the monograph’s reported 18/18-passing figure (the 2-case difference — 20 versus 18 — reflects this document’s inclusion of TC-08b and the TC-10/TC-12 repeated-trial expansions as separately enumerated cases beyond the monograph’s own count, not a discrepancy in underlying evidence). The remaining 7 (TC-NE-1 through TC-NE-7) are specified but not yet executed, corresponding exactly to the Proposed-tier and Critical/High-priority items in the Feasibility Report’s Section 2 and Section 3. No test case in this document is marked PASS without a corresponding actual result reported in Sections 2-6 above.</w:t>
      </w:r>
    </w:p>
    <w:bookmarkEnd w:id="57"/>
    <w:bookmarkEnd w:id="58"/>
    <w:bookmarkStart w:id="63" w:name="appendix-a-reproducibility-harness"/>
    <w:p>
      <w:pPr>
        <w:pStyle w:val="Heading2"/>
      </w:pPr>
      <w:r>
        <w:t xml:space="preserve">Appendix A — Reproducibility Harness</w:t>
      </w:r>
    </w:p>
    <w:p>
      <w:pPr>
        <w:pStyle w:val="FirstParagraph"/>
      </w:pPr>
      <w:r>
        <w:t xml:space="preserve">This appendix specifies the harness structure needed for an independent party to re-run the 20 PASS-status test cases in this document (Sections 2-6) against a from-scratch reimplementation or against the reference codebase, without needing access to this document’s authors.</w:t>
      </w:r>
    </w:p>
    <w:bookmarkStart w:id="59" w:name="a.1-harness-structure"/>
    <w:p>
      <w:pPr>
        <w:pStyle w:val="Heading3"/>
      </w:pPr>
      <w:r>
        <w:t xml:space="preserve">A.1 Harness Structure</w:t>
      </w:r>
    </w:p>
    <w:p>
      <w:pPr>
        <w:pStyle w:val="FirstParagraph"/>
      </w:pPr>
      <w:r>
        <w:t xml:space="preserve">Each test case maps to a single harness function with a uniform signature:</w:t>
      </w:r>
      <w:r>
        <w:t xml:space="preserve"> </w:t>
      </w:r>
      <w:r>
        <w:rPr>
          <w:rStyle w:val="VerbatimChar"/>
        </w:rPr>
        <w:t xml:space="preserve">run_test(test_id) -&gt; (status, actual_result, evidence_log)</w:t>
      </w:r>
      <w:r>
        <w:t xml:space="preserve">. The harness should assert the specific expected result stated in this document’s per-test-case entry, not merely a boolean pass/fail — e.g., TC-02’s harness should output the two full reading-order sequences it compared, not only whether they matched, so a reviewer can inspect the actual sequences rather than trust an aggregate boolean.</w:t>
      </w:r>
    </w:p>
    <w:bookmarkEnd w:id="59"/>
    <w:bookmarkStart w:id="60" w:name="a.2-fixture-requirements-by-suite"/>
    <w:p>
      <w:pPr>
        <w:pStyle w:val="Heading3"/>
      </w:pPr>
      <w:r>
        <w:t xml:space="preserve">A.2 Fixture Requirements by Suite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Suite</w:t>
            </w:r>
          </w:p>
        </w:tc>
        <w:tc>
          <w:tcPr/>
          <w:p>
            <w:pPr>
              <w:pStyle w:val="Compact"/>
              <w:jc w:val="left"/>
            </w:pPr>
            <w:r>
              <w:t xml:space="preserve">Fixture type</w:t>
            </w:r>
          </w:p>
        </w:tc>
        <w:tc>
          <w:tcPr/>
          <w:p>
            <w:pPr>
              <w:pStyle w:val="Compact"/>
              <w:jc w:val="left"/>
            </w:pPr>
            <w:r>
              <w:t xml:space="preserve">Determinism requirement</w:t>
            </w:r>
          </w:p>
        </w:tc>
      </w:tr>
      <w:tr>
        <w:tc>
          <w:tcPr/>
          <w:p>
            <w:pPr>
              <w:pStyle w:val="Compact"/>
              <w:jc w:val="left"/>
            </w:pPr>
            <w:r>
              <w:t xml:space="preserve">Reading order (TC-01-04)</w:t>
            </w:r>
          </w:p>
        </w:tc>
        <w:tc>
          <w:tcPr/>
          <w:p>
            <w:pPr>
              <w:pStyle w:val="Compact"/>
              <w:jc w:val="left"/>
            </w:pPr>
            <w:r>
              <w:t xml:space="preserve">Synthetic bounding-box layouts</w:t>
            </w:r>
          </w:p>
        </w:tc>
        <w:tc>
          <w:tcPr/>
          <w:p>
            <w:pPr>
              <w:pStyle w:val="Compact"/>
              <w:jc w:val="left"/>
            </w:pPr>
            <w:r>
              <w:t xml:space="preserve">Fixed random seed for any randomly-perturbed test variants; TC-01/03/04 are fully deterministic by construction (no randomness)</w:t>
            </w:r>
          </w:p>
        </w:tc>
      </w:tr>
      <w:tr>
        <w:tc>
          <w:tcPr/>
          <w:p>
            <w:pPr>
              <w:pStyle w:val="Compact"/>
              <w:jc w:val="left"/>
            </w:pPr>
            <w:r>
              <w:t xml:space="preserve">Chunking (TC-05-08b)</w:t>
            </w:r>
          </w:p>
        </w:tc>
        <w:tc>
          <w:tcPr/>
          <w:p>
            <w:pPr>
              <w:pStyle w:val="Compact"/>
              <w:jc w:val="left"/>
            </w:pPr>
            <w:r>
              <w:t xml:space="preserve">Synthetic element sequences with specified font/gap/type attributes</w:t>
            </w:r>
          </w:p>
        </w:tc>
        <w:tc>
          <w:tcPr/>
          <w:p>
            <w:pPr>
              <w:pStyle w:val="Compact"/>
              <w:jc w:val="left"/>
            </w:pPr>
            <w:r>
              <w:t xml:space="preserve">Fully deterministic; no randomness in fixture generation</w:t>
            </w:r>
          </w:p>
        </w:tc>
      </w:tr>
      <w:tr>
        <w:tc>
          <w:tcPr/>
          <w:p>
            <w:pPr>
              <w:pStyle w:val="Compact"/>
              <w:jc w:val="left"/>
            </w:pPr>
            <w:r>
              <w:t xml:space="preserve">Knapsack (TC-09-13)</w:t>
            </w:r>
          </w:p>
        </w:tc>
        <w:tc>
          <w:tcPr/>
          <w:p>
            <w:pPr>
              <w:pStyle w:val="Compact"/>
              <w:jc w:val="left"/>
            </w:pPr>
            <w:r>
              <w:t xml:space="preserve">Synthetic (value, weight) item sets</w:t>
            </w:r>
          </w:p>
        </w:tc>
        <w:tc>
          <w:tcPr/>
          <w:p>
            <w:pPr>
              <w:pStyle w:val="Compact"/>
              <w:jc w:val="left"/>
            </w:pPr>
            <w:r>
              <w:t xml:space="preserve">TC-09, TC-11, TC-13 deterministic; TC-10, TC-12 require a fixed random seed for the 20-instance generation to be exactly reproducible</w:t>
            </w:r>
          </w:p>
        </w:tc>
      </w:tr>
      <w:tr>
        <w:tc>
          <w:tcPr/>
          <w:p>
            <w:pPr>
              <w:pStyle w:val="Compact"/>
              <w:jc w:val="left"/>
            </w:pPr>
            <w:r>
              <w:t xml:space="preserve">Extensions (TC-14-18)</w:t>
            </w:r>
          </w:p>
        </w:tc>
        <w:tc>
          <w:tcPr/>
          <w:p>
            <w:pPr>
              <w:pStyle w:val="Compact"/>
              <w:jc w:val="left"/>
            </w:pPr>
            <w:r>
              <w:t xml:space="preserve">Synthetic multi-tier groups, affinity matrices, path graphs, bandit reward functions</w:t>
            </w:r>
          </w:p>
        </w:tc>
        <w:tc>
          <w:tcPr/>
          <w:p>
            <w:pPr>
              <w:pStyle w:val="Compact"/>
              <w:jc w:val="left"/>
            </w:pPr>
            <w:r>
              <w:t xml:space="preserve">TC-14, TC-16, TC-17 deterministic; TC-15’s subgradient trajectory and TC-18’s simulated-feedback trajectory require a fixed random seed</w:t>
            </w:r>
          </w:p>
        </w:tc>
      </w:tr>
      <w:tr>
        <w:tc>
          <w:tcPr/>
          <w:p>
            <w:pPr>
              <w:pStyle w:val="Compact"/>
              <w:jc w:val="left"/>
            </w:pPr>
            <w:r>
              <w:t xml:space="preserve">Integration (TC-19)</w:t>
            </w:r>
          </w:p>
        </w:tc>
        <w:tc>
          <w:tcPr/>
          <w:p>
            <w:pPr>
              <w:pStyle w:val="Compact"/>
              <w:jc w:val="left"/>
            </w:pPr>
            <w:r>
              <w:t xml:space="preserve">Composed 3-page synthetic document</w:t>
            </w:r>
          </w:p>
        </w:tc>
        <w:tc>
          <w:tcPr/>
          <w:p>
            <w:pPr>
              <w:pStyle w:val="Compact"/>
              <w:jc w:val="left"/>
            </w:pPr>
            <w:r>
              <w:t xml:space="preserve">Fully deterministic; reuses fixtures from TC-03, TC-08, TC-13</w:t>
            </w:r>
          </w:p>
        </w:tc>
      </w:tr>
    </w:tbl>
    <w:bookmarkEnd w:id="60"/>
    <w:bookmarkStart w:id="61" w:name="X442a03a46e2e8537be4600169c354a70612aecb"/>
    <w:p>
      <w:pPr>
        <w:pStyle w:val="Heading3"/>
      </w:pPr>
      <w:r>
        <w:t xml:space="preserve">A.3 Independence from the Reference Implementation</w:t>
      </w:r>
    </w:p>
    <w:p>
      <w:pPr>
        <w:pStyle w:val="FirstParagraph"/>
      </w:pPr>
      <w:r>
        <w:t xml:space="preserve">A party wishing to independently verify this document’s claims without trusting the reference implementation’s internals has two options, both supported by the specification-level detail in the monograph: (1) reimplement each component from the monograph’s Sections 6, 7, 9, and 12 formal specifications directly, and confirm the same PASS results against the same fixtures specified in A.2; or (2) audit the reference implementation’s source directly against the same sections, using the test cases in this document as a checklist of properties the audited code should satisfy. Option (1) is the stronger independence guarantee and is the version of reproducibility this document is written to support — every input in Sections 2-6 is specified with enough precision (exact token counts, exact coordinate values, exact configuration parameters) that a from-scratch reimplementation should be able to reproduce the same actual results without consulting the reference codebase.</w:t>
      </w:r>
    </w:p>
    <w:bookmarkEnd w:id="61"/>
    <w:bookmarkStart w:id="62" w:name="X04de0f5b3af17c860e2683c78cd04cf253bf407"/>
    <w:p>
      <w:pPr>
        <w:pStyle w:val="Heading3"/>
      </w:pPr>
      <w:r>
        <w:t xml:space="preserve">A.4 Known Limitations of This Reproducibility Claim</w:t>
      </w:r>
    </w:p>
    <w:p>
      <w:pPr>
        <w:pStyle w:val="FirstParagraph"/>
      </w:pPr>
      <w:r>
        <w:t xml:space="preserve">Two caveats apply to the independence claim in A.3. First, the exact numeric actual results reported in Sections 2-6 (e.g., TC-12’s observed ratio range of 0.71-1.0) are specific to the particular random seed and instance generation used when these tests were run; a reproduction using a different seed should expect to fall within the theorem-guaranteed bound (≥0.5 for TC-12) but is not expected to reproduce the identical numeric range. Second, TC-13’s naive-baseline comparison (Section 4) is, as noted in its own entry, sensitive to the specific truncation-vs-drop implementation choice of the baseline being compared against, and a reproduction using a different baseline implementation should expect a qualitatively similar but not necessarily identical failure mode from that baseline.</w:t>
      </w:r>
    </w:p>
    <w:bookmarkEnd w:id="62"/>
    <w:bookmarkEnd w:id="63"/>
    <w:bookmarkEnd w:id="64"/>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sz w:val="23"/>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36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200" w:before="36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AEGIS-DocIntel / AMDI-OS</dc:title>
  <dc:creator>Sahil Khutey, with AI Research Collaborator (Gensouls Lab)</dc:creator>
  <cp:keywords/>
  <dcterms:created xsi:type="dcterms:W3CDTF">2026-07-16T11:52:21Z</dcterms:created>
  <dcterms:modified xsi:type="dcterms:W3CDTF">2026-07-16T11:52:21Z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Implementation and Credibility Test Cases</vt:lpwstr>
  </property>
</Properties>
</file>