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Master</w:t>
      </w:r>
      <w:r>
        <w:t xml:space="preserve"> </w:t>
      </w:r>
      <w:r>
        <w:t xml:space="preserve">Technical</w:t>
      </w:r>
      <w:r>
        <w:t xml:space="preserve"> </w:t>
      </w:r>
      <w:r>
        <w:t xml:space="preserve">Task</w:t>
      </w:r>
      <w:r>
        <w:t xml:space="preserve"> </w:t>
      </w:r>
      <w:r>
        <w:t xml:space="preserve">List:</w:t>
      </w:r>
      <w:r>
        <w:t xml:space="preserve"> </w:t>
      </w:r>
      <w:r>
        <w:t xml:space="preserve">Implementation,</w:t>
      </w:r>
      <w:r>
        <w:t xml:space="preserve"> </w:t>
      </w:r>
      <w:r>
        <w:t xml:space="preserve">Integration,</w:t>
      </w:r>
      <w:r>
        <w:t xml:space="preserve"> </w:t>
      </w:r>
      <w:r>
        <w:t xml:space="preserve">and</w:t>
      </w:r>
      <w:r>
        <w:t xml:space="preserve"> </w:t>
      </w:r>
      <w:r>
        <w:t xml:space="preserve">System-Wide</w:t>
      </w:r>
      <w:r>
        <w:t xml:space="preserve"> </w:t>
      </w:r>
      <w:r>
        <w:t xml:space="preserve">Improvement</w:t>
      </w:r>
      <w:r>
        <w:t xml:space="preserve"> </w:t>
      </w:r>
      <w:r>
        <w:t xml:space="preserve">Backlog</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Executive Summary ………………………………………………………………. 3</w:t>
      </w:r>
      <w:r>
        <w:br/>
      </w:r>
      <w:r>
        <w:t xml:space="preserve">1. Task List Methodology ………………………………………………………… 4</w:t>
      </w:r>
      <w:r>
        <w:br/>
      </w:r>
      <w:r>
        <w:t xml:space="preserve">2. Workstream A – Evidentiary Closure ……………………………………………. 6</w:t>
      </w:r>
      <w:r>
        <w:br/>
      </w:r>
      <w:r>
        <w:t xml:space="preserve">3. Workstream B – Near-Term Enhancement Features ………………………………….. 12</w:t>
      </w:r>
      <w:r>
        <w:br/>
      </w:r>
      <w:r>
        <w:t xml:space="preserve">4. Workstream C – Mid-Term Enhancement Features …………………………………… 14</w:t>
      </w:r>
      <w:r>
        <w:br/>
      </w:r>
      <w:r>
        <w:t xml:space="preserve">5. Workstream D – Long-Term Enhancement Features (Gated) …………………………… 17</w:t>
      </w:r>
      <w:r>
        <w:br/>
      </w:r>
      <w:r>
        <w:t xml:space="preserve">6. Workstream E – Future Concept Feasibility Studies (Stage 0) ……………………… 20</w:t>
      </w:r>
      <w:r>
        <w:br/>
      </w:r>
      <w:r>
        <w:t xml:space="preserve">7. Workstream F – Production Infrastructure ………………………………………. 24</w:t>
      </w:r>
      <w:r>
        <w:br/>
      </w:r>
      <w:r>
        <w:t xml:space="preserve">8. Workstream G – Evaluation and Benchmarking Beyond Workstream A …………………… 27</w:t>
      </w:r>
      <w:r>
        <w:br/>
      </w:r>
      <w:r>
        <w:t xml:space="preserve">9. Workstream H – Integration Strategy and Positioning …………………………….. 30</w:t>
      </w:r>
      <w:r>
        <w:br/>
      </w:r>
      <w:r>
        <w:t xml:space="preserve">10. Cross-Cutting Engineering Practices …………………………………………… 34</w:t>
      </w:r>
      <w:r>
        <w:br/>
      </w:r>
      <w:r>
        <w:t xml:space="preserve">11. Phased Sequencing Plan ………………………………………………………. 35</w:t>
      </w:r>
      <w:r>
        <w:br/>
      </w:r>
      <w:r>
        <w:t xml:space="preserve">12. Master Task Table …………………………………………………………… 37</w:t>
      </w:r>
      <w:r>
        <w:br/>
      </w:r>
      <w:r>
        <w:t xml:space="preserve">Conclusion …………………………………………………………………….. 41</w:t>
      </w:r>
    </w:p>
    <w:bookmarkEnd w:id="20"/>
    <w:bookmarkStart w:id="51" w:name="executive-summary"/>
    <w:p>
      <w:pPr>
        <w:pStyle w:val="Heading1"/>
      </w:pPr>
      <w:r>
        <w:t xml:space="preserve">Executive Summary</w:t>
      </w:r>
    </w:p>
    <w:p>
      <w:pPr>
        <w:pStyle w:val="FirstParagraph"/>
      </w:pPr>
      <w:r>
        <w:t xml:space="preserve">This document consolidates every open item, recommendation, and staged feature specified across this body of work — the architectural monograph, the Feasibility and Validation Report, the Implementation and Credibility Test Cases document, the Comparative Landscape Report, the Enhancement Research Report, the Implementation Specification, and the Future Concepts Report — into a single, prioritized, engineering-actionable task list. It answers one question the prior seven documents each answered partially: given everything this body of work has identified, what is the concrete, ordered list of work, and where in the system does each item of work actually attach?</w:t>
      </w:r>
    </w:p>
    <w:p>
      <w:pPr>
        <w:pStyle w:val="BodyText"/>
      </w:pPr>
      <w:r>
        <w:t xml:space="preserve">Eight workstreams organize the backlog.</w:t>
      </w:r>
      <w:r>
        <w:t xml:space="preserve"> </w:t>
      </w:r>
      <w:r>
        <w:rPr>
          <w:bCs/>
          <w:b/>
        </w:rPr>
        <w:t xml:space="preserve">Workstream A</w:t>
      </w:r>
      <w:r>
        <w:t xml:space="preserve"> </w:t>
      </w:r>
      <w:r>
        <w:t xml:space="preserve">closes the evidentiary gaps in components already built (the seven NOT YET EXECUTED test cases and the Critical-priority tenant-isolation audit).</w:t>
      </w:r>
      <w:r>
        <w:t xml:space="preserve"> </w:t>
      </w:r>
      <w:r>
        <w:rPr>
          <w:bCs/>
          <w:b/>
        </w:rPr>
        <w:t xml:space="preserve">Workstream B-D</w:t>
      </w:r>
      <w:r>
        <w:t xml:space="preserve"> </w:t>
      </w:r>
      <w:r>
        <w:t xml:space="preserve">implement the nine staged features of the Implementation Specification (near/mid/long-term).</w:t>
      </w:r>
      <w:r>
        <w:t xml:space="preserve"> </w:t>
      </w:r>
      <w:r>
        <w:rPr>
          <w:bCs/>
          <w:b/>
        </w:rPr>
        <w:t xml:space="preserve">Workstream E</w:t>
      </w:r>
      <w:r>
        <w:t xml:space="preserve"> </w:t>
      </w:r>
      <w:r>
        <w:t xml:space="preserve">runs the Stage-0 feasibility studies for the Future Concepts Report’s seven physics/graph/number-theory concepts.</w:t>
      </w:r>
      <w:r>
        <w:t xml:space="preserve"> </w:t>
      </w:r>
      <w:r>
        <w:rPr>
          <w:bCs/>
          <w:b/>
        </w:rPr>
        <w:t xml:space="preserve">Workstream F</w:t>
      </w:r>
      <w:r>
        <w:t xml:space="preserve"> </w:t>
      </w:r>
      <w:r>
        <w:t xml:space="preserve">builds the production infrastructure topology the monograph specifies but the reference implementation does not yet stand up.</w:t>
      </w:r>
      <w:r>
        <w:t xml:space="preserve"> </w:t>
      </w:r>
      <w:r>
        <w:rPr>
          <w:bCs/>
          <w:b/>
        </w:rPr>
        <w:t xml:space="preserve">Workstream G</w:t>
      </w:r>
      <w:r>
        <w:t xml:space="preserve"> </w:t>
      </w:r>
      <w:r>
        <w:t xml:space="preserve">executes the benchmark and load-testing protocols this body of work has repeatedly specified but not yet run.</w:t>
      </w:r>
      <w:r>
        <w:t xml:space="preserve"> </w:t>
      </w:r>
      <w:r>
        <w:rPr>
          <w:bCs/>
          <w:b/>
        </w:rPr>
        <w:t xml:space="preserve">Workstream H</w:t>
      </w:r>
      <w:r>
        <w:t xml:space="preserve"> </w:t>
      </w:r>
      <w:r>
        <w:t xml:space="preserve">operationalizes the Comparative Landscape Report’s connector-first go-to-market recommendation.</w:t>
      </w:r>
    </w:p>
    <w:p>
      <w:pPr>
        <w:pStyle w:val="BodyText"/>
      </w:pPr>
      <w:r>
        <w:t xml:space="preserve">Every task in this document carries a task ID, a concrete integration point (the exact module or monograph section it attaches to), explicit dependencies on other tasks, a priority tied to the Feasibility and Validation Report’s risk register where applicable, an effort tier, and an acceptance criterion — either a named existing test case (TC-</w:t>
      </w:r>
      <w:r>
        <w:rPr>
          <w:iCs/>
          <w:i/>
        </w:rPr>
        <w:t xml:space="preserve">, TC-E-</w:t>
      </w:r>
      <w:r>
        <w:t xml:space="preserve">, TC-F-*) or a newly specified one. This document creates no new mathematics or architecture; its entire contribution is organizing seven documents’ worth of identified work into one executable plan, with Section 9’s master task table as its single source of truth.</w:t>
      </w:r>
    </w:p>
    <w:bookmarkStart w:id="26" w:name="task-list-methodology"/>
    <w:p>
      <w:pPr>
        <w:pStyle w:val="Heading2"/>
      </w:pPr>
      <w:r>
        <w:t xml:space="preserve">1. Task List Methodology</w:t>
      </w:r>
    </w:p>
    <w:bookmarkStart w:id="21" w:name="sources-consolidated"/>
    <w:p>
      <w:pPr>
        <w:pStyle w:val="Heading3"/>
      </w:pPr>
      <w:r>
        <w:t xml:space="preserve">1.1 Sources Consolidated</w:t>
      </w:r>
    </w:p>
    <w:p>
      <w:pPr>
        <w:pStyle w:val="FirstParagraph"/>
      </w:pPr>
      <w:r>
        <w:t xml:space="preserve">This document draws every task from a specific, named source document in this body of work, and cites that source at each task so the underlying rationale (mathematical, competitive, or evidentiary) can be traced back without this document needing to restate it. Table 1.1 maps each workstream to its primary source.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Workstream</w:t>
            </w:r>
          </w:p>
        </w:tc>
        <w:tc>
          <w:tcPr/>
          <w:p>
            <w:pPr>
              <w:pStyle w:val="Compact"/>
              <w:jc w:val="left"/>
            </w:pPr>
            <w:r>
              <w:t xml:space="preserve">Primary source document(s)</w:t>
            </w:r>
          </w:p>
        </w:tc>
      </w:tr>
      <w:tr>
        <w:tc>
          <w:tcPr/>
          <w:p>
            <w:pPr>
              <w:pStyle w:val="Compact"/>
              <w:jc w:val="left"/>
            </w:pPr>
            <w:r>
              <w:t xml:space="preserve">A — Evidentiary Closure</w:t>
            </w:r>
          </w:p>
        </w:tc>
        <w:tc>
          <w:tcPr/>
          <w:p>
            <w:pPr>
              <w:pStyle w:val="Compact"/>
              <w:jc w:val="left"/>
            </w:pPr>
            <w:r>
              <w:t xml:space="preserve">Feasibility and Validation Report (Sections 3, 4); Implementation and Credibility Test Cases (Section 7)</w:t>
            </w:r>
          </w:p>
        </w:tc>
      </w:tr>
      <w:tr>
        <w:tc>
          <w:tcPr/>
          <w:p>
            <w:pPr>
              <w:pStyle w:val="Compact"/>
              <w:jc w:val="left"/>
            </w:pPr>
            <w:r>
              <w:t xml:space="preserve">B — Near-Term Enhancements</w:t>
            </w:r>
          </w:p>
        </w:tc>
        <w:tc>
          <w:tcPr/>
          <w:p>
            <w:pPr>
              <w:pStyle w:val="Compact"/>
              <w:jc w:val="left"/>
            </w:pPr>
            <w:r>
              <w:t xml:space="preserve">Implementation Specification (Section 2)</w:t>
            </w:r>
          </w:p>
        </w:tc>
      </w:tr>
      <w:tr>
        <w:tc>
          <w:tcPr/>
          <w:p>
            <w:pPr>
              <w:pStyle w:val="Compact"/>
              <w:jc w:val="left"/>
            </w:pPr>
            <w:r>
              <w:t xml:space="preserve">C — Mid-Term Enhancements</w:t>
            </w:r>
          </w:p>
        </w:tc>
        <w:tc>
          <w:tcPr/>
          <w:p>
            <w:pPr>
              <w:pStyle w:val="Compact"/>
              <w:jc w:val="left"/>
            </w:pPr>
            <w:r>
              <w:t xml:space="preserve">Implementation Specification (Section 3)</w:t>
            </w:r>
          </w:p>
        </w:tc>
      </w:tr>
      <w:tr>
        <w:tc>
          <w:tcPr/>
          <w:p>
            <w:pPr>
              <w:pStyle w:val="Compact"/>
              <w:jc w:val="left"/>
            </w:pPr>
            <w:r>
              <w:t xml:space="preserve">D — Long-Term Enhancements</w:t>
            </w:r>
          </w:p>
        </w:tc>
        <w:tc>
          <w:tcPr/>
          <w:p>
            <w:pPr>
              <w:pStyle w:val="Compact"/>
              <w:jc w:val="left"/>
            </w:pPr>
            <w:r>
              <w:t xml:space="preserve">Implementation Specification (Section 4)</w:t>
            </w:r>
          </w:p>
        </w:tc>
      </w:tr>
      <w:tr>
        <w:tc>
          <w:tcPr/>
          <w:p>
            <w:pPr>
              <w:pStyle w:val="Compact"/>
              <w:jc w:val="left"/>
            </w:pPr>
            <w:r>
              <w:t xml:space="preserve">E — Future Concept Feasibility Studies</w:t>
            </w:r>
          </w:p>
        </w:tc>
        <w:tc>
          <w:tcPr/>
          <w:p>
            <w:pPr>
              <w:pStyle w:val="Compact"/>
              <w:jc w:val="left"/>
            </w:pPr>
            <w:r>
              <w:t xml:space="preserve">Future Concepts Report (Sections 2-6)</w:t>
            </w:r>
          </w:p>
        </w:tc>
      </w:tr>
      <w:tr>
        <w:tc>
          <w:tcPr/>
          <w:p>
            <w:pPr>
              <w:pStyle w:val="Compact"/>
              <w:jc w:val="left"/>
            </w:pPr>
            <w:r>
              <w:t xml:space="preserve">F — Production Infrastructure</w:t>
            </w:r>
          </w:p>
        </w:tc>
        <w:tc>
          <w:tcPr/>
          <w:p>
            <w:pPr>
              <w:pStyle w:val="Compact"/>
              <w:jc w:val="left"/>
            </w:pPr>
            <w:r>
              <w:t xml:space="preserve">Monograph (Sections 4.3, 17-19); Feasibility and Validation Report (Section 2.3-2.4)</w:t>
            </w:r>
          </w:p>
        </w:tc>
      </w:tr>
      <w:tr>
        <w:tc>
          <w:tcPr/>
          <w:p>
            <w:pPr>
              <w:pStyle w:val="Compact"/>
              <w:jc w:val="left"/>
            </w:pPr>
            <w:r>
              <w:t xml:space="preserve">G — Evaluation and Benchmarking</w:t>
            </w:r>
          </w:p>
        </w:tc>
        <w:tc>
          <w:tcPr/>
          <w:p>
            <w:pPr>
              <w:pStyle w:val="Compact"/>
              <w:jc w:val="left"/>
            </w:pPr>
            <w:r>
              <w:t xml:space="preserve">Monograph (Section 21); Feasibility and Validation Report (Section 4); Comparative Landscape Report (Section 4.6, 6.7)</w:t>
            </w:r>
          </w:p>
        </w:tc>
      </w:tr>
      <w:tr>
        <w:tc>
          <w:tcPr/>
          <w:p>
            <w:pPr>
              <w:pStyle w:val="Compact"/>
              <w:jc w:val="left"/>
            </w:pPr>
            <w:r>
              <w:t xml:space="preserve">H — Integration and Positioning</w:t>
            </w:r>
          </w:p>
        </w:tc>
        <w:tc>
          <w:tcPr/>
          <w:p>
            <w:pPr>
              <w:pStyle w:val="Compact"/>
              <w:jc w:val="left"/>
            </w:pPr>
            <w:r>
              <w:t xml:space="preserve">Comparative Landscape Report (Section 13.4)</w:t>
            </w:r>
          </w:p>
        </w:tc>
      </w:tr>
    </w:tbl>
    <w:bookmarkEnd w:id="21"/>
    <w:bookmarkStart w:id="22" w:name="task-fields"/>
    <w:p>
      <w:pPr>
        <w:pStyle w:val="Heading3"/>
      </w:pPr>
      <w:r>
        <w:t xml:space="preserve">1.2 Task Fields</w:t>
      </w:r>
    </w:p>
    <w:p>
      <w:pPr>
        <w:pStyle w:val="FirstParagraph"/>
      </w:pPr>
      <w:r>
        <w:t xml:space="preserve">Every task in Sections 2-9 carries eight fields:</w:t>
      </w:r>
      <w:r>
        <w:t xml:space="preserve"> </w:t>
      </w:r>
      <w:r>
        <w:rPr>
          <w:bCs/>
          <w:b/>
        </w:rPr>
        <w:t xml:space="preserve">ID</w:t>
      </w:r>
      <w:r>
        <w:t xml:space="preserve"> </w:t>
      </w:r>
      <w:r>
        <w:t xml:space="preserve">(workstream letter + sequence number, e.g., A-3);</w:t>
      </w:r>
      <w:r>
        <w:t xml:space="preserve"> </w:t>
      </w:r>
      <w:r>
        <w:rPr>
          <w:bCs/>
          <w:b/>
        </w:rPr>
        <w:t xml:space="preserve">Title</w:t>
      </w:r>
      <w:r>
        <w:t xml:space="preserve">;</w:t>
      </w:r>
      <w:r>
        <w:t xml:space="preserve"> </w:t>
      </w:r>
      <w:r>
        <w:rPr>
          <w:bCs/>
          <w:b/>
        </w:rPr>
        <w:t xml:space="preserve">Description</w:t>
      </w:r>
      <w:r>
        <w:t xml:space="preserve"> </w:t>
      </w:r>
      <w:r>
        <w:t xml:space="preserve">(what is built or done);</w:t>
      </w:r>
      <w:r>
        <w:t xml:space="preserve"> </w:t>
      </w:r>
      <w:r>
        <w:rPr>
          <w:bCs/>
          <w:b/>
        </w:rPr>
        <w:t xml:space="preserve">Integration point</w:t>
      </w:r>
      <w:r>
        <w:t xml:space="preserve"> </w:t>
      </w:r>
      <w:r>
        <w:t xml:space="preserve">(the exact monograph section, engine, or module the task attaches to, following the Implementation Specification’s Section 5.1 module-layout convention where applicable);</w:t>
      </w:r>
      <w:r>
        <w:t xml:space="preserve"> </w:t>
      </w:r>
      <w:r>
        <w:rPr>
          <w:bCs/>
          <w:b/>
        </w:rPr>
        <w:t xml:space="preserve">Depends on</w:t>
      </w:r>
      <w:r>
        <w:t xml:space="preserve"> </w:t>
      </w:r>
      <w:r>
        <w:t xml:space="preserve">(task IDs that must complete first);</w:t>
      </w:r>
      <w:r>
        <w:t xml:space="preserve"> </w:t>
      </w:r>
      <w:r>
        <w:rPr>
          <w:bCs/>
          <w:b/>
        </w:rPr>
        <w:t xml:space="preserve">Priority</w:t>
      </w:r>
      <w:r>
        <w:t xml:space="preserve"> </w:t>
      </w:r>
      <w:r>
        <w:t xml:space="preserve">(Critical/High/Medium/Low, inherited from the Feasibility and Validation Report’s risk register — Section 3 of that report — wherever a task closes a named risk, and independently assessed otherwise);</w:t>
      </w:r>
      <w:r>
        <w:t xml:space="preserve"> </w:t>
      </w:r>
      <w:r>
        <w:rPr>
          <w:bCs/>
          <w:b/>
        </w:rPr>
        <w:t xml:space="preserve">Effort</w:t>
      </w:r>
      <w:r>
        <w:t xml:space="preserve"> </w:t>
      </w:r>
      <w:r>
        <w:t xml:space="preserve">(S = days, M = 1-2 weeks, L = 3-6 weeks, XL = longer, gated multi-stage work);</w:t>
      </w:r>
      <w:r>
        <w:t xml:space="preserve"> </w:t>
      </w:r>
      <w:r>
        <w:rPr>
          <w:bCs/>
          <w:b/>
        </w:rPr>
        <w:t xml:space="preserve">Acceptance criterion</w:t>
      </w:r>
      <w:r>
        <w:t xml:space="preserve"> </w:t>
      </w:r>
      <w:r>
        <w:t xml:space="preserve">(a specific test case ID, existing or newly specified here).</w:t>
      </w:r>
    </w:p>
    <w:bookmarkEnd w:id="22"/>
    <w:bookmarkStart w:id="23" w:name="X035f1ab092872c857b4dd256d5635aab3c8661b"/>
    <w:p>
      <w:pPr>
        <w:pStyle w:val="Heading3"/>
      </w:pPr>
      <w:r>
        <w:t xml:space="preserve">1.3 Priority Inheritance from the Risk Register</w:t>
      </w:r>
    </w:p>
    <w:p>
      <w:pPr>
        <w:pStyle w:val="FirstParagraph"/>
      </w:pPr>
      <w:r>
        <w:t xml:space="preserve">Where a task closes a risk from the Feasibility and Validation Report’s Section 3 register (R1-R9), this document assigns that task the same priority the risk register assigned that risk — R1 (tenant isolation) tasks are Critical, R2-R4 tasks are High, and so on — rather than re-deriving priority independently, so that a reader cross-referencing both documents finds consistent priority levels throughout.</w:t>
      </w:r>
    </w:p>
    <w:bookmarkEnd w:id="23"/>
    <w:bookmarkStart w:id="24" w:name="X064c614fe3c26ca4b322c80ebe88f6150bb56b7"/>
    <w:p>
      <w:pPr>
        <w:pStyle w:val="Heading3"/>
      </w:pPr>
      <w:r>
        <w:t xml:space="preserve">1.4 Effort Tiers Are Indicative, Not Committed</w:t>
      </w:r>
    </w:p>
    <w:p>
      <w:pPr>
        <w:pStyle w:val="FirstParagraph"/>
      </w:pPr>
      <w:r>
        <w:t xml:space="preserve">Consistent with every prior document’s evidentiary caution, the S/M/L/XL effort tiers in this document are indicative planning estimates, not committed schedule dates — they assume a team already familiar with this body of work’s mathematical content (per the Feasibility and Validation Report’s Section 2.5 staffing assumption) and should be re-estimated against actual team composition and velocity before being used for external scheduling commitments.</w:t>
      </w:r>
    </w:p>
    <w:bookmarkEnd w:id="24"/>
    <w:bookmarkStart w:id="25" w:name="X7a8390abdcff49319f0e14aca06ba53b128e964"/>
    <w:p>
      <w:pPr>
        <w:pStyle w:val="Heading3"/>
      </w:pPr>
      <w:r>
        <w:t xml:space="preserve">1.5 What</w:t>
      </w:r>
      <w:r>
        <w:t xml:space="preserve"> </w:t>
      </w:r>
      <w:r>
        <w:t xml:space="preserve">“</w:t>
      </w:r>
      <w:r>
        <w:t xml:space="preserve">Integration</w:t>
      </w:r>
      <w:r>
        <w:t xml:space="preserve">”</w:t>
      </w:r>
      <w:r>
        <w:t xml:space="preserve"> </w:t>
      </w:r>
      <w:r>
        <w:t xml:space="preserve">Means for Each Workstream</w:t>
      </w:r>
    </w:p>
    <w:p>
      <w:pPr>
        <w:pStyle w:val="FirstParagraph"/>
      </w:pPr>
      <w:r>
        <w:t xml:space="preserve">Workstreams B-D integrate into AEGIS’s existing engine and optimization module structure (Implementation Specification Section 5.1). Workstream E’s Stage-0 studies are explicitly pre-integration (Future Concepts Report Section 1.2) and produce a go/no-go recommendation rather than shipped code. Workstream F integrates at the infrastructure/deployment layer (Kubernetes manifests, service definitions) rather than the application-code layer. Workstream G produces evaluation artifacts (benchmark reports, load-test results) rather than shipped features. Workstream H integrates at the packaging/distribution layer (a connector package published for external frameworks), distinct from all other workstreams’ internal-codebase integration.</w:t>
      </w:r>
    </w:p>
    <w:bookmarkEnd w:id="25"/>
    <w:bookmarkEnd w:id="26"/>
    <w:bookmarkStart w:id="28" w:name="workstream-a-evidentiary-closure"/>
    <w:p>
      <w:pPr>
        <w:pStyle w:val="Heading2"/>
      </w:pPr>
      <w:r>
        <w:t xml:space="preserve">2. Workstream A — Evidentiary Closure</w:t>
      </w:r>
    </w:p>
    <w:p>
      <w:pPr>
        <w:pStyle w:val="FirstParagraph"/>
      </w:pPr>
      <w:r>
        <w:t xml:space="preserve">This workstream executes the seven test cases the Implementation and Credibility Test Cases document specified but marked NOT YET EXECUTED (that document’s Section 7, TC-NE-1 through TC-NE-7), each already tied to a Feasibility and Validation Report risk. These are prioritized first among all workstreams because they close gaps in components already built, requiring no new architecture.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Description</w:t>
            </w:r>
          </w:p>
        </w:tc>
        <w:tc>
          <w:tcPr/>
          <w:p>
            <w:pPr>
              <w:pStyle w:val="Compact"/>
              <w:jc w:val="left"/>
            </w:pPr>
            <w:r>
              <w:t xml:space="preserve">Integration point</w:t>
            </w:r>
          </w:p>
        </w:tc>
        <w:tc>
          <w:tcPr/>
          <w:p>
            <w:pPr>
              <w:pStyle w:val="Compact"/>
              <w:jc w:val="left"/>
            </w:pPr>
            <w:r>
              <w:t xml:space="preserve">Depends on</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Acceptance criterion</w:t>
            </w:r>
          </w:p>
        </w:tc>
      </w:tr>
      <w:tr>
        <w:tc>
          <w:tcPr/>
          <w:p>
            <w:pPr>
              <w:pStyle w:val="Compact"/>
              <w:jc w:val="left"/>
            </w:pPr>
            <w:r>
              <w:t xml:space="preserve">A-1</w:t>
            </w:r>
          </w:p>
        </w:tc>
        <w:tc>
          <w:tcPr/>
          <w:p>
            <w:pPr>
              <w:pStyle w:val="Compact"/>
              <w:jc w:val="left"/>
            </w:pPr>
            <w:r>
              <w:t xml:space="preserve">Tenant-isolation adversarial audit</w:t>
            </w:r>
          </w:p>
        </w:tc>
        <w:tc>
          <w:tcPr/>
          <w:p>
            <w:pPr>
              <w:pStyle w:val="Compact"/>
              <w:jc w:val="left"/>
            </w:pPr>
            <w:r>
              <w:t xml:space="preserve">Engage a third-party auditor or internal red team to attempt cross-tenant data access via each of the three independently-enforced isolation layers (lexical index, vector index, relational metadata store) plus the Tier-2 semantic-cache tenant scoping, per Feasibility Report Section 4.5</w:t>
            </w:r>
          </w:p>
        </w:tc>
        <w:tc>
          <w:tcPr/>
          <w:p>
            <w:pPr>
              <w:pStyle w:val="Compact"/>
              <w:jc w:val="left"/>
            </w:pPr>
            <w:r>
              <w:t xml:space="preserve">Monograph Section 17.3</w:t>
            </w:r>
          </w:p>
        </w:tc>
        <w:tc>
          <w:tcPr/>
          <w:p>
            <w:pPr>
              <w:pStyle w:val="Compact"/>
              <w:jc w:val="left"/>
            </w:pPr>
            <w:r>
              <w:t xml:space="preserve">None</w:t>
            </w:r>
          </w:p>
        </w:tc>
        <w:tc>
          <w:tcPr/>
          <w:p>
            <w:pPr>
              <w:pStyle w:val="Compact"/>
              <w:jc w:val="left"/>
            </w:pPr>
            <w:r>
              <w:rPr>
                <w:bCs/>
                <w:b/>
              </w:rPr>
              <w:t xml:space="preserve">Critical</w:t>
            </w:r>
            <w:r>
              <w:t xml:space="preserve"> </w:t>
            </w:r>
            <w:r>
              <w:t xml:space="preserve">(closes R1)</w:t>
            </w:r>
          </w:p>
        </w:tc>
        <w:tc>
          <w:tcPr/>
          <w:p>
            <w:pPr>
              <w:pStyle w:val="Compact"/>
              <w:jc w:val="left"/>
            </w:pPr>
            <w:r>
              <w:t xml:space="preserve">L</w:t>
            </w:r>
          </w:p>
        </w:tc>
        <w:tc>
          <w:tcPr/>
          <w:p>
            <w:pPr>
              <w:pStyle w:val="Compact"/>
              <w:jc w:val="left"/>
            </w:pPr>
            <w:r>
              <w:t xml:space="preserve">TC-NE-5, zero successful cross-tenant access per Feasibility Report Section 4.6 acceptance criterion</w:t>
            </w:r>
          </w:p>
        </w:tc>
      </w:tr>
      <w:tr>
        <w:tc>
          <w:tcPr/>
          <w:p>
            <w:pPr>
              <w:pStyle w:val="Compact"/>
              <w:jc w:val="left"/>
            </w:pPr>
            <w:r>
              <w:t xml:space="preserve">A-2</w:t>
            </w:r>
          </w:p>
        </w:tc>
        <w:tc>
          <w:tcPr/>
          <w:p>
            <w:pPr>
              <w:pStyle w:val="Compact"/>
              <w:jc w:val="left"/>
            </w:pPr>
            <w:r>
              <w:t xml:space="preserve">Bounded 100M-document load test, sub-test 1: ANN sub-linearity</w:t>
            </w:r>
          </w:p>
        </w:tc>
        <w:tc>
          <w:tcPr/>
          <w:p>
            <w:pPr>
              <w:pStyle w:val="Compact"/>
              <w:jc w:val="left"/>
            </w:pPr>
            <w:r>
              <w:t xml:space="preserve">Build an index at 1M/10M/100M synthetic or de-identified embedding scale at AEGIS’s actual configured dimensionality; measure query latency at each point</w:t>
            </w:r>
          </w:p>
        </w:tc>
        <w:tc>
          <w:tcPr/>
          <w:p>
            <w:pPr>
              <w:pStyle w:val="Compact"/>
              <w:jc w:val="left"/>
            </w:pPr>
            <w:r>
              <w:t xml:space="preserve">Monograph Section 4.3 vector index</w:t>
            </w:r>
          </w:p>
        </w:tc>
        <w:tc>
          <w:tcPr/>
          <w:p>
            <w:pPr>
              <w:pStyle w:val="Compact"/>
              <w:jc w:val="left"/>
            </w:pPr>
            <w:r>
              <w:t xml:space="preserve">None</w:t>
            </w:r>
          </w:p>
        </w:tc>
        <w:tc>
          <w:tcPr/>
          <w:p>
            <w:pPr>
              <w:pStyle w:val="Compact"/>
              <w:jc w:val="left"/>
            </w:pPr>
            <w:r>
              <w:t xml:space="preserve">High (closes part of R2)</w:t>
            </w:r>
          </w:p>
        </w:tc>
        <w:tc>
          <w:tcPr/>
          <w:p>
            <w:pPr>
              <w:pStyle w:val="Compact"/>
              <w:jc w:val="left"/>
            </w:pPr>
            <w:r>
              <w:t xml:space="preserve">L</w:t>
            </w:r>
          </w:p>
        </w:tc>
        <w:tc>
          <w:tcPr/>
          <w:p>
            <w:pPr>
              <w:pStyle w:val="Compact"/>
              <w:jc w:val="left"/>
            </w:pPr>
            <w:r>
              <w:t xml:space="preserve">TC-NE-6, sub-linear latency growth confirmed across all three scale points</w:t>
            </w:r>
          </w:p>
        </w:tc>
      </w:tr>
      <w:tr>
        <w:tc>
          <w:tcPr/>
          <w:p>
            <w:pPr>
              <w:pStyle w:val="Compact"/>
              <w:jc w:val="left"/>
            </w:pPr>
            <w:r>
              <w:t xml:space="preserve">A-3</w:t>
            </w:r>
          </w:p>
        </w:tc>
        <w:tc>
          <w:tcPr/>
          <w:p>
            <w:pPr>
              <w:pStyle w:val="Compact"/>
              <w:jc w:val="left"/>
            </w:pPr>
            <w:r>
              <w:t xml:space="preserve">Bounded load test, sub-test 2: tenant-filter latency</w:t>
            </w:r>
          </w:p>
        </w:tc>
        <w:tc>
          <w:tcPr/>
          <w:p>
            <w:pPr>
              <w:pStyle w:val="Compact"/>
              <w:jc w:val="left"/>
            </w:pPr>
            <w:r>
              <w:t xml:space="preserve">At fixed index size, vary tenant count and per-tenant filter granularity; measure marginal latency contribution of row-level security filtering in isolation</w:t>
            </w:r>
          </w:p>
        </w:tc>
        <w:tc>
          <w:tcPr/>
          <w:p>
            <w:pPr>
              <w:pStyle w:val="Compact"/>
              <w:jc w:val="left"/>
            </w:pPr>
            <w:r>
              <w:t xml:space="preserve">Monograph Section 17.3</w:t>
            </w:r>
          </w:p>
        </w:tc>
        <w:tc>
          <w:tcPr/>
          <w:p>
            <w:pPr>
              <w:pStyle w:val="Compact"/>
              <w:jc w:val="left"/>
            </w:pPr>
            <w:r>
              <w:t xml:space="preserve">A-2</w:t>
            </w:r>
          </w:p>
        </w:tc>
        <w:tc>
          <w:tcPr/>
          <w:p>
            <w:pPr>
              <w:pStyle w:val="Compact"/>
              <w:jc w:val="left"/>
            </w:pPr>
            <w:r>
              <w:t xml:space="preserve">High (closes part of R2)</w:t>
            </w:r>
          </w:p>
        </w:tc>
        <w:tc>
          <w:tcPr/>
          <w:p>
            <w:pPr>
              <w:pStyle w:val="Compact"/>
              <w:jc w:val="left"/>
            </w:pPr>
            <w:r>
              <w:t xml:space="preserve">M</w:t>
            </w:r>
          </w:p>
        </w:tc>
        <w:tc>
          <w:tcPr/>
          <w:p>
            <w:pPr>
              <w:pStyle w:val="Compact"/>
              <w:jc w:val="left"/>
            </w:pPr>
            <w:r>
              <w:t xml:space="preserve">TC-NE-6, filtering does not become dominant cost as tenant count grows</w:t>
            </w:r>
          </w:p>
        </w:tc>
      </w:tr>
      <w:tr>
        <w:tc>
          <w:tcPr/>
          <w:p>
            <w:pPr>
              <w:pStyle w:val="Compact"/>
              <w:jc w:val="left"/>
            </w:pPr>
            <w:r>
              <w:t xml:space="preserve">A-4</w:t>
            </w:r>
          </w:p>
        </w:tc>
        <w:tc>
          <w:tcPr/>
          <w:p>
            <w:pPr>
              <w:pStyle w:val="Compact"/>
              <w:jc w:val="left"/>
            </w:pPr>
            <w:r>
              <w:t xml:space="preserve">Bounded load test, sub-test 3: ingestion throughput bottleneck localization</w:t>
            </w:r>
          </w:p>
        </w:tc>
        <w:tc>
          <w:tcPr/>
          <w:p>
            <w:pPr>
              <w:pStyle w:val="Compact"/>
              <w:jc w:val="left"/>
            </w:pPr>
            <w:r>
              <w:t xml:space="preserve">Run Workflow 6 batch ingestion at increasing worker counts (100-1,000 range), instrumented per-stage, to empirically identify whether the twelve-engine transformation or the storage-write stage saturates first</w:t>
            </w:r>
          </w:p>
        </w:tc>
        <w:tc>
          <w:tcPr/>
          <w:p>
            <w:pPr>
              <w:pStyle w:val="Compact"/>
              <w:jc w:val="left"/>
            </w:pPr>
            <w:r>
              <w:t xml:space="preserve">Monograph Section 18.6</w:t>
            </w:r>
          </w:p>
        </w:tc>
        <w:tc>
          <w:tcPr/>
          <w:p>
            <w:pPr>
              <w:pStyle w:val="Compact"/>
              <w:jc w:val="left"/>
            </w:pPr>
            <w:r>
              <w:t xml:space="preserve">None</w:t>
            </w:r>
          </w:p>
        </w:tc>
        <w:tc>
          <w:tcPr/>
          <w:p>
            <w:pPr>
              <w:pStyle w:val="Compact"/>
              <w:jc w:val="left"/>
            </w:pPr>
            <w:r>
              <w:t xml:space="preserve">High (closes part of R2)</w:t>
            </w:r>
          </w:p>
        </w:tc>
        <w:tc>
          <w:tcPr/>
          <w:p>
            <w:pPr>
              <w:pStyle w:val="Compact"/>
              <w:jc w:val="left"/>
            </w:pPr>
            <w:r>
              <w:t xml:space="preserve">M</w:t>
            </w:r>
          </w:p>
        </w:tc>
        <w:tc>
          <w:tcPr/>
          <w:p>
            <w:pPr>
              <w:pStyle w:val="Compact"/>
              <w:jc w:val="left"/>
            </w:pPr>
            <w:r>
              <w:t xml:space="preserve">TC-NE-6, bottleneck stage identified and reported</w:t>
            </w:r>
          </w:p>
        </w:tc>
      </w:tr>
      <w:tr>
        <w:tc>
          <w:tcPr/>
          <w:p>
            <w:pPr>
              <w:pStyle w:val="Compact"/>
              <w:jc w:val="left"/>
            </w:pPr>
            <w:r>
              <w:t xml:space="preserve">A-5</w:t>
            </w:r>
          </w:p>
        </w:tc>
        <w:tc>
          <w:tcPr/>
          <w:p>
            <w:pPr>
              <w:pStyle w:val="Compact"/>
              <w:jc w:val="left"/>
            </w:pPr>
            <w:r>
              <w:t xml:space="preserve">DocVQA/TAT-QA benchmark execution with cost telemetry</w:t>
            </w:r>
          </w:p>
        </w:tc>
        <w:tc>
          <w:tcPr/>
          <w:p>
            <w:pPr>
              <w:pStyle w:val="Compact"/>
              <w:jc w:val="left"/>
            </w:pPr>
            <w:r>
              <w:t xml:space="preserve">Execute the monograph’s Section 21 evaluation protocol (three baselines, SPS/TER/RHM metrics) extended with the Feasibility Report’s Section 4.3 cost-telemetry addition (token count, latency, memory alongside accuracy)</w:t>
            </w:r>
          </w:p>
        </w:tc>
        <w:tc>
          <w:tcPr/>
          <w:p>
            <w:pPr>
              <w:pStyle w:val="Compact"/>
              <w:jc w:val="left"/>
            </w:pPr>
            <w:r>
              <w:t xml:space="preserve">Monograph Section 21; Feasibility Report Section 4.3</w:t>
            </w:r>
          </w:p>
        </w:tc>
        <w:tc>
          <w:tcPr/>
          <w:p>
            <w:pPr>
              <w:pStyle w:val="Compact"/>
              <w:jc w:val="left"/>
            </w:pPr>
            <w:r>
              <w:t xml:space="preserve">None</w:t>
            </w:r>
          </w:p>
        </w:tc>
        <w:tc>
          <w:tcPr/>
          <w:p>
            <w:pPr>
              <w:pStyle w:val="Compact"/>
              <w:jc w:val="left"/>
            </w:pPr>
            <w:r>
              <w:t xml:space="preserve">High (closes R3)</w:t>
            </w:r>
          </w:p>
        </w:tc>
        <w:tc>
          <w:tcPr/>
          <w:p>
            <w:pPr>
              <w:pStyle w:val="Compact"/>
              <w:jc w:val="left"/>
            </w:pPr>
            <w:r>
              <w:t xml:space="preserve">L</w:t>
            </w:r>
          </w:p>
        </w:tc>
        <w:tc>
          <w:tcPr/>
          <w:p>
            <w:pPr>
              <w:pStyle w:val="Compact"/>
              <w:jc w:val="left"/>
            </w:pPr>
            <w:r>
              <w:t xml:space="preserve">TC-NE-7, results reported at accuracy parity across baselines</w:t>
            </w:r>
          </w:p>
        </w:tc>
      </w:tr>
      <w:tr>
        <w:tc>
          <w:tcPr/>
          <w:p>
            <w:pPr>
              <w:pStyle w:val="Compact"/>
              <w:jc w:val="left"/>
            </w:pPr>
            <w:r>
              <w:t xml:space="preserve">A-6</w:t>
            </w:r>
          </w:p>
        </w:tc>
        <w:tc>
          <w:tcPr/>
          <w:p>
            <w:pPr>
              <w:pStyle w:val="Compact"/>
              <w:jc w:val="left"/>
            </w:pPr>
            <w:r>
              <w:t xml:space="preserve">End-to-end fallback failure-injection suite</w:t>
            </w:r>
          </w:p>
        </w:tc>
        <w:tc>
          <w:tcPr/>
          <w:p>
            <w:pPr>
              <w:pStyle w:val="Compact"/>
              <w:jc w:val="left"/>
            </w:pPr>
            <w:r>
              <w:t xml:space="preserve">Deliberately kill the vector database, force an LLM timeout, force a consumer-lag condition; confirm each documented fallback (monograph Workflow 5) activates within its stated latency budget</w:t>
            </w:r>
          </w:p>
        </w:tc>
        <w:tc>
          <w:tcPr/>
          <w:p>
            <w:pPr>
              <w:pStyle w:val="Compact"/>
              <w:jc w:val="left"/>
            </w:pPr>
            <w:r>
              <w:t xml:space="preserve">Monograph Section 18.5</w:t>
            </w:r>
          </w:p>
        </w:tc>
        <w:tc>
          <w:tcPr/>
          <w:p>
            <w:pPr>
              <w:pStyle w:val="Compact"/>
              <w:jc w:val="left"/>
            </w:pPr>
            <w:r>
              <w:t xml:space="preserve">None</w:t>
            </w:r>
          </w:p>
        </w:tc>
        <w:tc>
          <w:tcPr/>
          <w:p>
            <w:pPr>
              <w:pStyle w:val="Compact"/>
              <w:jc w:val="left"/>
            </w:pPr>
            <w:r>
              <w:t xml:space="preserve">Medium (closes R6)</w:t>
            </w:r>
          </w:p>
        </w:tc>
        <w:tc>
          <w:tcPr/>
          <w:p>
            <w:pPr>
              <w:pStyle w:val="Compact"/>
              <w:jc w:val="left"/>
            </w:pPr>
            <w:r>
              <w:t xml:space="preserve">M</w:t>
            </w:r>
          </w:p>
        </w:tc>
        <w:tc>
          <w:tcPr/>
          <w:p>
            <w:pPr>
              <w:pStyle w:val="Compact"/>
              <w:jc w:val="left"/>
            </w:pPr>
            <w:r>
              <w:t xml:space="preserve">TC-NE-4, all fallback paths confirmed activating within budget</w:t>
            </w:r>
          </w:p>
        </w:tc>
      </w:tr>
      <w:tr>
        <w:tc>
          <w:tcPr/>
          <w:p>
            <w:pPr>
              <w:pStyle w:val="Compact"/>
              <w:jc w:val="left"/>
            </w:pPr>
            <w:r>
              <w:t xml:space="preserve">A-7</w:t>
            </w:r>
          </w:p>
        </w:tc>
        <w:tc>
          <w:tcPr/>
          <w:p>
            <w:pPr>
              <w:pStyle w:val="Compact"/>
              <w:jc w:val="left"/>
            </w:pPr>
            <w:r>
              <w:t xml:space="preserve">Trained semantic encoder integration and A/B benchmark</w:t>
            </w:r>
          </w:p>
        </w:tc>
        <w:tc>
          <w:tcPr/>
          <w:p>
            <w:pPr>
              <w:pStyle w:val="Compact"/>
              <w:jc w:val="left"/>
            </w:pPr>
            <w:r>
              <w:t xml:space="preserve">Integrate a trained LayoutLMv3-class encoder in place of the structurally-verified mock (monograph Section 5.6); run a retrieval-precision A/B against the mock</w:t>
            </w:r>
          </w:p>
        </w:tc>
        <w:tc>
          <w:tcPr/>
          <w:p>
            <w:pPr>
              <w:pStyle w:val="Compact"/>
              <w:jc w:val="left"/>
            </w:pPr>
            <w:r>
              <w:t xml:space="preserve">Monograph Section 5.6, 12.7</w:t>
            </w:r>
          </w:p>
        </w:tc>
        <w:tc>
          <w:tcPr/>
          <w:p>
            <w:pPr>
              <w:pStyle w:val="Compact"/>
              <w:jc w:val="left"/>
            </w:pPr>
            <w:r>
              <w:t xml:space="preserve">None</w:t>
            </w:r>
          </w:p>
        </w:tc>
        <w:tc>
          <w:tcPr/>
          <w:p>
            <w:pPr>
              <w:pStyle w:val="Compact"/>
              <w:jc w:val="left"/>
            </w:pPr>
            <w:r>
              <w:t xml:space="preserve">High (closes R4)</w:t>
            </w:r>
          </w:p>
        </w:tc>
        <w:tc>
          <w:tcPr/>
          <w:p>
            <w:pPr>
              <w:pStyle w:val="Compact"/>
              <w:jc w:val="left"/>
            </w:pPr>
            <w:r>
              <w:t xml:space="preserve">XL</w:t>
            </w:r>
          </w:p>
        </w:tc>
        <w:tc>
          <w:tcPr/>
          <w:p>
            <w:pPr>
              <w:pStyle w:val="Compact"/>
              <w:jc w:val="left"/>
            </w:pPr>
            <w:r>
              <w:t xml:space="preserve">TC-NE-1, statistically significant precision improvement, no SPS/RHM regression</w:t>
            </w:r>
          </w:p>
        </w:tc>
      </w:tr>
      <w:tr>
        <w:tc>
          <w:tcPr/>
          <w:p>
            <w:pPr>
              <w:pStyle w:val="Compact"/>
              <w:jc w:val="left"/>
            </w:pPr>
            <w:r>
              <w:t xml:space="preserve">A-8</w:t>
            </w:r>
          </w:p>
        </w:tc>
        <w:tc>
          <w:tcPr/>
          <w:p>
            <w:pPr>
              <w:pStyle w:val="Compact"/>
              <w:jc w:val="left"/>
            </w:pPr>
            <w:r>
              <w:t xml:space="preserve">Multimodal encoder training and benchmark</w:t>
            </w:r>
          </w:p>
        </w:tc>
        <w:tc>
          <w:tcPr/>
          <w:p>
            <w:pPr>
              <w:pStyle w:val="Compact"/>
              <w:jc w:val="left"/>
            </w:pPr>
            <w:r>
              <w:t xml:space="preserve">Acquire/license a labeled diagram/figure corpus; train the image/flowchart encoders (monograph Section 12.3); run a multimodal-retrieval precision benchmark</w:t>
            </w:r>
          </w:p>
        </w:tc>
        <w:tc>
          <w:tcPr/>
          <w:p>
            <w:pPr>
              <w:pStyle w:val="Compact"/>
              <w:jc w:val="left"/>
            </w:pPr>
            <w:r>
              <w:t xml:space="preserve">Monograph Section 12.3</w:t>
            </w:r>
          </w:p>
        </w:tc>
        <w:tc>
          <w:tcPr/>
          <w:p>
            <w:pPr>
              <w:pStyle w:val="Compact"/>
              <w:jc w:val="left"/>
            </w:pPr>
            <w:r>
              <w:t xml:space="preserve">None</w:t>
            </w:r>
          </w:p>
        </w:tc>
        <w:tc>
          <w:tcPr/>
          <w:p>
            <w:pPr>
              <w:pStyle w:val="Compact"/>
              <w:jc w:val="left"/>
            </w:pPr>
            <w:r>
              <w:t xml:space="preserve">Medium (closes R5)</w:t>
            </w:r>
          </w:p>
        </w:tc>
        <w:tc>
          <w:tcPr/>
          <w:p>
            <w:pPr>
              <w:pStyle w:val="Compact"/>
              <w:jc w:val="left"/>
            </w:pPr>
            <w:r>
              <w:t xml:space="preserve">XL</w:t>
            </w:r>
          </w:p>
        </w:tc>
        <w:tc>
          <w:tcPr/>
          <w:p>
            <w:pPr>
              <w:pStyle w:val="Compact"/>
              <w:jc w:val="left"/>
            </w:pPr>
            <w:r>
              <w:t xml:space="preserve">TC-NE-3</w:t>
            </w:r>
          </w:p>
        </w:tc>
      </w:tr>
      <w:tr>
        <w:tc>
          <w:tcPr/>
          <w:p>
            <w:pPr>
              <w:pStyle w:val="Compact"/>
              <w:jc w:val="left"/>
            </w:pPr>
            <w:r>
              <w:t xml:space="preserve">A-9</w:t>
            </w:r>
          </w:p>
        </w:tc>
        <w:tc>
          <w:tcPr/>
          <w:p>
            <w:pPr>
              <w:pStyle w:val="Compact"/>
              <w:jc w:val="left"/>
            </w:pPr>
            <w:r>
              <w:t xml:space="preserve">Real-corpus spectral/hitting-time validation</w:t>
            </w:r>
          </w:p>
        </w:tc>
        <w:tc>
          <w:tcPr/>
          <w:p>
            <w:pPr>
              <w:pStyle w:val="Compact"/>
              <w:jc w:val="left"/>
            </w:pPr>
            <w:r>
              <w:t xml:space="preserve">Re-test the spectral embedder (TC-16) and hitting-time score (TC-17) against real document structural graphs with human-annotated ground truth, extending beyond the synthetic block-diagonal and path-graph tests</w:t>
            </w:r>
          </w:p>
        </w:tc>
        <w:tc>
          <w:tcPr/>
          <w:p>
            <w:pPr>
              <w:pStyle w:val="Compact"/>
              <w:jc w:val="left"/>
            </w:pPr>
            <w:r>
              <w:t xml:space="preserve">Monograph Section 12.4, 12.5</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TC-NE-2</w:t>
            </w:r>
          </w:p>
        </w:tc>
      </w:tr>
    </w:tbl>
    <w:bookmarkStart w:id="27" w:name="sequencing-note"/>
    <w:p>
      <w:pPr>
        <w:pStyle w:val="Heading3"/>
      </w:pPr>
      <w:r>
        <w:t xml:space="preserve">2.1 Sequencing Note</w:t>
      </w:r>
    </w:p>
    <w:p>
      <w:pPr>
        <w:pStyle w:val="FirstParagraph"/>
      </w:pPr>
      <w:r>
        <w:t xml:space="preserve">A-1 (tenant-isolation audit) should begin immediately and independently of every other task in this workstream, per the Feasibility and Validation Report’s Section 6.2 explicit recommendation that it not be sequenced behind accuracy or scale validation work given its unrecoverable-if-wrong risk profile. A-2 through A-4 (the three load-testing sub-tests) are independently schedulable and do not block each other. A-7 and A-8 are the largest-effort items in this workstream (both XL, both requiring new training data) and should proceed in parallel with, not before, the smaller items — consistent with the Feasibility Report’s Section 2.5 finding that the largest remaining efforts are not on AEGIS’s critical mathematical path.</w:t>
      </w:r>
    </w:p>
    <w:bookmarkEnd w:id="27"/>
    <w:bookmarkEnd w:id="28"/>
    <w:bookmarkStart w:id="29" w:name="Xff4b667ec070e2b4fa229fbd3a03cfdea5a77a1"/>
    <w:p>
      <w:pPr>
        <w:pStyle w:val="Heading2"/>
      </w:pPr>
      <w:r>
        <w:t xml:space="preserve">3. Workstream B — Near-Term Enhancement Features</w:t>
      </w:r>
    </w:p>
    <w:p>
      <w:pPr>
        <w:pStyle w:val="FirstParagraph"/>
      </w:pPr>
      <w:r>
        <w:t xml:space="preserve">Implements the Implementation Specification’s Feature Group A (that document’s Section 2), requiring no new training data or trained model.</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Description</w:t>
            </w:r>
          </w:p>
        </w:tc>
        <w:tc>
          <w:tcPr/>
          <w:p>
            <w:pPr>
              <w:pStyle w:val="Compact"/>
              <w:jc w:val="left"/>
            </w:pPr>
            <w:r>
              <w:t xml:space="preserve">Integration point</w:t>
            </w:r>
          </w:p>
        </w:tc>
        <w:tc>
          <w:tcPr/>
          <w:p>
            <w:pPr>
              <w:pStyle w:val="Compact"/>
              <w:jc w:val="left"/>
            </w:pPr>
            <w:r>
              <w:t xml:space="preserve">Depends on</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Acceptance criterion</w:t>
            </w:r>
          </w:p>
        </w:tc>
      </w:tr>
      <w:tr>
        <w:tc>
          <w:tcPr/>
          <w:p>
            <w:pPr>
              <w:pStyle w:val="Compact"/>
              <w:jc w:val="left"/>
            </w:pPr>
            <w:r>
              <w:t xml:space="preserve">B-1</w:t>
            </w:r>
          </w:p>
        </w:tc>
        <w:tc>
          <w:tcPr/>
          <w:p>
            <w:pPr>
              <w:pStyle w:val="Compact"/>
              <w:jc w:val="left"/>
            </w:pPr>
            <w:r>
              <w:t xml:space="preserve">OPW reading-order metric</w:t>
            </w:r>
          </w:p>
        </w:tc>
        <w:tc>
          <w:tcPr/>
          <w:p>
            <w:pPr>
              <w:pStyle w:val="Compact"/>
              <w:jc w:val="left"/>
            </w:pPr>
            <w:r>
              <w:t xml:space="preserve">Implement</w:t>
            </w:r>
            <w:r>
              <w:t xml:space="preserve"> </w:t>
            </w:r>
            <w:r>
              <w:rPr>
                <w:rStyle w:val="VerbatimChar"/>
              </w:rPr>
              <w:t xml:space="preserve">compute_opw_distance()</w:t>
            </w:r>
            <w:r>
              <w:t xml:space="preserve"> </w:t>
            </w:r>
            <w:r>
              <w:t xml:space="preserve">per Implementation Spec Section 2.1; integrate the POT library dependency</w:t>
            </w:r>
          </w:p>
        </w:tc>
        <w:tc>
          <w:tcPr/>
          <w:p>
            <w:pPr>
              <w:pStyle w:val="Compact"/>
              <w:jc w:val="left"/>
            </w:pPr>
            <w:r>
              <w:rPr>
                <w:rStyle w:val="VerbatimChar"/>
              </w:rPr>
              <w:t xml:space="preserve">engines/graph/opw_metric.py</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TC-E-01 through TC-E-04</w:t>
            </w:r>
          </w:p>
        </w:tc>
      </w:tr>
      <w:tr>
        <w:tc>
          <w:tcPr/>
          <w:p>
            <w:pPr>
              <w:pStyle w:val="Compact"/>
              <w:jc w:val="left"/>
            </w:pPr>
            <w:r>
              <w:t xml:space="preserve">B-2</w:t>
            </w:r>
          </w:p>
        </w:tc>
        <w:tc>
          <w:tcPr/>
          <w:p>
            <w:pPr>
              <w:pStyle w:val="Compact"/>
              <w:jc w:val="left"/>
            </w:pPr>
            <w:r>
              <w:t xml:space="preserve">OPW metric wired into observability and bandit reward</w:t>
            </w:r>
          </w:p>
        </w:tc>
        <w:tc>
          <w:tcPr/>
          <w:p>
            <w:pPr>
              <w:pStyle w:val="Compact"/>
              <w:jc w:val="left"/>
            </w:pPr>
            <w:r>
              <w:t xml:space="preserve">Surface OPW distance alongside RHM in Section 19.5 dashboards; feed as a graded component into Section 13.3’s bandit composite reward</w:t>
            </w:r>
          </w:p>
        </w:tc>
        <w:tc>
          <w:tcPr/>
          <w:p>
            <w:pPr>
              <w:pStyle w:val="Compact"/>
              <w:jc w:val="left"/>
            </w:pPr>
            <w:r>
              <w:t xml:space="preserve">Monograph Section 19.5, 13.3</w:t>
            </w:r>
          </w:p>
        </w:tc>
        <w:tc>
          <w:tcPr/>
          <w:p>
            <w:pPr>
              <w:pStyle w:val="Compact"/>
              <w:jc w:val="left"/>
            </w:pPr>
            <w:r>
              <w:t xml:space="preserve">B-1</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TC-E-04</w:t>
            </w:r>
          </w:p>
        </w:tc>
      </w:tr>
      <w:tr>
        <w:tc>
          <w:tcPr/>
          <w:p>
            <w:pPr>
              <w:pStyle w:val="Compact"/>
              <w:jc w:val="left"/>
            </w:pPr>
            <w:r>
              <w:t xml:space="preserve">B-3</w:t>
            </w:r>
          </w:p>
        </w:tc>
        <w:tc>
          <w:tcPr/>
          <w:p>
            <w:pPr>
              <w:pStyle w:val="Compact"/>
              <w:jc w:val="left"/>
            </w:pPr>
            <w:r>
              <w:t xml:space="preserve">Persistent-homology Topology Engine (table topology)</w:t>
            </w:r>
          </w:p>
        </w:tc>
        <w:tc>
          <w:tcPr/>
          <w:p>
            <w:pPr>
              <w:pStyle w:val="Compact"/>
              <w:jc w:val="left"/>
            </w:pPr>
            <w:r>
              <w:t xml:space="preserve">Implement</w:t>
            </w:r>
            <w:r>
              <w:t xml:space="preserve"> </w:t>
            </w:r>
            <w:r>
              <w:rPr>
                <w:rStyle w:val="VerbatimChar"/>
              </w:rPr>
              <w:t xml:space="preserve">compute_table_topology()</w:t>
            </w:r>
            <w:r>
              <w:t xml:space="preserve"> </w:t>
            </w:r>
            <w:r>
              <w:t xml:space="preserve">per Implementation Spec Section 2.2; integrate GUDHI or Ripser</w:t>
            </w:r>
          </w:p>
        </w:tc>
        <w:tc>
          <w:tcPr/>
          <w:p>
            <w:pPr>
              <w:pStyle w:val="Compact"/>
              <w:jc w:val="left"/>
            </w:pPr>
            <w:r>
              <w:rPr>
                <w:rStyle w:val="VerbatimChar"/>
              </w:rPr>
              <w:t xml:space="preserve">engines/topology/persistent_homology.py</w:t>
            </w:r>
          </w:p>
        </w:tc>
        <w:tc>
          <w:tcPr/>
          <w:p>
            <w:pPr>
              <w:pStyle w:val="Compact"/>
              <w:jc w:val="left"/>
            </w:pPr>
            <w:r>
              <w:t xml:space="preserve">None</w:t>
            </w:r>
          </w:p>
        </w:tc>
        <w:tc>
          <w:tcPr/>
          <w:p>
            <w:pPr>
              <w:pStyle w:val="Compact"/>
              <w:jc w:val="left"/>
            </w:pPr>
            <w:r>
              <w:t xml:space="preserve">High (closes long-standing Sec. 23 gap)</w:t>
            </w:r>
          </w:p>
        </w:tc>
        <w:tc>
          <w:tcPr/>
          <w:p>
            <w:pPr>
              <w:pStyle w:val="Compact"/>
              <w:jc w:val="left"/>
            </w:pPr>
            <w:r>
              <w:t xml:space="preserve">M</w:t>
            </w:r>
          </w:p>
        </w:tc>
        <w:tc>
          <w:tcPr/>
          <w:p>
            <w:pPr>
              <w:pStyle w:val="Compact"/>
              <w:jc w:val="left"/>
            </w:pPr>
            <w:r>
              <w:t xml:space="preserve">TC-E-05 through TC-E-07</w:t>
            </w:r>
          </w:p>
        </w:tc>
      </w:tr>
      <w:tr>
        <w:tc>
          <w:tcPr/>
          <w:p>
            <w:pPr>
              <w:pStyle w:val="Compact"/>
              <w:jc w:val="left"/>
            </w:pPr>
            <w:r>
              <w:t xml:space="preserve">B-4</w:t>
            </w:r>
          </w:p>
        </w:tc>
        <w:tc>
          <w:tcPr/>
          <w:p>
            <w:pPr>
              <w:pStyle w:val="Compact"/>
              <w:jc w:val="left"/>
            </w:pPr>
            <w:r>
              <w:t xml:space="preserve">Topology anomaly flag wired into verification stage</w:t>
            </w:r>
          </w:p>
        </w:tc>
        <w:tc>
          <w:tcPr/>
          <w:p>
            <w:pPr>
              <w:pStyle w:val="Compact"/>
              <w:jc w:val="left"/>
            </w:pPr>
            <w:r>
              <w:t xml:space="preserve">Route</w:t>
            </w:r>
            <w:r>
              <w:t xml:space="preserve"> </w:t>
            </w:r>
            <w:r>
              <w:rPr>
                <w:rStyle w:val="VerbatimChar"/>
              </w:rPr>
              <w:t xml:space="preserve">TopologyReport.anomaly_flag</w:t>
            </w:r>
            <w:r>
              <w:t xml:space="preserve"> </w:t>
            </w:r>
            <w:r>
              <w:t xml:space="preserve">through the existing OCR-confidence-flag pathway (monograph Section 19.3)</w:t>
            </w:r>
          </w:p>
        </w:tc>
        <w:tc>
          <w:tcPr/>
          <w:p>
            <w:pPr>
              <w:pStyle w:val="Compact"/>
              <w:jc w:val="left"/>
            </w:pPr>
            <w:r>
              <w:t xml:space="preserve">Monograph Section 19.3</w:t>
            </w:r>
          </w:p>
        </w:tc>
        <w:tc>
          <w:tcPr/>
          <w:p>
            <w:pPr>
              <w:pStyle w:val="Compact"/>
              <w:jc w:val="left"/>
            </w:pPr>
            <w:r>
              <w:t xml:space="preserve">B-3</w:t>
            </w:r>
          </w:p>
        </w:tc>
        <w:tc>
          <w:tcPr/>
          <w:p>
            <w:pPr>
              <w:pStyle w:val="Compact"/>
              <w:jc w:val="left"/>
            </w:pPr>
            <w:r>
              <w:t xml:space="preserve">High</w:t>
            </w:r>
          </w:p>
        </w:tc>
        <w:tc>
          <w:tcPr/>
          <w:p>
            <w:pPr>
              <w:pStyle w:val="Compact"/>
              <w:jc w:val="left"/>
            </w:pPr>
            <w:r>
              <w:t xml:space="preserve">S</w:t>
            </w:r>
          </w:p>
        </w:tc>
        <w:tc>
          <w:tcPr/>
          <w:p>
            <w:pPr>
              <w:pStyle w:val="Compact"/>
              <w:jc w:val="left"/>
            </w:pPr>
            <w:r>
              <w:t xml:space="preserve">TC-E-07</w:t>
            </w:r>
          </w:p>
        </w:tc>
      </w:tr>
      <w:tr>
        <w:tc>
          <w:tcPr/>
          <w:p>
            <w:pPr>
              <w:pStyle w:val="Compact"/>
              <w:jc w:val="left"/>
            </w:pPr>
            <w:r>
              <w:t xml:space="preserve">B-5</w:t>
            </w:r>
          </w:p>
        </w:tc>
        <w:tc>
          <w:tcPr/>
          <w:p>
            <w:pPr>
              <w:pStyle w:val="Compact"/>
              <w:jc w:val="left"/>
            </w:pPr>
            <w:r>
              <w:t xml:space="preserve">Real-corpus table-topology validation</w:t>
            </w:r>
          </w:p>
        </w:tc>
        <w:tc>
          <w:tcPr/>
          <w:p>
            <w:pPr>
              <w:pStyle w:val="Compact"/>
              <w:jc w:val="left"/>
            </w:pPr>
            <w:r>
              <w:t xml:space="preserve">Validate anomaly-flag precision/recall against PubTables-1M or a comparable labeled table-structure benchmark</w:t>
            </w:r>
          </w:p>
        </w:tc>
        <w:tc>
          <w:tcPr/>
          <w:p>
            <w:pPr>
              <w:pStyle w:val="Compact"/>
              <w:jc w:val="left"/>
            </w:pPr>
            <w:r>
              <w:rPr>
                <w:rStyle w:val="VerbatimChar"/>
              </w:rPr>
              <w:t xml:space="preserve">engines/topology/</w:t>
            </w:r>
          </w:p>
        </w:tc>
        <w:tc>
          <w:tcPr/>
          <w:p>
            <w:pPr>
              <w:pStyle w:val="Compact"/>
              <w:jc w:val="left"/>
            </w:pPr>
            <w:r>
              <w:t xml:space="preserve">B-3</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TC-E-08</w:t>
            </w:r>
          </w:p>
        </w:tc>
      </w:tr>
    </w:tbl>
    <w:bookmarkEnd w:id="29"/>
    <w:bookmarkStart w:id="30" w:name="Xf566c5d3b3f3966014d68177a2a2e59e94bbce2"/>
    <w:p>
      <w:pPr>
        <w:pStyle w:val="Heading2"/>
      </w:pPr>
      <w:r>
        <w:t xml:space="preserve">4. Workstream C — Mid-Term Enhancement Features</w:t>
      </w:r>
    </w:p>
    <w:p>
      <w:pPr>
        <w:pStyle w:val="FirstParagraph"/>
      </w:pPr>
      <w:r>
        <w:t xml:space="preserve">Implements the Implementation Specification’s Feature Group B (that document’s Section 3): new solvers/representations, no new trained models.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Description</w:t>
            </w:r>
          </w:p>
        </w:tc>
        <w:tc>
          <w:tcPr/>
          <w:p>
            <w:pPr>
              <w:pStyle w:val="Compact"/>
              <w:jc w:val="left"/>
            </w:pPr>
            <w:r>
              <w:t xml:space="preserve">Integration point</w:t>
            </w:r>
          </w:p>
        </w:tc>
        <w:tc>
          <w:tcPr/>
          <w:p>
            <w:pPr>
              <w:pStyle w:val="Compact"/>
              <w:jc w:val="left"/>
            </w:pPr>
            <w:r>
              <w:t xml:space="preserve">Depends on</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Acceptance criterion</w:t>
            </w:r>
          </w:p>
        </w:tc>
      </w:tr>
      <w:tr>
        <w:tc>
          <w:tcPr/>
          <w:p>
            <w:pPr>
              <w:pStyle w:val="Compact"/>
              <w:jc w:val="left"/>
            </w:pPr>
            <w:r>
              <w:t xml:space="preserve">C-1</w:t>
            </w:r>
          </w:p>
        </w:tc>
        <w:tc>
          <w:tcPr/>
          <w:p>
            <w:pPr>
              <w:pStyle w:val="Compact"/>
              <w:jc w:val="left"/>
            </w:pPr>
            <w:r>
              <w:t xml:space="preserve">Submodular knapsack-constrained context packer</w:t>
            </w:r>
          </w:p>
        </w:tc>
        <w:tc>
          <w:tcPr/>
          <w:p>
            <w:pPr>
              <w:pStyle w:val="Compact"/>
              <w:jc w:val="left"/>
            </w:pPr>
            <w:r>
              <w:t xml:space="preserve">Implement</w:t>
            </w:r>
            <w:r>
              <w:t xml:space="preserve"> </w:t>
            </w:r>
            <w:r>
              <w:rPr>
                <w:rStyle w:val="VerbatimChar"/>
              </w:rPr>
              <w:t xml:space="preserve">pack_context_submodular()</w:t>
            </w:r>
            <w:r>
              <w:t xml:space="preserve"> </w:t>
            </w:r>
            <w:r>
              <w:t xml:space="preserve">per Implementation Spec Section 3.1; integrate SubModLib; implement concept extraction via existing Frequency/Semantic engines</w:t>
            </w:r>
          </w:p>
        </w:tc>
        <w:tc>
          <w:tcPr/>
          <w:p>
            <w:pPr>
              <w:pStyle w:val="Compact"/>
              <w:jc w:val="left"/>
            </w:pPr>
            <w:r>
              <w:rPr>
                <w:rStyle w:val="VerbatimChar"/>
              </w:rPr>
              <w:t xml:space="preserve">engines/retrieval/submodular_packer.py</w:t>
            </w:r>
          </w:p>
        </w:tc>
        <w:tc>
          <w:tcPr/>
          <w:p>
            <w:pPr>
              <w:pStyle w:val="Compact"/>
              <w:jc w:val="left"/>
            </w:pPr>
            <w:r>
              <w:t xml:space="preserve">None</w:t>
            </w:r>
          </w:p>
        </w:tc>
        <w:tc>
          <w:tcPr/>
          <w:p>
            <w:pPr>
              <w:pStyle w:val="Compact"/>
              <w:jc w:val="left"/>
            </w:pPr>
            <w:r>
              <w:t xml:space="preserve">High (top Enhancement Report finding)</w:t>
            </w:r>
          </w:p>
        </w:tc>
        <w:tc>
          <w:tcPr/>
          <w:p>
            <w:pPr>
              <w:pStyle w:val="Compact"/>
              <w:jc w:val="left"/>
            </w:pPr>
            <w:r>
              <w:t xml:space="preserve">L</w:t>
            </w:r>
          </w:p>
        </w:tc>
        <w:tc>
          <w:tcPr/>
          <w:p>
            <w:pPr>
              <w:pStyle w:val="Compact"/>
              <w:jc w:val="left"/>
            </w:pPr>
            <w:r>
              <w:t xml:space="preserve">TC-E-09 through TC-E-12</w:t>
            </w:r>
          </w:p>
        </w:tc>
      </w:tr>
      <w:tr>
        <w:tc>
          <w:tcPr/>
          <w:p>
            <w:pPr>
              <w:pStyle w:val="Compact"/>
              <w:jc w:val="left"/>
            </w:pPr>
            <w:r>
              <w:t xml:space="preserve">C-2</w:t>
            </w:r>
          </w:p>
        </w:tc>
        <w:tc>
          <w:tcPr/>
          <w:p>
            <w:pPr>
              <w:pStyle w:val="Compact"/>
              <w:jc w:val="left"/>
            </w:pPr>
            <w:r>
              <w:t xml:space="preserve">Replace MMR + knapsack two-stage pipeline with C-1</w:t>
            </w:r>
          </w:p>
        </w:tc>
        <w:tc>
          <w:tcPr/>
          <w:p>
            <w:pPr>
              <w:pStyle w:val="Compact"/>
              <w:jc w:val="left"/>
            </w:pPr>
            <w:r>
              <w:t xml:space="preserve">Retire Section 15.4’s separate MMR filter once C-1 is validated; update Section 6.6’s reading-order re-sort to consume C-1’s output</w:t>
            </w:r>
          </w:p>
        </w:tc>
        <w:tc>
          <w:tcPr/>
          <w:p>
            <w:pPr>
              <w:pStyle w:val="Compact"/>
              <w:jc w:val="left"/>
            </w:pPr>
            <w:r>
              <w:t xml:space="preserve">Monograph Section 15.4, 9</w:t>
            </w:r>
          </w:p>
        </w:tc>
        <w:tc>
          <w:tcPr/>
          <w:p>
            <w:pPr>
              <w:pStyle w:val="Compact"/>
              <w:jc w:val="left"/>
            </w:pPr>
            <w:r>
              <w:t xml:space="preserve">C-1</w:t>
            </w:r>
          </w:p>
        </w:tc>
        <w:tc>
          <w:tcPr/>
          <w:p>
            <w:pPr>
              <w:pStyle w:val="Compact"/>
              <w:jc w:val="left"/>
            </w:pPr>
            <w:r>
              <w:t xml:space="preserve">High</w:t>
            </w:r>
          </w:p>
        </w:tc>
        <w:tc>
          <w:tcPr/>
          <w:p>
            <w:pPr>
              <w:pStyle w:val="Compact"/>
              <w:jc w:val="left"/>
            </w:pPr>
            <w:r>
              <w:t xml:space="preserve">M</w:t>
            </w:r>
          </w:p>
        </w:tc>
        <w:tc>
          <w:tcPr/>
          <w:p>
            <w:pPr>
              <w:pStyle w:val="Compact"/>
              <w:jc w:val="left"/>
            </w:pPr>
            <w:r>
              <w:t xml:space="preserve">TC-E-11 (head-to-head vs. current pipeline)</w:t>
            </w:r>
          </w:p>
        </w:tc>
      </w:tr>
      <w:tr>
        <w:tc>
          <w:tcPr/>
          <w:p>
            <w:pPr>
              <w:pStyle w:val="Compact"/>
              <w:jc w:val="left"/>
            </w:pPr>
            <w:r>
              <w:t xml:space="preserve">C-3</w:t>
            </w:r>
          </w:p>
        </w:tc>
        <w:tc>
          <w:tcPr/>
          <w:p>
            <w:pPr>
              <w:pStyle w:val="Compact"/>
              <w:jc w:val="left"/>
            </w:pPr>
            <w:r>
              <w:t xml:space="preserve">Hypergraph table representation</w:t>
            </w:r>
          </w:p>
        </w:tc>
        <w:tc>
          <w:tcPr/>
          <w:p>
            <w:pPr>
              <w:pStyle w:val="Compact"/>
              <w:jc w:val="left"/>
            </w:pPr>
            <w:r>
              <w:t xml:space="preserve">Implement</w:t>
            </w:r>
            <w:r>
              <w:t xml:space="preserve"> </w:t>
            </w:r>
            <w:r>
              <w:rPr>
                <w:rStyle w:val="VerbatimChar"/>
              </w:rPr>
              <w:t xml:space="preserve">build_table_hypergraph()</w:t>
            </w:r>
            <w:r>
              <w:t xml:space="preserve"> </w:t>
            </w:r>
            <w:r>
              <w:t xml:space="preserve">per Implementation Spec Section 3.2; integrate DHG or HyperNetX</w:t>
            </w:r>
          </w:p>
        </w:tc>
        <w:tc>
          <w:tcPr/>
          <w:p>
            <w:pPr>
              <w:pStyle w:val="Compact"/>
              <w:jc w:val="left"/>
            </w:pPr>
            <w:r>
              <w:rPr>
                <w:rStyle w:val="VerbatimChar"/>
              </w:rPr>
              <w:t xml:space="preserve">engines/matrix/hypergraph.py</w:t>
            </w:r>
          </w:p>
        </w:tc>
        <w:tc>
          <w:tcPr/>
          <w:p>
            <w:pPr>
              <w:pStyle w:val="Compact"/>
              <w:jc w:val="left"/>
            </w:pPr>
            <w:r>
              <w:t xml:space="preserve">B-3 (shares table-structure detection input)</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TC-E-13 through TC-E-15</w:t>
            </w:r>
          </w:p>
        </w:tc>
      </w:tr>
      <w:tr>
        <w:tc>
          <w:tcPr/>
          <w:p>
            <w:pPr>
              <w:pStyle w:val="Compact"/>
              <w:jc w:val="left"/>
            </w:pPr>
            <w:r>
              <w:t xml:space="preserve">C-4</w:t>
            </w:r>
          </w:p>
        </w:tc>
        <w:tc>
          <w:tcPr/>
          <w:p>
            <w:pPr>
              <w:pStyle w:val="Compact"/>
              <w:jc w:val="left"/>
            </w:pPr>
            <w:r>
              <w:t xml:space="preserve">Extend tabular compiler correctness tests to hypergraph cases</w:t>
            </w:r>
          </w:p>
        </w:tc>
        <w:tc>
          <w:tcPr/>
          <w:p>
            <w:pPr>
              <w:pStyle w:val="Compact"/>
              <w:jc w:val="left"/>
            </w:pPr>
            <w:r>
              <w:t xml:space="preserve">Extend monograph Section 12.7’s header-binding and ragged-row tests to merged-cell and multi-level-header cases</w:t>
            </w:r>
          </w:p>
        </w:tc>
        <w:tc>
          <w:tcPr/>
          <w:p>
            <w:pPr>
              <w:pStyle w:val="Compact"/>
              <w:jc w:val="left"/>
            </w:pPr>
            <w:r>
              <w:t xml:space="preserve">Monograph Section 12.7</w:t>
            </w:r>
          </w:p>
        </w:tc>
        <w:tc>
          <w:tcPr/>
          <w:p>
            <w:pPr>
              <w:pStyle w:val="Compact"/>
              <w:jc w:val="left"/>
            </w:pPr>
            <w:r>
              <w:t xml:space="preserve">C-3</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TC-E-14, TC-E-15</w:t>
            </w:r>
          </w:p>
        </w:tc>
      </w:tr>
      <w:tr>
        <w:tc>
          <w:tcPr/>
          <w:p>
            <w:pPr>
              <w:pStyle w:val="Compact"/>
              <w:jc w:val="left"/>
            </w:pPr>
            <w:r>
              <w:t xml:space="preserve">C-5</w:t>
            </w:r>
          </w:p>
        </w:tc>
        <w:tc>
          <w:tcPr/>
          <w:p>
            <w:pPr>
              <w:pStyle w:val="Compact"/>
              <w:jc w:val="left"/>
            </w:pPr>
            <w:r>
              <w:t xml:space="preserve">Gromov-Wasserstein template comparator</w:t>
            </w:r>
          </w:p>
        </w:tc>
        <w:tc>
          <w:tcPr/>
          <w:p>
            <w:pPr>
              <w:pStyle w:val="Compact"/>
              <w:jc w:val="left"/>
            </w:pPr>
            <w:r>
              <w:t xml:space="preserve">Implement</w:t>
            </w:r>
            <w:r>
              <w:t xml:space="preserve"> </w:t>
            </w:r>
            <w:r>
              <w:rPr>
                <w:rStyle w:val="VerbatimChar"/>
              </w:rPr>
              <w:t xml:space="preserve">template_similarity_gw()</w:t>
            </w:r>
            <w:r>
              <w:t xml:space="preserve"> </w:t>
            </w:r>
            <w:r>
              <w:t xml:space="preserve">per Implementation Spec Section 3.3, as an alternative scoring backend</w:t>
            </w:r>
          </w:p>
        </w:tc>
        <w:tc>
          <w:tcPr/>
          <w:p>
            <w:pPr>
              <w:pStyle w:val="Compact"/>
              <w:jc w:val="left"/>
            </w:pPr>
            <w:r>
              <w:rPr>
                <w:rStyle w:val="VerbatimChar"/>
              </w:rPr>
              <w:t xml:space="preserve">engines/template/gw_comparator.py</w:t>
            </w:r>
          </w:p>
        </w:tc>
        <w:tc>
          <w:tcPr/>
          <w:p>
            <w:pPr>
              <w:pStyle w:val="Compact"/>
              <w:jc w:val="left"/>
            </w:pPr>
            <w:r>
              <w:t xml:space="preserve">B-1 (shares POT dependency)</w:t>
            </w:r>
          </w:p>
        </w:tc>
        <w:tc>
          <w:tcPr/>
          <w:p>
            <w:pPr>
              <w:pStyle w:val="Compact"/>
              <w:jc w:val="left"/>
            </w:pPr>
            <w:r>
              <w:t xml:space="preserve">Low-Medium</w:t>
            </w:r>
          </w:p>
        </w:tc>
        <w:tc>
          <w:tcPr/>
          <w:p>
            <w:pPr>
              <w:pStyle w:val="Compact"/>
              <w:jc w:val="left"/>
            </w:pPr>
            <w:r>
              <w:t xml:space="preserve">M</w:t>
            </w:r>
          </w:p>
        </w:tc>
        <w:tc>
          <w:tcPr/>
          <w:p>
            <w:pPr>
              <w:pStyle w:val="Compact"/>
              <w:jc w:val="left"/>
            </w:pPr>
            <w:r>
              <w:t xml:space="preserve">TC-E-16 through TC-E-18</w:t>
            </w:r>
          </w:p>
        </w:tc>
      </w:tr>
      <w:tr>
        <w:tc>
          <w:tcPr/>
          <w:p>
            <w:pPr>
              <w:pStyle w:val="Compact"/>
              <w:jc w:val="left"/>
            </w:pPr>
            <w:r>
              <w:t xml:space="preserve">C-6</w:t>
            </w:r>
          </w:p>
        </w:tc>
        <w:tc>
          <w:tcPr/>
          <w:p>
            <w:pPr>
              <w:pStyle w:val="Compact"/>
              <w:jc w:val="left"/>
            </w:pPr>
            <w:r>
              <w:t xml:space="preserve">IB-calibrated master-objective tuning</w:t>
            </w:r>
          </w:p>
        </w:tc>
        <w:tc>
          <w:tcPr/>
          <w:p>
            <w:pPr>
              <w:pStyle w:val="Compact"/>
              <w:jc w:val="left"/>
            </w:pPr>
            <w:r>
              <w:t xml:space="preserve">Implement</w:t>
            </w:r>
            <w:r>
              <w:t xml:space="preserve"> </w:t>
            </w:r>
            <w:r>
              <w:rPr>
                <w:rStyle w:val="VerbatimChar"/>
              </w:rPr>
              <w:t xml:space="preserve">calibrate_master_objective_via_ib()</w:t>
            </w:r>
            <w:r>
              <w:t xml:space="preserve"> </w:t>
            </w:r>
            <w:r>
              <w:t xml:space="preserve">per Implementation Spec Section 3.4, as an offline calibration utility</w:t>
            </w:r>
          </w:p>
        </w:tc>
        <w:tc>
          <w:tcPr/>
          <w:p>
            <w:pPr>
              <w:pStyle w:val="Compact"/>
              <w:jc w:val="left"/>
            </w:pPr>
            <w:r>
              <w:rPr>
                <w:rStyle w:val="VerbatimChar"/>
              </w:rPr>
              <w:t xml:space="preserve">optimization/ib_calibration.py</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TC-E-19, TC-E-20</w:t>
            </w:r>
          </w:p>
        </w:tc>
      </w:tr>
    </w:tbl>
    <w:bookmarkEnd w:id="30"/>
    <w:bookmarkStart w:id="31" w:name="X772365598ec3ecf1d91af19336d47104ed42700"/>
    <w:p>
      <w:pPr>
        <w:pStyle w:val="Heading2"/>
      </w:pPr>
      <w:r>
        <w:t xml:space="preserve">5. Workstream D — Long-Term Enhancement Features (Gated)</w:t>
      </w:r>
    </w:p>
    <w:p>
      <w:pPr>
        <w:pStyle w:val="FirstParagraph"/>
      </w:pPr>
      <w:r>
        <w:t xml:space="preserve">Implements the Implementation Specification’s Feature Group C (that document’s Section 4). Each task is explicitly gated behind its named prerequisite from Workstream C succeeding; none should begin implementation before its gate is satisfied.</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Description</w:t>
            </w:r>
          </w:p>
        </w:tc>
        <w:tc>
          <w:tcPr/>
          <w:p>
            <w:pPr>
              <w:pStyle w:val="Compact"/>
              <w:jc w:val="left"/>
            </w:pPr>
            <w:r>
              <w:t xml:space="preserve">Integration point</w:t>
            </w:r>
          </w:p>
        </w:tc>
        <w:tc>
          <w:tcPr/>
          <w:p>
            <w:pPr>
              <w:pStyle w:val="Compact"/>
              <w:jc w:val="left"/>
            </w:pPr>
            <w:r>
              <w:t xml:space="preserve">Depends on</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Acceptance criterion</w:t>
            </w:r>
          </w:p>
        </w:tc>
      </w:tr>
      <w:tr>
        <w:tc>
          <w:tcPr/>
          <w:p>
            <w:pPr>
              <w:pStyle w:val="Compact"/>
              <w:jc w:val="left"/>
            </w:pPr>
            <w:r>
              <w:t xml:space="preserve">D-1</w:t>
            </w:r>
          </w:p>
        </w:tc>
        <w:tc>
          <w:tcPr/>
          <w:p>
            <w:pPr>
              <w:pStyle w:val="Compact"/>
              <w:jc w:val="left"/>
            </w:pPr>
            <w:r>
              <w:t xml:space="preserve">Training corpus collection for IB value function</w:t>
            </w:r>
          </w:p>
        </w:tc>
        <w:tc>
          <w:tcPr/>
          <w:p>
            <w:pPr>
              <w:pStyle w:val="Compact"/>
              <w:jc w:val="left"/>
            </w:pPr>
            <w:r>
              <w:t xml:space="preserve">Collect (chunk, query, usefulness-label) triples from historical query logs via Section 19 citation-resolution success signal</w:t>
            </w:r>
          </w:p>
        </w:tc>
        <w:tc>
          <w:tcPr/>
          <w:p>
            <w:pPr>
              <w:pStyle w:val="Compact"/>
              <w:jc w:val="left"/>
            </w:pPr>
            <w:r>
              <w:t xml:space="preserve">Data pipeline, offline</w:t>
            </w:r>
          </w:p>
        </w:tc>
        <w:tc>
          <w:tcPr/>
          <w:p>
            <w:pPr>
              <w:pStyle w:val="Compact"/>
              <w:jc w:val="left"/>
            </w:pPr>
            <w:r>
              <w:t xml:space="preserve">C-6 pilot showing benefit</w:t>
            </w:r>
          </w:p>
        </w:tc>
        <w:tc>
          <w:tcPr/>
          <w:p>
            <w:pPr>
              <w:pStyle w:val="Compact"/>
              <w:jc w:val="left"/>
            </w:pPr>
            <w:r>
              <w:t xml:space="preserve">Low (long-term)</w:t>
            </w:r>
          </w:p>
        </w:tc>
        <w:tc>
          <w:tcPr/>
          <w:p>
            <w:pPr>
              <w:pStyle w:val="Compact"/>
              <w:jc w:val="left"/>
            </w:pPr>
            <w:r>
              <w:t xml:space="preserve">XL</w:t>
            </w:r>
          </w:p>
        </w:tc>
        <w:tc>
          <w:tcPr/>
          <w:p>
            <w:pPr>
              <w:pStyle w:val="Compact"/>
              <w:jc w:val="left"/>
            </w:pPr>
            <w:r>
              <w:t xml:space="preserve">N/A (data collection milestone)</w:t>
            </w:r>
          </w:p>
        </w:tc>
      </w:tr>
      <w:tr>
        <w:tc>
          <w:tcPr/>
          <w:p>
            <w:pPr>
              <w:pStyle w:val="Compact"/>
              <w:jc w:val="left"/>
            </w:pPr>
            <w:r>
              <w:t xml:space="preserve">D-2</w:t>
            </w:r>
          </w:p>
        </w:tc>
        <w:tc>
          <w:tcPr/>
          <w:p>
            <w:pPr>
              <w:pStyle w:val="Compact"/>
              <w:jc w:val="left"/>
            </w:pPr>
            <w:r>
              <w:t xml:space="preserve">Full IB-Lagrangian value function</w:t>
            </w:r>
          </w:p>
        </w:tc>
        <w:tc>
          <w:tcPr/>
          <w:p>
            <w:pPr>
              <w:pStyle w:val="Compact"/>
              <w:jc w:val="left"/>
            </w:pPr>
            <w:r>
              <w:t xml:space="preserve">Train and integrate</w:t>
            </w:r>
            <w:r>
              <w:t xml:space="preserve"> </w:t>
            </w:r>
            <w:r>
              <w:rPr>
                <w:rStyle w:val="VerbatimChar"/>
              </w:rPr>
              <w:t xml:space="preserve">score_value_ib()</w:t>
            </w:r>
            <w:r>
              <w:t xml:space="preserve"> </w:t>
            </w:r>
            <w:r>
              <w:t xml:space="preserve">per Implementation Spec Section 4.1, with fallback to Section 8.2’s heuristic below a confidence threshold</w:t>
            </w:r>
          </w:p>
        </w:tc>
        <w:tc>
          <w:tcPr/>
          <w:p>
            <w:pPr>
              <w:pStyle w:val="Compact"/>
              <w:jc w:val="left"/>
            </w:pPr>
            <w:r>
              <w:rPr>
                <w:rStyle w:val="VerbatimChar"/>
              </w:rPr>
              <w:t xml:space="preserve">optimization/ib_value_function.py</w:t>
            </w:r>
          </w:p>
        </w:tc>
        <w:tc>
          <w:tcPr/>
          <w:p>
            <w:pPr>
              <w:pStyle w:val="Compact"/>
              <w:jc w:val="left"/>
            </w:pPr>
            <w:r>
              <w:t xml:space="preserve">D-1, C-6</w:t>
            </w:r>
          </w:p>
        </w:tc>
        <w:tc>
          <w:tcPr/>
          <w:p>
            <w:pPr>
              <w:pStyle w:val="Compact"/>
              <w:jc w:val="left"/>
            </w:pPr>
            <w:r>
              <w:t xml:space="preserve">Low (long-term)</w:t>
            </w:r>
          </w:p>
        </w:tc>
        <w:tc>
          <w:tcPr/>
          <w:p>
            <w:pPr>
              <w:pStyle w:val="Compact"/>
              <w:jc w:val="left"/>
            </w:pPr>
            <w:r>
              <w:t xml:space="preserve">XL</w:t>
            </w:r>
          </w:p>
        </w:tc>
        <w:tc>
          <w:tcPr/>
          <w:p>
            <w:pPr>
              <w:pStyle w:val="Compact"/>
              <w:jc w:val="left"/>
            </w:pPr>
            <w:r>
              <w:t xml:space="preserve">TC-E-21 through TC-E-23</w:t>
            </w:r>
          </w:p>
        </w:tc>
      </w:tr>
      <w:tr>
        <w:tc>
          <w:tcPr/>
          <w:p>
            <w:pPr>
              <w:pStyle w:val="Compact"/>
              <w:jc w:val="left"/>
            </w:pPr>
            <w:r>
              <w:t xml:space="preserve">D-3</w:t>
            </w:r>
          </w:p>
        </w:tc>
        <w:tc>
          <w:tcPr/>
          <w:p>
            <w:pPr>
              <w:pStyle w:val="Compact"/>
              <w:jc w:val="left"/>
            </w:pPr>
            <w:r>
              <w:t xml:space="preserve">Training corpus collection for HGNN scoring</w:t>
            </w:r>
          </w:p>
        </w:tc>
        <w:tc>
          <w:tcPr/>
          <w:p>
            <w:pPr>
              <w:pStyle w:val="Compact"/>
              <w:jc w:val="left"/>
            </w:pPr>
            <w:r>
              <w:t xml:space="preserve">Collect (query, table, relevant-hyperedges) triples</w:t>
            </w:r>
          </w:p>
        </w:tc>
        <w:tc>
          <w:tcPr/>
          <w:p>
            <w:pPr>
              <w:pStyle w:val="Compact"/>
              <w:jc w:val="left"/>
            </w:pPr>
            <w:r>
              <w:t xml:space="preserve">Data pipeline, offline</w:t>
            </w:r>
          </w:p>
        </w:tc>
        <w:tc>
          <w:tcPr/>
          <w:p>
            <w:pPr>
              <w:pStyle w:val="Compact"/>
              <w:jc w:val="left"/>
            </w:pPr>
            <w:r>
              <w:t xml:space="preserve">C-3 pilot showing benefit</w:t>
            </w:r>
          </w:p>
        </w:tc>
        <w:tc>
          <w:tcPr/>
          <w:p>
            <w:pPr>
              <w:pStyle w:val="Compact"/>
              <w:jc w:val="left"/>
            </w:pPr>
            <w:r>
              <w:t xml:space="preserve">Low (long-term)</w:t>
            </w:r>
          </w:p>
        </w:tc>
        <w:tc>
          <w:tcPr/>
          <w:p>
            <w:pPr>
              <w:pStyle w:val="Compact"/>
              <w:jc w:val="left"/>
            </w:pPr>
            <w:r>
              <w:t xml:space="preserve">XL</w:t>
            </w:r>
          </w:p>
        </w:tc>
        <w:tc>
          <w:tcPr/>
          <w:p>
            <w:pPr>
              <w:pStyle w:val="Compact"/>
              <w:jc w:val="left"/>
            </w:pPr>
            <w:r>
              <w:t xml:space="preserve">N/A (data collection milestone)</w:t>
            </w:r>
          </w:p>
        </w:tc>
      </w:tr>
      <w:tr>
        <w:tc>
          <w:tcPr/>
          <w:p>
            <w:pPr>
              <w:pStyle w:val="Compact"/>
              <w:jc w:val="left"/>
            </w:pPr>
            <w:r>
              <w:t xml:space="preserve">D-4</w:t>
            </w:r>
          </w:p>
        </w:tc>
        <w:tc>
          <w:tcPr/>
          <w:p>
            <w:pPr>
              <w:pStyle w:val="Compact"/>
              <w:jc w:val="left"/>
            </w:pPr>
            <w:r>
              <w:t xml:space="preserve">Trained HGNN scoring layer</w:t>
            </w:r>
          </w:p>
        </w:tc>
        <w:tc>
          <w:tcPr/>
          <w:p>
            <w:pPr>
              <w:pStyle w:val="Compact"/>
              <w:jc w:val="left"/>
            </w:pPr>
            <w:r>
              <w:t xml:space="preserve">Train and integrate</w:t>
            </w:r>
            <w:r>
              <w:t xml:space="preserve"> </w:t>
            </w:r>
            <w:r>
              <w:rPr>
                <w:rStyle w:val="VerbatimChar"/>
              </w:rPr>
              <w:t xml:space="preserve">score_table_relevance_hgnn()</w:t>
            </w:r>
            <w:r>
              <w:t xml:space="preserve"> </w:t>
            </w:r>
            <w:r>
              <w:t xml:space="preserve">per Implementation Spec Section 4.2</w:t>
            </w:r>
          </w:p>
        </w:tc>
        <w:tc>
          <w:tcPr/>
          <w:p>
            <w:pPr>
              <w:pStyle w:val="Compact"/>
              <w:jc w:val="left"/>
            </w:pPr>
            <w:r>
              <w:rPr>
                <w:rStyle w:val="VerbatimChar"/>
              </w:rPr>
              <w:t xml:space="preserve">engines/matrix/hgnn_scoring.py</w:t>
            </w:r>
          </w:p>
        </w:tc>
        <w:tc>
          <w:tcPr/>
          <w:p>
            <w:pPr>
              <w:pStyle w:val="Compact"/>
              <w:jc w:val="left"/>
            </w:pPr>
            <w:r>
              <w:t xml:space="preserve">D-3, C-3</w:t>
            </w:r>
          </w:p>
        </w:tc>
        <w:tc>
          <w:tcPr/>
          <w:p>
            <w:pPr>
              <w:pStyle w:val="Compact"/>
              <w:jc w:val="left"/>
            </w:pPr>
            <w:r>
              <w:t xml:space="preserve">Low (long-term)</w:t>
            </w:r>
          </w:p>
        </w:tc>
        <w:tc>
          <w:tcPr/>
          <w:p>
            <w:pPr>
              <w:pStyle w:val="Compact"/>
              <w:jc w:val="left"/>
            </w:pPr>
            <w:r>
              <w:t xml:space="preserve">XL</w:t>
            </w:r>
          </w:p>
        </w:tc>
        <w:tc>
          <w:tcPr/>
          <w:p>
            <w:pPr>
              <w:pStyle w:val="Compact"/>
              <w:jc w:val="left"/>
            </w:pPr>
            <w:r>
              <w:t xml:space="preserve">TC-E-24, TC-E-25</w:t>
            </w:r>
          </w:p>
        </w:tc>
      </w:tr>
      <w:tr>
        <w:tc>
          <w:tcPr/>
          <w:p>
            <w:pPr>
              <w:pStyle w:val="Compact"/>
              <w:jc w:val="left"/>
            </w:pPr>
            <w:r>
              <w:t xml:space="preserve">D-5</w:t>
            </w:r>
          </w:p>
        </w:tc>
        <w:tc>
          <w:tcPr/>
          <w:p>
            <w:pPr>
              <w:pStyle w:val="Compact"/>
              <w:jc w:val="left"/>
            </w:pPr>
            <w:r>
              <w:t xml:space="preserve">Production knapsack-instance data collection</w:t>
            </w:r>
          </w:p>
        </w:tc>
        <w:tc>
          <w:tcPr/>
          <w:p>
            <w:pPr>
              <w:pStyle w:val="Compact"/>
              <w:jc w:val="left"/>
            </w:pPr>
            <w:r>
              <w:t xml:space="preserve">Collect representative production knapsack instances at sufficient volume for training, once Workstream C is deployed and generating real traffic</w:t>
            </w:r>
          </w:p>
        </w:tc>
        <w:tc>
          <w:tcPr/>
          <w:p>
            <w:pPr>
              <w:pStyle w:val="Compact"/>
              <w:jc w:val="left"/>
            </w:pPr>
            <w:r>
              <w:t xml:space="preserve">Data pipeline, offline</w:t>
            </w:r>
          </w:p>
        </w:tc>
        <w:tc>
          <w:tcPr/>
          <w:p>
            <w:pPr>
              <w:pStyle w:val="Compact"/>
              <w:jc w:val="left"/>
            </w:pPr>
            <w:r>
              <w:t xml:space="preserve">C-1 deployed in production</w:t>
            </w:r>
          </w:p>
        </w:tc>
        <w:tc>
          <w:tcPr/>
          <w:p>
            <w:pPr>
              <w:pStyle w:val="Compact"/>
              <w:jc w:val="left"/>
            </w:pPr>
            <w:r>
              <w:t xml:space="preserve">Low (long-term)</w:t>
            </w:r>
          </w:p>
        </w:tc>
        <w:tc>
          <w:tcPr/>
          <w:p>
            <w:pPr>
              <w:pStyle w:val="Compact"/>
              <w:jc w:val="left"/>
            </w:pPr>
            <w:r>
              <w:t xml:space="preserve">XL</w:t>
            </w:r>
          </w:p>
        </w:tc>
        <w:tc>
          <w:tcPr/>
          <w:p>
            <w:pPr>
              <w:pStyle w:val="Compact"/>
              <w:jc w:val="left"/>
            </w:pPr>
            <w:r>
              <w:t xml:space="preserve">N/A (data collection milestone)</w:t>
            </w:r>
          </w:p>
        </w:tc>
      </w:tr>
      <w:tr>
        <w:tc>
          <w:tcPr/>
          <w:p>
            <w:pPr>
              <w:pStyle w:val="Compact"/>
              <w:jc w:val="left"/>
            </w:pPr>
            <w:r>
              <w:t xml:space="preserve">D-6</w:t>
            </w:r>
          </w:p>
        </w:tc>
        <w:tc>
          <w:tcPr/>
          <w:p>
            <w:pPr>
              <w:pStyle w:val="Compact"/>
              <w:jc w:val="left"/>
            </w:pPr>
            <w:r>
              <w:t xml:space="preserve">Neural warm-start solver layer</w:t>
            </w:r>
          </w:p>
        </w:tc>
        <w:tc>
          <w:tcPr/>
          <w:p>
            <w:pPr>
              <w:pStyle w:val="Compact"/>
              <w:jc w:val="left"/>
            </w:pPr>
            <w:r>
              <w:t xml:space="preserve">Train and integrate</w:t>
            </w:r>
            <w:r>
              <w:t xml:space="preserve"> </w:t>
            </w:r>
            <w:r>
              <w:rPr>
                <w:rStyle w:val="VerbatimChar"/>
              </w:rPr>
              <w:t xml:space="preserve">warm_start_knapsack()</w:t>
            </w:r>
            <w:r>
              <w:t xml:space="preserve"> </w:t>
            </w:r>
            <w:r>
              <w:t xml:space="preserve">per Implementation Spec Section 4.3, using the provable-guarantee bounded-size construction</w:t>
            </w:r>
          </w:p>
        </w:tc>
        <w:tc>
          <w:tcPr/>
          <w:p>
            <w:pPr>
              <w:pStyle w:val="Compact"/>
              <w:jc w:val="left"/>
            </w:pPr>
            <w:r>
              <w:rPr>
                <w:rStyle w:val="VerbatimChar"/>
              </w:rPr>
              <w:t xml:space="preserve">optimization/neural_warmstart.py</w:t>
            </w:r>
          </w:p>
        </w:tc>
        <w:tc>
          <w:tcPr/>
          <w:p>
            <w:pPr>
              <w:pStyle w:val="Compact"/>
              <w:jc w:val="left"/>
            </w:pPr>
            <w:r>
              <w:t xml:space="preserve">D-5</w:t>
            </w:r>
          </w:p>
        </w:tc>
        <w:tc>
          <w:tcPr/>
          <w:p>
            <w:pPr>
              <w:pStyle w:val="Compact"/>
              <w:jc w:val="left"/>
            </w:pPr>
            <w:r>
              <w:t xml:space="preserve">Low (long-term)</w:t>
            </w:r>
          </w:p>
        </w:tc>
        <w:tc>
          <w:tcPr/>
          <w:p>
            <w:pPr>
              <w:pStyle w:val="Compact"/>
              <w:jc w:val="left"/>
            </w:pPr>
            <w:r>
              <w:t xml:space="preserve">XL</w:t>
            </w:r>
          </w:p>
        </w:tc>
        <w:tc>
          <w:tcPr/>
          <w:p>
            <w:pPr>
              <w:pStyle w:val="Compact"/>
              <w:jc w:val="left"/>
            </w:pPr>
            <w:r>
              <w:t xml:space="preserve">TC-E-26 through TC-E-28</w:t>
            </w:r>
          </w:p>
        </w:tc>
      </w:tr>
    </w:tbl>
    <w:bookmarkEnd w:id="31"/>
    <w:bookmarkStart w:id="34" w:name="X034e49182b1bb1801b865b323ba8c28c5080829"/>
    <w:p>
      <w:pPr>
        <w:pStyle w:val="Heading2"/>
      </w:pPr>
      <w:r>
        <w:t xml:space="preserve">6. Workstream E — Future Concept Feasibility Studies (Stage 0)</w:t>
      </w:r>
    </w:p>
    <w:p>
      <w:pPr>
        <w:pStyle w:val="FirstParagraph"/>
      </w:pPr>
      <w:r>
        <w:t xml:space="preserve">Executes the Stage 0 feasibility studies for the Future Concepts Report’s seven concepts (that document’s Sections 2-6). Per that report’s Section 7.1 finding, six of these seven require no new dependency to begin, making this workstream the cheapest per-task entry point in the entire backlog. Each task’s completion produces a go/no-go recommendation for advancing to Stage 1, not shipped code.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Description</w:t>
            </w:r>
          </w:p>
        </w:tc>
        <w:tc>
          <w:tcPr/>
          <w:p>
            <w:pPr>
              <w:pStyle w:val="Compact"/>
              <w:jc w:val="left"/>
            </w:pPr>
            <w:r>
              <w:t xml:space="preserve">Integration point</w:t>
            </w:r>
          </w:p>
        </w:tc>
        <w:tc>
          <w:tcPr/>
          <w:p>
            <w:pPr>
              <w:pStyle w:val="Compact"/>
              <w:jc w:val="left"/>
            </w:pPr>
            <w:r>
              <w:t xml:space="preserve">Depends on</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Acceptance criterion</w:t>
            </w:r>
          </w:p>
        </w:tc>
      </w:tr>
      <w:tr>
        <w:tc>
          <w:tcPr/>
          <w:p>
            <w:pPr>
              <w:pStyle w:val="Compact"/>
              <w:jc w:val="left"/>
            </w:pPr>
            <w:r>
              <w:t xml:space="preserve">E-1</w:t>
            </w:r>
          </w:p>
        </w:tc>
        <w:tc>
          <w:tcPr/>
          <w:p>
            <w:pPr>
              <w:pStyle w:val="Compact"/>
              <w:jc w:val="left"/>
            </w:pPr>
            <w:r>
              <w:t xml:space="preserve">Ising-model master objective feasibility study</w:t>
            </w:r>
          </w:p>
        </w:tc>
        <w:tc>
          <w:tcPr/>
          <w:p>
            <w:pPr>
              <w:pStyle w:val="Compact"/>
              <w:jc w:val="left"/>
            </w:pPr>
            <w:r>
              <w:t xml:space="preserve">Formulate discretized master-objective weight selection as an Ising energy function; run software-only simulated annealing on synthetic data vs. current fixed-default</w:t>
            </w:r>
          </w:p>
        </w:tc>
        <w:tc>
          <w:tcPr/>
          <w:p>
            <w:pPr>
              <w:pStyle w:val="Compact"/>
              <w:jc w:val="left"/>
            </w:pPr>
            <w:r>
              <w:t xml:space="preserve">Offline analysis,</w:t>
            </w:r>
            <w:r>
              <w:t xml:space="preserve"> </w:t>
            </w:r>
            <w:r>
              <w:rPr>
                <w:rStyle w:val="VerbatimChar"/>
              </w:rPr>
              <w:t xml:space="preserve">optimization/</w:t>
            </w:r>
            <w:r>
              <w:t xml:space="preserve"> </w:t>
            </w:r>
            <w:r>
              <w:t xml:space="preserve">(future)</w:t>
            </w:r>
          </w:p>
        </w:tc>
        <w:tc>
          <w:tcPr/>
          <w:p>
            <w:pPr>
              <w:pStyle w:val="Compact"/>
              <w:jc w:val="left"/>
            </w:pPr>
            <w:r>
              <w:t xml:space="preserve">None</w:t>
            </w:r>
          </w:p>
        </w:tc>
        <w:tc>
          <w:tcPr/>
          <w:p>
            <w:pPr>
              <w:pStyle w:val="Compact"/>
              <w:jc w:val="left"/>
            </w:pPr>
            <w:r>
              <w:t xml:space="preserve">Low-Medium</w:t>
            </w:r>
          </w:p>
        </w:tc>
        <w:tc>
          <w:tcPr/>
          <w:p>
            <w:pPr>
              <w:pStyle w:val="Compact"/>
              <w:jc w:val="left"/>
            </w:pPr>
            <w:r>
              <w:t xml:space="preserve">S</w:t>
            </w:r>
          </w:p>
        </w:tc>
        <w:tc>
          <w:tcPr/>
          <w:p>
            <w:pPr>
              <w:pStyle w:val="Compact"/>
              <w:jc w:val="left"/>
            </w:pPr>
            <w:r>
              <w:t xml:space="preserve">TC-F-01 informal precursor (documented comparison)</w:t>
            </w:r>
          </w:p>
        </w:tc>
      </w:tr>
      <w:tr>
        <w:tc>
          <w:tcPr/>
          <w:p>
            <w:pPr>
              <w:pStyle w:val="Compact"/>
              <w:jc w:val="left"/>
            </w:pPr>
            <w:r>
              <w:t xml:space="preserve">E-2</w:t>
            </w:r>
          </w:p>
        </w:tc>
        <w:tc>
          <w:tcPr/>
          <w:p>
            <w:pPr>
              <w:pStyle w:val="Compact"/>
              <w:jc w:val="left"/>
            </w:pPr>
            <w:r>
              <w:t xml:space="preserve">RG-theoretic memory hierarchy: promotion-regret measurement</w:t>
            </w:r>
          </w:p>
        </w:tc>
        <w:tc>
          <w:tcPr/>
          <w:p>
            <w:pPr>
              <w:pStyle w:val="Compact"/>
              <w:jc w:val="left"/>
            </w:pPr>
            <w:r>
              <w:t xml:space="preserve">Instrument existing L0-L5 hierarchy against a query log; measure how often promoted content is later needed at its original fine-grained level</w:t>
            </w:r>
          </w:p>
        </w:tc>
        <w:tc>
          <w:tcPr/>
          <w:p>
            <w:pPr>
              <w:pStyle w:val="Compact"/>
              <w:jc w:val="left"/>
            </w:pPr>
            <w:r>
              <w:t xml:space="preserve">Monograph Section 14.2, offline instrumentation</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TC-F-04</w:t>
            </w:r>
          </w:p>
        </w:tc>
      </w:tr>
      <w:tr>
        <w:tc>
          <w:tcPr/>
          <w:p>
            <w:pPr>
              <w:pStyle w:val="Compact"/>
              <w:jc w:val="left"/>
            </w:pPr>
            <w:r>
              <w:t xml:space="preserve">E-3</w:t>
            </w:r>
          </w:p>
        </w:tc>
        <w:tc>
          <w:tcPr/>
          <w:p>
            <w:pPr>
              <w:pStyle w:val="Compact"/>
              <w:jc w:val="left"/>
            </w:pPr>
            <w:r>
              <w:t xml:space="preserve">Ollivier-Ricci curvature correlation study</w:t>
            </w:r>
          </w:p>
        </w:tc>
        <w:tc>
          <w:tcPr/>
          <w:p>
            <w:pPr>
              <w:pStyle w:val="Compact"/>
              <w:jc w:val="left"/>
            </w:pPr>
            <w:r>
              <w:t xml:space="preserve">Compute curvature over sample Section 6.2 reading-order graphs from real/synthetic adversarial layouts; check correlation with known adversarial conditions</w:t>
            </w:r>
          </w:p>
        </w:tc>
        <w:tc>
          <w:tcPr/>
          <w:p>
            <w:pPr>
              <w:pStyle w:val="Compact"/>
              <w:jc w:val="left"/>
            </w:pPr>
            <w:r>
              <w:t xml:space="preserve">Offline analysis, shares POT dependency with B-1</w:t>
            </w:r>
          </w:p>
        </w:tc>
        <w:tc>
          <w:tcPr/>
          <w:p>
            <w:pPr>
              <w:pStyle w:val="Compact"/>
              <w:jc w:val="left"/>
            </w:pPr>
            <w:r>
              <w:t xml:space="preserve">B-1 (dependency reuse, not blocking)</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TC-F-08</w:t>
            </w:r>
          </w:p>
        </w:tc>
      </w:tr>
      <w:tr>
        <w:tc>
          <w:tcPr/>
          <w:p>
            <w:pPr>
              <w:pStyle w:val="Compact"/>
              <w:jc w:val="left"/>
            </w:pPr>
            <w:r>
              <w:t xml:space="preserve">E-4</w:t>
            </w:r>
          </w:p>
        </w:tc>
        <w:tc>
          <w:tcPr/>
          <w:p>
            <w:pPr>
              <w:pStyle w:val="Compact"/>
              <w:jc w:val="left"/>
            </w:pPr>
            <w:r>
              <w:t xml:space="preserve">NTT latency-profiling study</w:t>
            </w:r>
          </w:p>
        </w:tc>
        <w:tc>
          <w:tcPr/>
          <w:p>
            <w:pPr>
              <w:pStyle w:val="Compact"/>
              <w:jc w:val="left"/>
            </w:pPr>
            <w:r>
              <w:t xml:space="preserve">Profile Matrix Engine correlation/covariance computation on representative large tables; determine whether O(N²) cost is material at AEGIS’s actual table sizes</w:t>
            </w:r>
          </w:p>
        </w:tc>
        <w:tc>
          <w:tcPr/>
          <w:p>
            <w:pPr>
              <w:pStyle w:val="Compact"/>
              <w:jc w:val="left"/>
            </w:pPr>
            <w:r>
              <w:t xml:space="preserve">Offline profiling,</w:t>
            </w:r>
            <w:r>
              <w:t xml:space="preserve"> </w:t>
            </w:r>
            <w:r>
              <w:rPr>
                <w:rStyle w:val="VerbatimChar"/>
              </w:rPr>
              <w:t xml:space="preserve">engines/matrix/</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S</w:t>
            </w:r>
          </w:p>
        </w:tc>
        <w:tc>
          <w:tcPr/>
          <w:p>
            <w:pPr>
              <w:pStyle w:val="Compact"/>
              <w:jc w:val="left"/>
            </w:pPr>
            <w:r>
              <w:t xml:space="preserve">TC-F-10</w:t>
            </w:r>
          </w:p>
        </w:tc>
      </w:tr>
      <w:tr>
        <w:tc>
          <w:tcPr/>
          <w:p>
            <w:pPr>
              <w:pStyle w:val="Compact"/>
              <w:jc w:val="left"/>
            </w:pPr>
            <w:r>
              <w:t xml:space="preserve">E-5</w:t>
            </w:r>
          </w:p>
        </w:tc>
        <w:tc>
          <w:tcPr/>
          <w:p>
            <w:pPr>
              <w:pStyle w:val="Compact"/>
              <w:jc w:val="left"/>
            </w:pPr>
            <w:r>
              <w:t xml:space="preserve">Number-theoretic hashing redistribution simulation</w:t>
            </w:r>
          </w:p>
        </w:tc>
        <w:tc>
          <w:tcPr/>
          <w:p>
            <w:pPr>
              <w:pStyle w:val="Compact"/>
              <w:jc w:val="left"/>
            </w:pPr>
            <w:r>
              <w:t xml:space="preserve">Model current sharding scheme’s redistribution behavior under simulated node addition; compare against number-theoretic scheme’s closed-form prediction</w:t>
            </w:r>
          </w:p>
        </w:tc>
        <w:tc>
          <w:tcPr/>
          <w:p>
            <w:pPr>
              <w:pStyle w:val="Compact"/>
              <w:jc w:val="left"/>
            </w:pPr>
            <w:r>
              <w:t xml:space="preserve">Offline simulation</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S</w:t>
            </w:r>
          </w:p>
        </w:tc>
        <w:tc>
          <w:tcPr/>
          <w:p>
            <w:pPr>
              <w:pStyle w:val="Compact"/>
              <w:jc w:val="left"/>
            </w:pPr>
            <w:r>
              <w:t xml:space="preserve">Precursor to TC-F-13</w:t>
            </w:r>
          </w:p>
        </w:tc>
      </w:tr>
      <w:tr>
        <w:tc>
          <w:tcPr/>
          <w:p>
            <w:pPr>
              <w:pStyle w:val="Compact"/>
              <w:jc w:val="left"/>
            </w:pPr>
            <w:r>
              <w:t xml:space="preserve">E-6</w:t>
            </w:r>
          </w:p>
        </w:tc>
        <w:tc>
          <w:tcPr/>
          <w:p>
            <w:pPr>
              <w:pStyle w:val="Compact"/>
              <w:jc w:val="left"/>
            </w:pPr>
            <w:r>
              <w:t xml:space="preserve">Shapley-value divergence study</w:t>
            </w:r>
          </w:p>
        </w:tc>
        <w:tc>
          <w:tcPr/>
          <w:p>
            <w:pPr>
              <w:pStyle w:val="Compact"/>
              <w:jc w:val="left"/>
            </w:pPr>
            <w:r>
              <w:t xml:space="preserve">Compute exact Shapley values for a sample of real AEGIS queries via 2^12 coalition enumeration; compare against current static-default fusion weights</w:t>
            </w:r>
          </w:p>
        </w:tc>
        <w:tc>
          <w:tcPr/>
          <w:p>
            <w:pPr>
              <w:pStyle w:val="Compact"/>
              <w:jc w:val="left"/>
            </w:pPr>
            <w:r>
              <w:t xml:space="preserve">Offline analysis, Section 5.7</w:t>
            </w:r>
          </w:p>
        </w:tc>
        <w:tc>
          <w:tcPr/>
          <w:p>
            <w:pPr>
              <w:pStyle w:val="Compact"/>
              <w:jc w:val="left"/>
            </w:pPr>
            <w:r>
              <w:t xml:space="preserve">None</w:t>
            </w:r>
          </w:p>
        </w:tc>
        <w:tc>
          <w:tcPr/>
          <w:p>
            <w:pPr>
              <w:pStyle w:val="Compact"/>
              <w:jc w:val="left"/>
            </w:pPr>
            <w:r>
              <w:t xml:space="preserve">Low-Medium</w:t>
            </w:r>
          </w:p>
        </w:tc>
        <w:tc>
          <w:tcPr/>
          <w:p>
            <w:pPr>
              <w:pStyle w:val="Compact"/>
              <w:jc w:val="left"/>
            </w:pPr>
            <w:r>
              <w:t xml:space="preserve">S</w:t>
            </w:r>
          </w:p>
        </w:tc>
        <w:tc>
          <w:tcPr/>
          <w:p>
            <w:pPr>
              <w:pStyle w:val="Compact"/>
              <w:jc w:val="left"/>
            </w:pPr>
            <w:r>
              <w:t xml:space="preserve">TC-F-17</w:t>
            </w:r>
          </w:p>
        </w:tc>
      </w:tr>
      <w:tr>
        <w:tc>
          <w:tcPr/>
          <w:p>
            <w:pPr>
              <w:pStyle w:val="Compact"/>
              <w:jc w:val="left"/>
            </w:pPr>
            <w:r>
              <w:t xml:space="preserve">E-7</w:t>
            </w:r>
          </w:p>
        </w:tc>
        <w:tc>
          <w:tcPr/>
          <w:p>
            <w:pPr>
              <w:pStyle w:val="Compact"/>
              <w:jc w:val="left"/>
            </w:pPr>
            <w:r>
              <w:t xml:space="preserve">Percolation-theoretic infrastructure threshold estimate</w:t>
            </w:r>
          </w:p>
        </w:tc>
        <w:tc>
          <w:tcPr/>
          <w:p>
            <w:pPr>
              <w:pStyle w:val="Compact"/>
              <w:jc w:val="left"/>
            </w:pPr>
            <w:r>
              <w:t xml:space="preserve">Construct a graph model of AEGIS’s Section 4.3/17.5/18.5 infrastructure topology; compute analytical percolation threshold and critical-node ranking</w:t>
            </w:r>
          </w:p>
        </w:tc>
        <w:tc>
          <w:tcPr/>
          <w:p>
            <w:pPr>
              <w:pStyle w:val="Compact"/>
              <w:jc w:val="left"/>
            </w:pPr>
            <w:r>
              <w:t xml:space="preserve">Offline analysis, informs F-workstream planning</w:t>
            </w:r>
          </w:p>
        </w:tc>
        <w:tc>
          <w:tcPr/>
          <w:p>
            <w:pPr>
              <w:pStyle w:val="Compact"/>
              <w:jc w:val="left"/>
            </w:pPr>
            <w:r>
              <w:t xml:space="preserve">None</w:t>
            </w:r>
          </w:p>
        </w:tc>
        <w:tc>
          <w:tcPr/>
          <w:p>
            <w:pPr>
              <w:pStyle w:val="Compact"/>
              <w:jc w:val="left"/>
            </w:pPr>
            <w:r>
              <w:t xml:space="preserve">Medium (informs infra planning)</w:t>
            </w:r>
          </w:p>
        </w:tc>
        <w:tc>
          <w:tcPr/>
          <w:p>
            <w:pPr>
              <w:pStyle w:val="Compact"/>
              <w:jc w:val="left"/>
            </w:pPr>
            <w:r>
              <w:t xml:space="preserve">S</w:t>
            </w:r>
          </w:p>
        </w:tc>
        <w:tc>
          <w:tcPr/>
          <w:p>
            <w:pPr>
              <w:pStyle w:val="Compact"/>
              <w:jc w:val="left"/>
            </w:pPr>
            <w:r>
              <w:t xml:space="preserve">TC-F-20</w:t>
            </w:r>
          </w:p>
        </w:tc>
      </w:tr>
    </w:tbl>
    <w:bookmarkStart w:id="32" w:name="parallelization"/>
    <w:p>
      <w:pPr>
        <w:pStyle w:val="Heading3"/>
      </w:pPr>
      <w:r>
        <w:t xml:space="preserve">6.1 Parallelization</w:t>
      </w:r>
    </w:p>
    <w:p>
      <w:pPr>
        <w:pStyle w:val="FirstParagraph"/>
      </w:pPr>
      <w:r>
        <w:t xml:space="preserve">All seven Workstream E tasks are independently schedulable and require no shared infrastructure beyond what is already available for offline analysis — per the Future Concepts Report’s Section 7.1, they can run fully in parallel with each other and with every other workstream in this document, since none blocks or is blocked by Workstreams A-D. This workstream is the recommended entry point for a team wanting to explore this body of work’s most speculative but lowest-commitment findings without disrupting the higher-priority work of Workstreams A-C.</w:t>
      </w:r>
    </w:p>
    <w:bookmarkEnd w:id="32"/>
    <w:bookmarkStart w:id="33" w:name="advancement-criterion"/>
    <w:p>
      <w:pPr>
        <w:pStyle w:val="Heading3"/>
      </w:pPr>
      <w:r>
        <w:t xml:space="preserve">6.2 Advancement Criterion</w:t>
      </w:r>
    </w:p>
    <w:p>
      <w:pPr>
        <w:pStyle w:val="FirstParagraph"/>
      </w:pPr>
      <w:r>
        <w:t xml:space="preserve">A Workstream E task’s completion is a recommendation, not an automatic trigger: per the Future Concepts Report’s four-stage development method (that report’s Section 1.2), a positive Stage 0 finding should be evaluated against the team’s current capacity and the relative priority of Workstreams A-D before committing to that concept’s Stage 1 standalone prototype — this document does not pre-authorize Stage 1 work based on a Stage 0 result alone.</w:t>
      </w:r>
    </w:p>
    <w:bookmarkEnd w:id="33"/>
    <w:bookmarkEnd w:id="34"/>
    <w:bookmarkStart w:id="35" w:name="workstream-f-production-infrastructure"/>
    <w:p>
      <w:pPr>
        <w:pStyle w:val="Heading2"/>
      </w:pPr>
      <w:r>
        <w:t xml:space="preserve">7. Workstream F — Production Infrastructure</w:t>
      </w:r>
    </w:p>
    <w:p>
      <w:pPr>
        <w:pStyle w:val="FirstParagraph"/>
      </w:pPr>
      <w:r>
        <w:t xml:space="preserve">Builds the production topology monograph Section 4.3 specifies as the intended target but which the reference implementation, per Feasibility and Validation Report Section 2.3, does not yet stand up.</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Description</w:t>
            </w:r>
          </w:p>
        </w:tc>
        <w:tc>
          <w:tcPr/>
          <w:p>
            <w:pPr>
              <w:pStyle w:val="Compact"/>
              <w:jc w:val="left"/>
            </w:pPr>
            <w:r>
              <w:t xml:space="preserve">Integration point</w:t>
            </w:r>
          </w:p>
        </w:tc>
        <w:tc>
          <w:tcPr/>
          <w:p>
            <w:pPr>
              <w:pStyle w:val="Compact"/>
              <w:jc w:val="left"/>
            </w:pPr>
            <w:r>
              <w:t xml:space="preserve">Depends on</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Acceptance criterion</w:t>
            </w:r>
          </w:p>
        </w:tc>
      </w:tr>
      <w:tr>
        <w:tc>
          <w:tcPr/>
          <w:p>
            <w:pPr>
              <w:pStyle w:val="Compact"/>
              <w:jc w:val="left"/>
            </w:pPr>
            <w:r>
              <w:t xml:space="preserve">F-1</w:t>
            </w:r>
          </w:p>
        </w:tc>
        <w:tc>
          <w:tcPr/>
          <w:p>
            <w:pPr>
              <w:pStyle w:val="Compact"/>
              <w:jc w:val="left"/>
            </w:pPr>
            <w:r>
              <w:t xml:space="preserve">API gateway and auth/rate-limiting layer</w:t>
            </w:r>
          </w:p>
        </w:tc>
        <w:tc>
          <w:tcPr/>
          <w:p>
            <w:pPr>
              <w:pStyle w:val="Compact"/>
              <w:jc w:val="left"/>
            </w:pPr>
            <w:r>
              <w:t xml:space="preserve">Stand up an Envoy/Kong-class gateway providing authentication, rate limiting, and routing ahead of ingestion/query services</w:t>
            </w:r>
          </w:p>
        </w:tc>
        <w:tc>
          <w:tcPr/>
          <w:p>
            <w:pPr>
              <w:pStyle w:val="Compact"/>
              <w:jc w:val="left"/>
            </w:pPr>
            <w:r>
              <w:t xml:space="preserve">Monograph Section 4.3</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L</w:t>
            </w:r>
          </w:p>
        </w:tc>
        <w:tc>
          <w:tcPr/>
          <w:p>
            <w:pPr>
              <w:pStyle w:val="Compact"/>
              <w:jc w:val="left"/>
            </w:pPr>
            <w:r>
              <w:t xml:space="preserve">Gateway handles auth and per-tenant rate limits (Section 18.6 targets: 1,000 docs/min/tenant, 10,000 docs/min global)</w:t>
            </w:r>
          </w:p>
        </w:tc>
      </w:tr>
      <w:tr>
        <w:tc>
          <w:tcPr/>
          <w:p>
            <w:pPr>
              <w:pStyle w:val="Compact"/>
              <w:jc w:val="left"/>
            </w:pPr>
            <w:r>
              <w:t xml:space="preserve">F-2</w:t>
            </w:r>
          </w:p>
        </w:tc>
        <w:tc>
          <w:tcPr/>
          <w:p>
            <w:pPr>
              <w:pStyle w:val="Compact"/>
              <w:jc w:val="left"/>
            </w:pPr>
            <w:r>
              <w:t xml:space="preserve">Polyglot persistence layer provisioning</w:t>
            </w:r>
          </w:p>
        </w:tc>
        <w:tc>
          <w:tcPr/>
          <w:p>
            <w:pPr>
              <w:pStyle w:val="Compact"/>
              <w:jc w:val="left"/>
            </w:pPr>
            <w:r>
              <w:t xml:space="preserve">Provision vector DB (HNSW-indexed), full-text search (Elasticsearch-class), relational store (Postgres-class), Redis-class cache, S3-class object storage</w:t>
            </w:r>
          </w:p>
        </w:tc>
        <w:tc>
          <w:tcPr/>
          <w:p>
            <w:pPr>
              <w:pStyle w:val="Compact"/>
              <w:jc w:val="left"/>
            </w:pPr>
            <w:r>
              <w:t xml:space="preserve">Monograph Section 4.3</w:t>
            </w:r>
          </w:p>
        </w:tc>
        <w:tc>
          <w:tcPr/>
          <w:p>
            <w:pPr>
              <w:pStyle w:val="Compact"/>
              <w:jc w:val="left"/>
            </w:pPr>
            <w:r>
              <w:t xml:space="preserve">None</w:t>
            </w:r>
          </w:p>
        </w:tc>
        <w:tc>
          <w:tcPr/>
          <w:p>
            <w:pPr>
              <w:pStyle w:val="Compact"/>
              <w:jc w:val="left"/>
            </w:pPr>
            <w:r>
              <w:t xml:space="preserve">High</w:t>
            </w:r>
          </w:p>
        </w:tc>
        <w:tc>
          <w:tcPr/>
          <w:p>
            <w:pPr>
              <w:pStyle w:val="Compact"/>
              <w:jc w:val="left"/>
            </w:pPr>
            <w:r>
              <w:t xml:space="preserve">L</w:t>
            </w:r>
          </w:p>
        </w:tc>
        <w:tc>
          <w:tcPr/>
          <w:p>
            <w:pPr>
              <w:pStyle w:val="Compact"/>
              <w:jc w:val="left"/>
            </w:pPr>
            <w:r>
              <w:t xml:space="preserve">All five stores provisioned and reachable by ingestion/query services</w:t>
            </w:r>
          </w:p>
        </w:tc>
      </w:tr>
      <w:tr>
        <w:tc>
          <w:tcPr/>
          <w:p>
            <w:pPr>
              <w:pStyle w:val="Compact"/>
              <w:jc w:val="left"/>
            </w:pPr>
            <w:r>
              <w:t xml:space="preserve">F-3</w:t>
            </w:r>
          </w:p>
        </w:tc>
        <w:tc>
          <w:tcPr/>
          <w:p>
            <w:pPr>
              <w:pStyle w:val="Compact"/>
              <w:jc w:val="left"/>
            </w:pPr>
            <w:r>
              <w:t xml:space="preserve">Distributed batch ingestion orchestration</w:t>
            </w:r>
          </w:p>
        </w:tc>
        <w:tc>
          <w:tcPr/>
          <w:p>
            <w:pPr>
              <w:pStyle w:val="Compact"/>
              <w:jc w:val="left"/>
            </w:pPr>
            <w:r>
              <w:t xml:space="preserve">Stand up Ray/Spark-class distributed processing with priority queue and autoscaling worker pool for Workflow 6</w:t>
            </w:r>
          </w:p>
        </w:tc>
        <w:tc>
          <w:tcPr/>
          <w:p>
            <w:pPr>
              <w:pStyle w:val="Compact"/>
              <w:jc w:val="left"/>
            </w:pPr>
            <w:r>
              <w:t xml:space="preserve">Monograph Section 18.6</w:t>
            </w:r>
          </w:p>
        </w:tc>
        <w:tc>
          <w:tcPr/>
          <w:p>
            <w:pPr>
              <w:pStyle w:val="Compact"/>
              <w:jc w:val="left"/>
            </w:pPr>
            <w:r>
              <w:t xml:space="preserve">F-2</w:t>
            </w:r>
          </w:p>
        </w:tc>
        <w:tc>
          <w:tcPr/>
          <w:p>
            <w:pPr>
              <w:pStyle w:val="Compact"/>
              <w:jc w:val="left"/>
            </w:pPr>
            <w:r>
              <w:t xml:space="preserve">Medium</w:t>
            </w:r>
          </w:p>
        </w:tc>
        <w:tc>
          <w:tcPr/>
          <w:p>
            <w:pPr>
              <w:pStyle w:val="Compact"/>
              <w:jc w:val="left"/>
            </w:pPr>
            <w:r>
              <w:t xml:space="preserve">L</w:t>
            </w:r>
          </w:p>
        </w:tc>
        <w:tc>
          <w:tcPr/>
          <w:p>
            <w:pPr>
              <w:pStyle w:val="Compact"/>
              <w:jc w:val="left"/>
            </w:pPr>
            <w:r>
              <w:t xml:space="preserve">Manifest-driven batch path processes a test corpus at the documented worker-count range</w:t>
            </w:r>
          </w:p>
        </w:tc>
      </w:tr>
      <w:tr>
        <w:tc>
          <w:tcPr/>
          <w:p>
            <w:pPr>
              <w:pStyle w:val="Compact"/>
              <w:jc w:val="left"/>
            </w:pPr>
            <w:r>
              <w:t xml:space="preserve">F-4</w:t>
            </w:r>
          </w:p>
        </w:tc>
        <w:tc>
          <w:tcPr/>
          <w:p>
            <w:pPr>
              <w:pStyle w:val="Compact"/>
              <w:jc w:val="left"/>
            </w:pPr>
            <w:r>
              <w:t xml:space="preserve">Four-tier operational cache deployment</w:t>
            </w:r>
          </w:p>
        </w:tc>
        <w:tc>
          <w:tcPr/>
          <w:p>
            <w:pPr>
              <w:pStyle w:val="Compact"/>
              <w:jc w:val="left"/>
            </w:pPr>
            <w:r>
              <w:t xml:space="preserve">Deploy the KV cache, semantic cache (Redis+FAISS), episodic memory (Postgres+Redis), and document-context cache (Redis+S3) per Section 14.3</w:t>
            </w:r>
          </w:p>
        </w:tc>
        <w:tc>
          <w:tcPr/>
          <w:p>
            <w:pPr>
              <w:pStyle w:val="Compact"/>
              <w:jc w:val="left"/>
            </w:pPr>
            <w:r>
              <w:t xml:space="preserve">Monograph Section 14.3</w:t>
            </w:r>
          </w:p>
        </w:tc>
        <w:tc>
          <w:tcPr/>
          <w:p>
            <w:pPr>
              <w:pStyle w:val="Compact"/>
              <w:jc w:val="left"/>
            </w:pPr>
            <w:r>
              <w:t xml:space="preserve">F-2</w:t>
            </w:r>
          </w:p>
        </w:tc>
        <w:tc>
          <w:tcPr/>
          <w:p>
            <w:pPr>
              <w:pStyle w:val="Compact"/>
              <w:jc w:val="left"/>
            </w:pPr>
            <w:r>
              <w:t xml:space="preserve">High</w:t>
            </w:r>
          </w:p>
        </w:tc>
        <w:tc>
          <w:tcPr/>
          <w:p>
            <w:pPr>
              <w:pStyle w:val="Compact"/>
              <w:jc w:val="left"/>
            </w:pPr>
            <w:r>
              <w:t xml:space="preserve">M</w:t>
            </w:r>
          </w:p>
        </w:tc>
        <w:tc>
          <w:tcPr/>
          <w:p>
            <w:pPr>
              <w:pStyle w:val="Compact"/>
              <w:jc w:val="left"/>
            </w:pPr>
            <w:r>
              <w:t xml:space="preserve">Each tier’s hit-rate target measurable against real traffic</w:t>
            </w:r>
          </w:p>
        </w:tc>
      </w:tr>
      <w:tr>
        <w:tc>
          <w:tcPr/>
          <w:p>
            <w:pPr>
              <w:pStyle w:val="Compact"/>
              <w:jc w:val="left"/>
            </w:pPr>
            <w:r>
              <w:t xml:space="preserve">F-5</w:t>
            </w:r>
          </w:p>
        </w:tc>
        <w:tc>
          <w:tcPr/>
          <w:p>
            <w:pPr>
              <w:pStyle w:val="Compact"/>
              <w:jc w:val="left"/>
            </w:pPr>
            <w:r>
              <w:t xml:space="preserve">Observability stack deployment</w:t>
            </w:r>
          </w:p>
        </w:tc>
        <w:tc>
          <w:tcPr/>
          <w:p>
            <w:pPr>
              <w:pStyle w:val="Compact"/>
              <w:jc w:val="left"/>
            </w:pPr>
            <w:r>
              <w:t xml:space="preserve">Stand up Prometheus/Grafana-class metrics, ELK-class logging, Jaeger-class tracing; wire instrumentation points named in Section 19.5 plus this document’s new tasks (e.g., C-1’s exact-vs-fallback rate, B-4’s anomaly-flag rate)</w:t>
            </w:r>
          </w:p>
        </w:tc>
        <w:tc>
          <w:tcPr/>
          <w:p>
            <w:pPr>
              <w:pStyle w:val="Compact"/>
              <w:jc w:val="left"/>
            </w:pPr>
            <w:r>
              <w:t xml:space="preserve">Monograph Section 19.5</w:t>
            </w:r>
          </w:p>
        </w:tc>
        <w:tc>
          <w:tcPr/>
          <w:p>
            <w:pPr>
              <w:pStyle w:val="Compact"/>
              <w:jc w:val="left"/>
            </w:pPr>
            <w:r>
              <w:t xml:space="preserve">F-1, F-2</w:t>
            </w:r>
          </w:p>
        </w:tc>
        <w:tc>
          <w:tcPr/>
          <w:p>
            <w:pPr>
              <w:pStyle w:val="Compact"/>
              <w:jc w:val="left"/>
            </w:pPr>
            <w:r>
              <w:t xml:space="preserve">High</w:t>
            </w:r>
          </w:p>
        </w:tc>
        <w:tc>
          <w:tcPr/>
          <w:p>
            <w:pPr>
              <w:pStyle w:val="Compact"/>
              <w:jc w:val="left"/>
            </w:pPr>
            <w:r>
              <w:t xml:space="preserve">M</w:t>
            </w:r>
          </w:p>
        </w:tc>
        <w:tc>
          <w:tcPr/>
          <w:p>
            <w:pPr>
              <w:pStyle w:val="Compact"/>
              <w:jc w:val="left"/>
            </w:pPr>
            <w:r>
              <w:t xml:space="preserve">Dashboards live for every named metric in Section 19.5 and this document’s Workstream B/C tasks</w:t>
            </w:r>
          </w:p>
        </w:tc>
      </w:tr>
      <w:tr>
        <w:tc>
          <w:tcPr/>
          <w:p>
            <w:pPr>
              <w:pStyle w:val="Compact"/>
              <w:jc w:val="left"/>
            </w:pPr>
            <w:r>
              <w:t xml:space="preserve">F-6</w:t>
            </w:r>
          </w:p>
        </w:tc>
        <w:tc>
          <w:tcPr/>
          <w:p>
            <w:pPr>
              <w:pStyle w:val="Compact"/>
              <w:jc w:val="left"/>
            </w:pPr>
            <w:r>
              <w:t xml:space="preserve">Circuit breakers and fallback wiring</w:t>
            </w:r>
          </w:p>
        </w:tc>
        <w:tc>
          <w:tcPr/>
          <w:p>
            <w:pPr>
              <w:pStyle w:val="Compact"/>
              <w:jc w:val="left"/>
            </w:pPr>
            <w:r>
              <w:t xml:space="preserve">Implement the specific fallback behaviors of Workflow 5 (Section 18.5) at the infrastructure layer, ahead of A-6’s failure-injection test</w:t>
            </w:r>
          </w:p>
        </w:tc>
        <w:tc>
          <w:tcPr/>
          <w:p>
            <w:pPr>
              <w:pStyle w:val="Compact"/>
              <w:jc w:val="left"/>
            </w:pPr>
            <w:r>
              <w:t xml:space="preserve">Monograph Section 15.6, 17.5, 18.5</w:t>
            </w:r>
          </w:p>
        </w:tc>
        <w:tc>
          <w:tcPr/>
          <w:p>
            <w:pPr>
              <w:pStyle w:val="Compact"/>
              <w:jc w:val="left"/>
            </w:pPr>
            <w:r>
              <w:t xml:space="preserve">F-2</w:t>
            </w:r>
          </w:p>
        </w:tc>
        <w:tc>
          <w:tcPr/>
          <w:p>
            <w:pPr>
              <w:pStyle w:val="Compact"/>
              <w:jc w:val="left"/>
            </w:pPr>
            <w:r>
              <w:t xml:space="preserve">High</w:t>
            </w:r>
          </w:p>
        </w:tc>
        <w:tc>
          <w:tcPr/>
          <w:p>
            <w:pPr>
              <w:pStyle w:val="Compact"/>
              <w:jc w:val="left"/>
            </w:pPr>
            <w:r>
              <w:t xml:space="preserve">M</w:t>
            </w:r>
          </w:p>
        </w:tc>
        <w:tc>
          <w:tcPr/>
          <w:p>
            <w:pPr>
              <w:pStyle w:val="Compact"/>
              <w:jc w:val="left"/>
            </w:pPr>
            <w:r>
              <w:t xml:space="preserve">A-6’s failure-injection test (TC-NE-4) becomes executable against real infrastructure</w:t>
            </w:r>
          </w:p>
        </w:tc>
      </w:tr>
      <w:tr>
        <w:tc>
          <w:tcPr/>
          <w:p>
            <w:pPr>
              <w:pStyle w:val="Compact"/>
              <w:jc w:val="left"/>
            </w:pPr>
            <w:r>
              <w:t xml:space="preserve">F-7</w:t>
            </w:r>
          </w:p>
        </w:tc>
        <w:tc>
          <w:tcPr/>
          <w:p>
            <w:pPr>
              <w:pStyle w:val="Compact"/>
              <w:jc w:val="left"/>
            </w:pPr>
            <w:r>
              <w:t xml:space="preserve">Tenant namespace and row-level security implementation</w:t>
            </w:r>
          </w:p>
        </w:tc>
        <w:tc>
          <w:tcPr/>
          <w:p>
            <w:pPr>
              <w:pStyle w:val="Compact"/>
              <w:jc w:val="left"/>
            </w:pPr>
            <w:r>
              <w:t xml:space="preserve">Implement row-level security independently at the lexical index, vector index, and relational store, plus Tier-2 semantic-cache tenant scoping</w:t>
            </w:r>
          </w:p>
        </w:tc>
        <w:tc>
          <w:tcPr/>
          <w:p>
            <w:pPr>
              <w:pStyle w:val="Compact"/>
              <w:jc w:val="left"/>
            </w:pPr>
            <w:r>
              <w:t xml:space="preserve">Monograph Section 17.3</w:t>
            </w:r>
          </w:p>
        </w:tc>
        <w:tc>
          <w:tcPr/>
          <w:p>
            <w:pPr>
              <w:pStyle w:val="Compact"/>
              <w:jc w:val="left"/>
            </w:pPr>
            <w:r>
              <w:t xml:space="preserve">F-2</w:t>
            </w:r>
          </w:p>
        </w:tc>
        <w:tc>
          <w:tcPr/>
          <w:p>
            <w:pPr>
              <w:pStyle w:val="Compact"/>
              <w:jc w:val="left"/>
            </w:pPr>
            <w:r>
              <w:t xml:space="preserve">Critical (prerequisite for A-1)</w:t>
            </w:r>
          </w:p>
        </w:tc>
        <w:tc>
          <w:tcPr/>
          <w:p>
            <w:pPr>
              <w:pStyle w:val="Compact"/>
              <w:jc w:val="left"/>
            </w:pPr>
            <w:r>
              <w:t xml:space="preserve">L</w:t>
            </w:r>
          </w:p>
        </w:tc>
        <w:tc>
          <w:tcPr/>
          <w:p>
            <w:pPr>
              <w:pStyle w:val="Compact"/>
              <w:jc w:val="left"/>
            </w:pPr>
            <w:r>
              <w:t xml:space="preserve">A-1’s audit (TC-NE-5) becomes executable</w:t>
            </w:r>
          </w:p>
        </w:tc>
      </w:tr>
    </w:tbl>
    <w:bookmarkEnd w:id="35"/>
    <w:bookmarkStart w:id="36" w:name="X32fd85c51973fa97ba5fca01c0ee14688fa72e3"/>
    <w:p>
      <w:pPr>
        <w:pStyle w:val="Heading2"/>
      </w:pPr>
      <w:r>
        <w:t xml:space="preserve">8. Workstream G — Evaluation and Benchmarking Beyond Workstream A</w:t>
      </w:r>
    </w:p>
    <w:p>
      <w:pPr>
        <w:pStyle w:val="FirstParagraph"/>
      </w:pPr>
      <w:r>
        <w:t xml:space="preserve">Executes evaluation activities this body of work has specified but that extend beyond the seven NOT YET EXECUTED test cases already covered in Workstream A — specifically the Comparative Landscape Report’s recommended head-to-head benchmarks against named external systems.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Description</w:t>
            </w:r>
          </w:p>
        </w:tc>
        <w:tc>
          <w:tcPr/>
          <w:p>
            <w:pPr>
              <w:pStyle w:val="Compact"/>
              <w:jc w:val="left"/>
            </w:pPr>
            <w:r>
              <w:t xml:space="preserve">Integration point</w:t>
            </w:r>
          </w:p>
        </w:tc>
        <w:tc>
          <w:tcPr/>
          <w:p>
            <w:pPr>
              <w:pStyle w:val="Compact"/>
              <w:jc w:val="left"/>
            </w:pPr>
            <w:r>
              <w:t xml:space="preserve">Depends on</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Acceptance criterion</w:t>
            </w:r>
          </w:p>
        </w:tc>
      </w:tr>
      <w:tr>
        <w:tc>
          <w:tcPr/>
          <w:p>
            <w:pPr>
              <w:pStyle w:val="Compact"/>
              <w:jc w:val="left"/>
            </w:pPr>
            <w:r>
              <w:t xml:space="preserve">G-1</w:t>
            </w:r>
          </w:p>
        </w:tc>
        <w:tc>
          <w:tcPr/>
          <w:p>
            <w:pPr>
              <w:pStyle w:val="Compact"/>
              <w:jc w:val="left"/>
            </w:pPr>
            <w:r>
              <w:t xml:space="preserve">OmniDocBench reading-order benchmark</w:t>
            </w:r>
          </w:p>
        </w:tc>
        <w:tc>
          <w:tcPr/>
          <w:p>
            <w:pPr>
              <w:pStyle w:val="Compact"/>
              <w:jc w:val="left"/>
            </w:pPr>
            <w:r>
              <w:t xml:space="preserve">Run AEGIS’s Section 6 reading-order recovery against the OmniDocBench v1.5 multi-column subset, reporting Reading-Order-Edit-distance alongside the monograph’s RHM metric, per Comparative Landscape Report Section 4.6</w:t>
            </w:r>
          </w:p>
        </w:tc>
        <w:tc>
          <w:tcPr/>
          <w:p>
            <w:pPr>
              <w:pStyle w:val="Compact"/>
              <w:jc w:val="left"/>
            </w:pPr>
            <w:r>
              <w:t xml:space="preserve">Monograph Section 6, 21.4</w:t>
            </w:r>
          </w:p>
        </w:tc>
        <w:tc>
          <w:tcPr/>
          <w:p>
            <w:pPr>
              <w:pStyle w:val="Compact"/>
              <w:jc w:val="left"/>
            </w:pPr>
            <w:r>
              <w:t xml:space="preserve">B-1 (OPW metric strengthens this comparison)</w:t>
            </w:r>
          </w:p>
        </w:tc>
        <w:tc>
          <w:tcPr/>
          <w:p>
            <w:pPr>
              <w:pStyle w:val="Compact"/>
              <w:jc w:val="left"/>
            </w:pPr>
            <w:r>
              <w:t xml:space="preserve">High</w:t>
            </w:r>
          </w:p>
        </w:tc>
        <w:tc>
          <w:tcPr/>
          <w:p>
            <w:pPr>
              <w:pStyle w:val="Compact"/>
              <w:jc w:val="left"/>
            </w:pPr>
            <w:r>
              <w:t xml:space="preserve">M</w:t>
            </w:r>
          </w:p>
        </w:tc>
        <w:tc>
          <w:tcPr/>
          <w:p>
            <w:pPr>
              <w:pStyle w:val="Compact"/>
              <w:jc w:val="left"/>
            </w:pPr>
            <w:r>
              <w:t xml:space="preserve">Reading-Order-Edit-distance reported alongside RHM; compared against the 0.13-0.18 range reported for leading pipelines</w:t>
            </w:r>
          </w:p>
        </w:tc>
      </w:tr>
      <w:tr>
        <w:tc>
          <w:tcPr/>
          <w:p>
            <w:pPr>
              <w:pStyle w:val="Compact"/>
              <w:jc w:val="left"/>
            </w:pPr>
            <w:r>
              <w:t xml:space="preserve">G-2</w:t>
            </w:r>
          </w:p>
        </w:tc>
        <w:tc>
          <w:tcPr/>
          <w:p>
            <w:pPr>
              <w:pStyle w:val="Compact"/>
              <w:jc w:val="left"/>
            </w:pPr>
            <w:r>
              <w:t xml:space="preserve">Databricks-Mosaic-comparable production load test</w:t>
            </w:r>
          </w:p>
        </w:tc>
        <w:tc>
          <w:tcPr/>
          <w:p>
            <w:pPr>
              <w:pStyle w:val="Compact"/>
              <w:jc w:val="left"/>
            </w:pPr>
            <w:r>
              <w:t xml:space="preserve">Replicate Databricks Mosaic’s evaluation protocol (mean context length reduction, p50/p99 latency reduction, at comparable request volume) against C-1’s submodular packer or the existing Section 9 knapsack packer, per Comparative Landscape Report Section 11.3</w:t>
            </w:r>
          </w:p>
        </w:tc>
        <w:tc>
          <w:tcPr/>
          <w:p>
            <w:pPr>
              <w:pStyle w:val="Compact"/>
              <w:jc w:val="left"/>
            </w:pPr>
            <w:r>
              <w:t xml:space="preserve">Monograph Section 9, 16</w:t>
            </w:r>
          </w:p>
        </w:tc>
        <w:tc>
          <w:tcPr/>
          <w:p>
            <w:pPr>
              <w:pStyle w:val="Compact"/>
              <w:jc w:val="left"/>
            </w:pPr>
            <w:r>
              <w:t xml:space="preserve">C-1 (or baseline Section 9 packer), F-2</w:t>
            </w:r>
          </w:p>
        </w:tc>
        <w:tc>
          <w:tcPr/>
          <w:p>
            <w:pPr>
              <w:pStyle w:val="Compact"/>
              <w:jc w:val="left"/>
            </w:pPr>
            <w:r>
              <w:t xml:space="preserve">High</w:t>
            </w:r>
          </w:p>
        </w:tc>
        <w:tc>
          <w:tcPr/>
          <w:p>
            <w:pPr>
              <w:pStyle w:val="Compact"/>
              <w:jc w:val="left"/>
            </w:pPr>
            <w:r>
              <w:t xml:space="preserve">L</w:t>
            </w:r>
          </w:p>
        </w:tc>
        <w:tc>
          <w:tcPr/>
          <w:p>
            <w:pPr>
              <w:pStyle w:val="Compact"/>
              <w:jc w:val="left"/>
            </w:pPr>
            <w:r>
              <w:t xml:space="preserve">Token/latency reduction figures reported against Databricks’ 51%/43%/37% reference figures</w:t>
            </w:r>
          </w:p>
        </w:tc>
      </w:tr>
      <w:tr>
        <w:tc>
          <w:tcPr/>
          <w:p>
            <w:pPr>
              <w:pStyle w:val="Compact"/>
              <w:jc w:val="left"/>
            </w:pPr>
            <w:r>
              <w:t xml:space="preserve">G-3</w:t>
            </w:r>
          </w:p>
        </w:tc>
        <w:tc>
          <w:tcPr/>
          <w:p>
            <w:pPr>
              <w:pStyle w:val="Compact"/>
              <w:jc w:val="left"/>
            </w:pPr>
            <w:r>
              <w:t xml:space="preserve">ViDoRe-benchmarked multimodal encoder evaluation</w:t>
            </w:r>
          </w:p>
        </w:tc>
        <w:tc>
          <w:tcPr/>
          <w:p>
            <w:pPr>
              <w:pStyle w:val="Compact"/>
              <w:jc w:val="left"/>
            </w:pPr>
            <w:r>
              <w:t xml:space="preserve">Once A-7/A-8 (trained encoders) are complete, evaluate against the ViDoRe benchmark used by the ColPali/ColQwen family for direct comparability, per Comparative Landscape Report Section 8.2</w:t>
            </w:r>
          </w:p>
        </w:tc>
        <w:tc>
          <w:tcPr/>
          <w:p>
            <w:pPr>
              <w:pStyle w:val="Compact"/>
              <w:jc w:val="left"/>
            </w:pPr>
            <w:r>
              <w:t xml:space="preserve">Monograph Section 5.6, 12.3</w:t>
            </w:r>
          </w:p>
        </w:tc>
        <w:tc>
          <w:tcPr/>
          <w:p>
            <w:pPr>
              <w:pStyle w:val="Compact"/>
              <w:jc w:val="left"/>
            </w:pPr>
            <w:r>
              <w:t xml:space="preserve">A-7, A-8</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ViDoRe nDCG@5 reported, compared against ColPali’s reported 81.3 baseline</w:t>
            </w:r>
          </w:p>
        </w:tc>
      </w:tr>
      <w:tr>
        <w:tc>
          <w:tcPr/>
          <w:p>
            <w:pPr>
              <w:pStyle w:val="Compact"/>
              <w:jc w:val="left"/>
            </w:pPr>
            <w:r>
              <w:t xml:space="preserve">G-4</w:t>
            </w:r>
          </w:p>
        </w:tc>
        <w:tc>
          <w:tcPr/>
          <w:p>
            <w:pPr>
              <w:pStyle w:val="Compact"/>
              <w:jc w:val="left"/>
            </w:pPr>
            <w:r>
              <w:t xml:space="preserve">Hallucination-rate measurement against Vectara leaderboard methodology</w:t>
            </w:r>
          </w:p>
        </w:tc>
        <w:tc>
          <w:tcPr/>
          <w:p>
            <w:pPr>
              <w:pStyle w:val="Compact"/>
              <w:jc w:val="left"/>
            </w:pPr>
            <w:r>
              <w:t xml:space="preserve">Measure AEGIS’s end-to-end hallucination rate using a methodology comparable to the Vectara hallucination leaderboard, per Comparative Landscape Report Section 11.4</w:t>
            </w:r>
          </w:p>
        </w:tc>
        <w:tc>
          <w:tcPr/>
          <w:p>
            <w:pPr>
              <w:pStyle w:val="Compact"/>
              <w:jc w:val="left"/>
            </w:pPr>
            <w:r>
              <w:t xml:space="preserve">Monograph Section 19</w:t>
            </w:r>
          </w:p>
        </w:tc>
        <w:tc>
          <w:tcPr/>
          <w:p>
            <w:pPr>
              <w:pStyle w:val="Compact"/>
              <w:jc w:val="left"/>
            </w:pPr>
            <w:r>
              <w:t xml:space="preserve">A-5</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Hallucination rate reported against the sub-5% target and the Vectara leaderboard’s single-digit-to-low-double-digit reference range</w:t>
            </w:r>
          </w:p>
        </w:tc>
      </w:tr>
    </w:tbl>
    <w:bookmarkEnd w:id="36"/>
    <w:bookmarkStart w:id="37" w:name="Xd89563ee6849bcd35d21cc136089599d8a1c57f"/>
    <w:p>
      <w:pPr>
        <w:pStyle w:val="Heading2"/>
      </w:pPr>
      <w:r>
        <w:t xml:space="preserve">9. Workstream H — Integration Strategy and Positioning</w:t>
      </w:r>
    </w:p>
    <w:p>
      <w:pPr>
        <w:pStyle w:val="FirstParagraph"/>
      </w:pPr>
      <w:r>
        <w:t xml:space="preserve">Operationalizes the Comparative Landscape Report’s Section 13.4 recommendation: AEGIS’s most defensible near-term go-to-market path is as a drop-in structural-processing layer compatible with existing orchestration frameworks, not a full orchestration-framework replacement.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Description</w:t>
            </w:r>
          </w:p>
        </w:tc>
        <w:tc>
          <w:tcPr/>
          <w:p>
            <w:pPr>
              <w:pStyle w:val="Compact"/>
              <w:jc w:val="left"/>
            </w:pPr>
            <w:r>
              <w:t xml:space="preserve">Integration point</w:t>
            </w:r>
          </w:p>
        </w:tc>
        <w:tc>
          <w:tcPr/>
          <w:p>
            <w:pPr>
              <w:pStyle w:val="Compact"/>
              <w:jc w:val="left"/>
            </w:pPr>
            <w:r>
              <w:t xml:space="preserve">Depends on</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Acceptance criterion</w:t>
            </w:r>
          </w:p>
        </w:tc>
      </w:tr>
      <w:tr>
        <w:tc>
          <w:tcPr/>
          <w:p>
            <w:pPr>
              <w:pStyle w:val="Compact"/>
              <w:jc w:val="left"/>
            </w:pPr>
            <w:r>
              <w:t xml:space="preserve">H-1</w:t>
            </w:r>
          </w:p>
        </w:tc>
        <w:tc>
          <w:tcPr/>
          <w:p>
            <w:pPr>
              <w:pStyle w:val="Compact"/>
              <w:jc w:val="left"/>
            </w:pPr>
            <w:r>
              <w:t xml:space="preserve">LangChain connector package</w:t>
            </w:r>
          </w:p>
        </w:tc>
        <w:tc>
          <w:tcPr/>
          <w:p>
            <w:pPr>
              <w:pStyle w:val="Compact"/>
              <w:jc w:val="left"/>
            </w:pPr>
            <w:r>
              <w:t xml:space="preserve">Package AEGIS’s ingestion-through-context-packing pipeline (monograph Sections 5-9) as a LangChain-compatible document loader and retriever, following the same integration pattern Docling and Unstructured already use</w:t>
            </w:r>
          </w:p>
        </w:tc>
        <w:tc>
          <w:tcPr/>
          <w:p>
            <w:pPr>
              <w:pStyle w:val="Compact"/>
              <w:jc w:val="left"/>
            </w:pPr>
            <w:r>
              <w:t xml:space="preserve">New package, external-facing</w:t>
            </w:r>
          </w:p>
        </w:tc>
        <w:tc>
          <w:tcPr/>
          <w:p>
            <w:pPr>
              <w:pStyle w:val="Compact"/>
              <w:jc w:val="left"/>
            </w:pPr>
            <w:r>
              <w:t xml:space="preserve">F-1, F-2 (needs a stable API surface)</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Connector passes LangChain’s standard document-loader/retriever interface conformance tests</w:t>
            </w:r>
          </w:p>
        </w:tc>
      </w:tr>
      <w:tr>
        <w:tc>
          <w:tcPr/>
          <w:p>
            <w:pPr>
              <w:pStyle w:val="Compact"/>
              <w:jc w:val="left"/>
            </w:pPr>
            <w:r>
              <w:t xml:space="preserve">H-2</w:t>
            </w:r>
          </w:p>
        </w:tc>
        <w:tc>
          <w:tcPr/>
          <w:p>
            <w:pPr>
              <w:pStyle w:val="Compact"/>
              <w:jc w:val="left"/>
            </w:pPr>
            <w:r>
              <w:t xml:space="preserve">LlamaIndex connector package</w:t>
            </w:r>
          </w:p>
        </w:tc>
        <w:tc>
          <w:tcPr/>
          <w:p>
            <w:pPr>
              <w:pStyle w:val="Compact"/>
              <w:jc w:val="left"/>
            </w:pPr>
            <w:r>
              <w:t xml:space="preserve">Equivalent connector for LlamaIndex, given that ecosystem’s particular strength in document-centric RAG per Comparative Landscape Report Section 10.1</w:t>
            </w:r>
          </w:p>
        </w:tc>
        <w:tc>
          <w:tcPr/>
          <w:p>
            <w:pPr>
              <w:pStyle w:val="Compact"/>
              <w:jc w:val="left"/>
            </w:pPr>
            <w:r>
              <w:t xml:space="preserve">New package, external-facing</w:t>
            </w:r>
          </w:p>
        </w:tc>
        <w:tc>
          <w:tcPr/>
          <w:p>
            <w:pPr>
              <w:pStyle w:val="Compact"/>
              <w:jc w:val="left"/>
            </w:pPr>
            <w:r>
              <w:t xml:space="preserve">H-1 (shares API surface work)</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Connector passes LlamaIndex’s standard interface conformance tests</w:t>
            </w:r>
          </w:p>
        </w:tc>
      </w:tr>
      <w:tr>
        <w:tc>
          <w:tcPr/>
          <w:p>
            <w:pPr>
              <w:pStyle w:val="Compact"/>
              <w:jc w:val="left"/>
            </w:pPr>
            <w:r>
              <w:t xml:space="preserve">H-3</w:t>
            </w:r>
          </w:p>
        </w:tc>
        <w:tc>
          <w:tcPr/>
          <w:p>
            <w:pPr>
              <w:pStyle w:val="Compact"/>
              <w:jc w:val="left"/>
            </w:pPr>
            <w:r>
              <w:t xml:space="preserve">Chunk-level retrieval-debugging visualization</w:t>
            </w:r>
          </w:p>
        </w:tc>
        <w:tc>
          <w:tcPr/>
          <w:p>
            <w:pPr>
              <w:pStyle w:val="Compact"/>
              <w:jc w:val="left"/>
            </w:pPr>
            <w:r>
              <w:t xml:space="preserve">Add a RAGFlow-style chunk-level visualization to AEGIS’s observability plan, per Comparative Landscape Report Section 10.2’s specific recommendation</w:t>
            </w:r>
          </w:p>
        </w:tc>
        <w:tc>
          <w:tcPr/>
          <w:p>
            <w:pPr>
              <w:pStyle w:val="Compact"/>
              <w:jc w:val="left"/>
            </w:pPr>
            <w:r>
              <w:t xml:space="preserve">Monograph Section 19.5</w:t>
            </w:r>
          </w:p>
        </w:tc>
        <w:tc>
          <w:tcPr/>
          <w:p>
            <w:pPr>
              <w:pStyle w:val="Compact"/>
              <w:jc w:val="left"/>
            </w:pPr>
            <w:r>
              <w:t xml:space="preserve">F-5</w:t>
            </w:r>
          </w:p>
        </w:tc>
        <w:tc>
          <w:tcPr/>
          <w:p>
            <w:pPr>
              <w:pStyle w:val="Compact"/>
              <w:jc w:val="left"/>
            </w:pPr>
            <w:r>
              <w:t xml:space="preserve">Low-Medium</w:t>
            </w:r>
          </w:p>
        </w:tc>
        <w:tc>
          <w:tcPr/>
          <w:p>
            <w:pPr>
              <w:pStyle w:val="Compact"/>
              <w:jc w:val="left"/>
            </w:pPr>
            <w:r>
              <w:t xml:space="preserve">M</w:t>
            </w:r>
          </w:p>
        </w:tc>
        <w:tc>
          <w:tcPr/>
          <w:p>
            <w:pPr>
              <w:pStyle w:val="Compact"/>
              <w:jc w:val="left"/>
            </w:pPr>
            <w:r>
              <w:t xml:space="preserve">A developer can visually inspect which chunks were retrieved, scored, and packed for a given query</w:t>
            </w:r>
          </w:p>
        </w:tc>
      </w:tr>
      <w:tr>
        <w:tc>
          <w:tcPr/>
          <w:p>
            <w:pPr>
              <w:pStyle w:val="Compact"/>
              <w:jc w:val="left"/>
            </w:pPr>
            <w:r>
              <w:t xml:space="preserve">H-4</w:t>
            </w:r>
          </w:p>
        </w:tc>
        <w:tc>
          <w:tcPr/>
          <w:p>
            <w:pPr>
              <w:pStyle w:val="Compact"/>
              <w:jc w:val="left"/>
            </w:pPr>
            <w:r>
              <w:t xml:space="preserve">Anthropic-style contextual-prefix enrichment</w:t>
            </w:r>
          </w:p>
        </w:tc>
        <w:tc>
          <w:tcPr/>
          <w:p>
            <w:pPr>
              <w:pStyle w:val="Compact"/>
              <w:jc w:val="left"/>
            </w:pPr>
            <w:r>
              <w:t xml:space="preserve">Prepend a short LLM-generated situating context to each chunk before embedding, per Comparative Landscape Report Section 6.6’s low-risk recommendation, upstream of Section 8.2’s value scoring</w:t>
            </w:r>
          </w:p>
        </w:tc>
        <w:tc>
          <w:tcPr/>
          <w:p>
            <w:pPr>
              <w:pStyle w:val="Compact"/>
              <w:jc w:val="left"/>
            </w:pPr>
            <w:r>
              <w:t xml:space="preserve">Monograph Section 8.2, ingestion pipeline</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Retrieval-failure rate measurably reduced on a held-out test set, following Anthropic’s own reported 49%/67% methodology</w:t>
            </w:r>
          </w:p>
        </w:tc>
      </w:tr>
      <w:tr>
        <w:tc>
          <w:tcPr/>
          <w:p>
            <w:pPr>
              <w:pStyle w:val="Compact"/>
              <w:jc w:val="left"/>
            </w:pPr>
            <w:r>
              <w:t xml:space="preserve">H-5</w:t>
            </w:r>
          </w:p>
        </w:tc>
        <w:tc>
          <w:tcPr/>
          <w:p>
            <w:pPr>
              <w:pStyle w:val="Compact"/>
              <w:jc w:val="left"/>
            </w:pPr>
            <w:r>
              <w:t xml:space="preserve">Query-adaptive token-budget sizing</w:t>
            </w:r>
          </w:p>
        </w:tc>
        <w:tc>
          <w:tcPr/>
          <w:p>
            <w:pPr>
              <w:pStyle w:val="Compact"/>
              <w:jc w:val="left"/>
            </w:pPr>
            <w:r>
              <w:t xml:space="preserve">Add a budget-sizing layer analogous to Databricks’ adaptive shaping (tight budget for factoid queries, larger for multi-hop/summarization queries), sitting alongside Section 13’s bandit router</w:t>
            </w:r>
          </w:p>
        </w:tc>
        <w:tc>
          <w:tcPr/>
          <w:p>
            <w:pPr>
              <w:pStyle w:val="Compact"/>
              <w:jc w:val="left"/>
            </w:pPr>
            <w:r>
              <w:t xml:space="preserve">Monograph Section 9.1, 13</w:t>
            </w:r>
          </w:p>
        </w:tc>
        <w:tc>
          <w:tcPr/>
          <w:p>
            <w:pPr>
              <w:pStyle w:val="Compact"/>
              <w:jc w:val="left"/>
            </w:pPr>
            <w:r>
              <w:t xml:space="preserve">C-1 or baseline Section 9 packer</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Budget size varies measurably by query type; token cost reduced at matched accuracy relative to fixed-budget baseline</w:t>
            </w:r>
          </w:p>
        </w:tc>
      </w:tr>
      <w:tr>
        <w:tc>
          <w:tcPr/>
          <w:p>
            <w:pPr>
              <w:pStyle w:val="Compact"/>
              <w:jc w:val="left"/>
            </w:pPr>
            <w:r>
              <w:t xml:space="preserve">H-6</w:t>
            </w:r>
          </w:p>
        </w:tc>
        <w:tc>
          <w:tcPr/>
          <w:p>
            <w:pPr>
              <w:pStyle w:val="Compact"/>
              <w:jc w:val="left"/>
            </w:pPr>
            <w:r>
              <w:t xml:space="preserve">Eighth retrieval signal: whole-page visual embedding</w:t>
            </w:r>
          </w:p>
        </w:tc>
        <w:tc>
          <w:tcPr/>
          <w:p>
            <w:pPr>
              <w:pStyle w:val="Compact"/>
              <w:jc w:val="left"/>
            </w:pPr>
            <w:r>
              <w:t xml:space="preserve">Add a ColPali-style whole-page visual signal as an eighth method into Section 15’s retrieval fusion, per Comparative Landscape Report Section 8.3, rather than replacing the element-decomposition pipeline</w:t>
            </w:r>
          </w:p>
        </w:tc>
        <w:tc>
          <w:tcPr/>
          <w:p>
            <w:pPr>
              <w:pStyle w:val="Compact"/>
              <w:jc w:val="left"/>
            </w:pPr>
            <w:r>
              <w:t xml:space="preserve">Monograph Section 15.1</w:t>
            </w:r>
          </w:p>
        </w:tc>
        <w:tc>
          <w:tcPr/>
          <w:p>
            <w:pPr>
              <w:pStyle w:val="Compact"/>
              <w:jc w:val="left"/>
            </w:pPr>
            <w:r>
              <w:t xml:space="preserve">A-8 (multimodal encoder work)</w:t>
            </w:r>
          </w:p>
        </w:tc>
        <w:tc>
          <w:tcPr/>
          <w:p>
            <w:pPr>
              <w:pStyle w:val="Compact"/>
              <w:jc w:val="left"/>
            </w:pPr>
            <w:r>
              <w:t xml:space="preserve">Low-Medium</w:t>
            </w:r>
          </w:p>
        </w:tc>
        <w:tc>
          <w:tcPr/>
          <w:p>
            <w:pPr>
              <w:pStyle w:val="Compact"/>
              <w:jc w:val="left"/>
            </w:pPr>
            <w:r>
              <w:t xml:space="preserve">L</w:t>
            </w:r>
          </w:p>
        </w:tc>
        <w:tc>
          <w:tcPr/>
          <w:p>
            <w:pPr>
              <w:pStyle w:val="Compact"/>
              <w:jc w:val="left"/>
            </w:pPr>
            <w:r>
              <w:t xml:space="preserve">Retrieval quality on visually-dominant queries improves without regressing structural-query performance</w:t>
            </w:r>
          </w:p>
        </w:tc>
      </w:tr>
    </w:tbl>
    <w:bookmarkEnd w:id="37"/>
    <w:bookmarkStart w:id="42" w:name="cross-cutting-engineering-practices"/>
    <w:p>
      <w:pPr>
        <w:pStyle w:val="Heading2"/>
      </w:pPr>
      <w:r>
        <w:t xml:space="preserve">10. Cross-Cutting Engineering Practices</w:t>
      </w:r>
    </w:p>
    <w:bookmarkStart w:id="38" w:name="test-suite-extension-discipline"/>
    <w:p>
      <w:pPr>
        <w:pStyle w:val="Heading3"/>
      </w:pPr>
      <w:r>
        <w:t xml:space="preserve">10.1 Test-Suite Extension Discipline</w:t>
      </w:r>
    </w:p>
    <w:p>
      <w:pPr>
        <w:pStyle w:val="FirstParagraph"/>
      </w:pPr>
      <w:r>
        <w:t xml:space="preserve">Every task in Workstreams B-D that introduces new logic must extend, not fork, the existing test-suite structure: the Implementation and Credibility Test Cases document’s seven-field template (claim under test, preconditions, input, procedure, expected result, actual result, status) applies to every new TC-E-* and TC-F-* case, and every passing case joins the same CI regression gate the monograph’s original 18-case suite already established (per that document’s Section 8.1 stated intent, reaffirmed in the Implementation Specification’s Section 5.4).</w:t>
      </w:r>
    </w:p>
    <w:bookmarkEnd w:id="38"/>
    <w:bookmarkStart w:id="39" w:name="feature-flag-default-off-discipline"/>
    <w:p>
      <w:pPr>
        <w:pStyle w:val="Heading3"/>
      </w:pPr>
      <w:r>
        <w:t xml:space="preserve">10.2 Feature-Flag-Default-Off Discipline</w:t>
      </w:r>
    </w:p>
    <w:p>
      <w:pPr>
        <w:pStyle w:val="FirstParagraph"/>
      </w:pPr>
      <w:r>
        <w:t xml:space="preserve">Every Workstream B-D feature ships behind a configuration flag defaulting to off, per the Implementation Specification’s Section 5.5 recommendation, until it independently reaches the Established evidentiary tier — meaning a task’s completion (the code merging) is distinct from its promotion (the flag defaulting to on), and this document’s task list tracks the former; promotion decisions should be made against each task’s acceptance-criterion test results, not against code-completion alone.</w:t>
      </w:r>
    </w:p>
    <w:bookmarkEnd w:id="39"/>
    <w:bookmarkStart w:id="40" w:name="documentation-debt"/>
    <w:p>
      <w:pPr>
        <w:pStyle w:val="Heading3"/>
      </w:pPr>
      <w:r>
        <w:t xml:space="preserve">10.3 Documentation Debt</w:t>
      </w:r>
    </w:p>
    <w:p>
      <w:pPr>
        <w:pStyle w:val="FirstParagraph"/>
      </w:pPr>
      <w:r>
        <w:t xml:space="preserve">Every task that changes a monograph-documented component’s behavior (most directly, C-2’s retirement of the separate MMR stage) should be accompanied by a corresponding revision to the monograph itself, keeping the architectural documentation and the shipped system from drifting apart — consistent with the general caution the Feasibility and Validation Report’s Section 6.4 already raised about the monograph and this body of work’s other documents needing to stay synchronized rather than independently maintained.</w:t>
      </w:r>
    </w:p>
    <w:bookmarkEnd w:id="40"/>
    <w:bookmarkStart w:id="41" w:name="risk-register-maintenance"/>
    <w:p>
      <w:pPr>
        <w:pStyle w:val="Heading3"/>
      </w:pPr>
      <w:r>
        <w:t xml:space="preserve">10.4 Risk-Register Maintenance</w:t>
      </w:r>
    </w:p>
    <w:p>
      <w:pPr>
        <w:pStyle w:val="FirstParagraph"/>
      </w:pPr>
      <w:r>
        <w:t xml:space="preserve">The Feasibility and Validation Report’s Section 3 risk register (R1-R9) should be updated as each corresponding Workstream A task closes its risk, and Workstream B-D tasks that introduce genuinely new risk (for instance, D-2’s trained value function carrying the same drift-monitoring burden Feasibility Report risk R4/R5 already established for AEGIS’s other trained components) should add new entries to that register rather than being tracked only in this document.</w:t>
      </w:r>
    </w:p>
    <w:bookmarkEnd w:id="41"/>
    <w:bookmarkEnd w:id="42"/>
    <w:bookmarkStart w:id="48" w:name="phased-sequencing-plan"/>
    <w:p>
      <w:pPr>
        <w:pStyle w:val="Heading2"/>
      </w:pPr>
      <w:r>
        <w:t xml:space="preserve">11. Phased Sequencing Plan</w:t>
      </w:r>
    </w:p>
    <w:bookmarkStart w:id="43" w:name="phase-1-foundation-parallel-start"/>
    <w:p>
      <w:pPr>
        <w:pStyle w:val="Heading3"/>
      </w:pPr>
      <w:r>
        <w:t xml:space="preserve">11.1 Phase 1 — Foundation (Parallel Start)</w:t>
      </w:r>
    </w:p>
    <w:p>
      <w:pPr>
        <w:pStyle w:val="FirstParagraph"/>
      </w:pPr>
      <w:r>
        <w:t xml:space="preserve">Tasks with no dependencies, prioritized for immediate parallel start:</w:t>
      </w:r>
      <w:r>
        <w:t xml:space="preserve"> </w:t>
      </w:r>
      <w:r>
        <w:rPr>
          <w:bCs/>
          <w:b/>
        </w:rPr>
        <w:t xml:space="preserve">A-1</w:t>
      </w:r>
      <w:r>
        <w:t xml:space="preserve"> </w:t>
      </w:r>
      <w:r>
        <w:t xml:space="preserve">(tenant-isolation audit, Critical — begins the moment F-7’s namespace implementation is available, or against the current implementation if row-level security is already partially present),</w:t>
      </w:r>
      <w:r>
        <w:t xml:space="preserve"> </w:t>
      </w:r>
      <w:r>
        <w:rPr>
          <w:bCs/>
          <w:b/>
        </w:rPr>
        <w:t xml:space="preserve">A-2/A-3/A-4</w:t>
      </w:r>
      <w:r>
        <w:t xml:space="preserve"> </w:t>
      </w:r>
      <w:r>
        <w:t xml:space="preserve">(load-testing sub-tests),</w:t>
      </w:r>
      <w:r>
        <w:t xml:space="preserve"> </w:t>
      </w:r>
      <w:r>
        <w:rPr>
          <w:bCs/>
          <w:b/>
        </w:rPr>
        <w:t xml:space="preserve">A-5</w:t>
      </w:r>
      <w:r>
        <w:t xml:space="preserve"> </w:t>
      </w:r>
      <w:r>
        <w:t xml:space="preserve">(benchmark execution),</w:t>
      </w:r>
      <w:r>
        <w:t xml:space="preserve"> </w:t>
      </w:r>
      <w:r>
        <w:rPr>
          <w:bCs/>
          <w:b/>
        </w:rPr>
        <w:t xml:space="preserve">A-6</w:t>
      </w:r>
      <w:r>
        <w:t xml:space="preserve"> </w:t>
      </w:r>
      <w:r>
        <w:t xml:space="preserve">(failure injection),</w:t>
      </w:r>
      <w:r>
        <w:t xml:space="preserve"> </w:t>
      </w:r>
      <w:r>
        <w:rPr>
          <w:bCs/>
          <w:b/>
        </w:rPr>
        <w:t xml:space="preserve">B-1</w:t>
      </w:r>
      <w:r>
        <w:t xml:space="preserve"> </w:t>
      </w:r>
      <w:r>
        <w:t xml:space="preserve">(OPW metric),</w:t>
      </w:r>
      <w:r>
        <w:t xml:space="preserve"> </w:t>
      </w:r>
      <w:r>
        <w:rPr>
          <w:bCs/>
          <w:b/>
        </w:rPr>
        <w:t xml:space="preserve">B-3</w:t>
      </w:r>
      <w:r>
        <w:t xml:space="preserve"> </w:t>
      </w:r>
      <w:r>
        <w:t xml:space="preserve">(persistent-homology Topology Engine),</w:t>
      </w:r>
      <w:r>
        <w:t xml:space="preserve"> </w:t>
      </w:r>
      <w:r>
        <w:rPr>
          <w:bCs/>
          <w:b/>
        </w:rPr>
        <w:t xml:space="preserve">F-1/F-2</w:t>
      </w:r>
      <w:r>
        <w:t xml:space="preserve"> </w:t>
      </w:r>
      <w:r>
        <w:t xml:space="preserve">(gateway and persistence layer), and all seven</w:t>
      </w:r>
      <w:r>
        <w:t xml:space="preserve"> </w:t>
      </w:r>
      <w:r>
        <w:rPr>
          <w:bCs/>
          <w:b/>
        </w:rPr>
        <w:t xml:space="preserve">Workstream E</w:t>
      </w:r>
      <w:r>
        <w:t xml:space="preserve"> </w:t>
      </w:r>
      <w:r>
        <w:t xml:space="preserve">feasibility studies. This phase requires no task in this document to have completed first, and is sized to occupy a team’s full parallel capacity from day one.</w:t>
      </w:r>
    </w:p>
    <w:bookmarkEnd w:id="43"/>
    <w:bookmarkStart w:id="44" w:name="phase-2-consolidation"/>
    <w:p>
      <w:pPr>
        <w:pStyle w:val="Heading3"/>
      </w:pPr>
      <w:r>
        <w:t xml:space="preserve">11.2 Phase 2 — Consolidation</w:t>
      </w:r>
    </w:p>
    <w:p>
      <w:pPr>
        <w:pStyle w:val="FirstParagraph"/>
      </w:pPr>
      <w:r>
        <w:t xml:space="preserve">Tasks gated behind specific Phase 1 completions:</w:t>
      </w:r>
      <w:r>
        <w:t xml:space="preserve"> </w:t>
      </w:r>
      <w:r>
        <w:rPr>
          <w:bCs/>
          <w:b/>
        </w:rPr>
        <w:t xml:space="preserve">A-7/A-8</w:t>
      </w:r>
      <w:r>
        <w:t xml:space="preserve"> </w:t>
      </w:r>
      <w:r>
        <w:t xml:space="preserve">(trained encoders, the largest-effort Phase-1-adjacent items, run in parallel with everything else in Phase 2 rather than blocking it),</w:t>
      </w:r>
      <w:r>
        <w:t xml:space="preserve"> </w:t>
      </w:r>
      <w:r>
        <w:rPr>
          <w:bCs/>
          <w:b/>
        </w:rPr>
        <w:t xml:space="preserve">B-2/B-4/B-5</w:t>
      </w:r>
      <w:r>
        <w:t xml:space="preserve"> </w:t>
      </w:r>
      <w:r>
        <w:t xml:space="preserve">(Topology Engine integration and validation, behind B-3),</w:t>
      </w:r>
      <w:r>
        <w:t xml:space="preserve"> </w:t>
      </w:r>
      <w:r>
        <w:rPr>
          <w:bCs/>
          <w:b/>
        </w:rPr>
        <w:t xml:space="preserve">C-1</w:t>
      </w:r>
      <w:r>
        <w:t xml:space="preserve"> </w:t>
      </w:r>
      <w:r>
        <w:t xml:space="preserve">(submodular packer, behind nothing but recommended after B-1/B-3 establish the team’s working rhythm with this document’s task structure),</w:t>
      </w:r>
      <w:r>
        <w:t xml:space="preserve"> </w:t>
      </w:r>
      <w:r>
        <w:rPr>
          <w:bCs/>
          <w:b/>
        </w:rPr>
        <w:t xml:space="preserve">C-3/C-6</w:t>
      </w:r>
      <w:r>
        <w:t xml:space="preserve"> </w:t>
      </w:r>
      <w:r>
        <w:t xml:space="preserve">(hypergraph representation and IB calibration),</w:t>
      </w:r>
      <w:r>
        <w:t xml:space="preserve"> </w:t>
      </w:r>
      <w:r>
        <w:rPr>
          <w:bCs/>
          <w:b/>
        </w:rPr>
        <w:t xml:space="preserve">F-3/F-4/F-5/F-6/F-7</w:t>
      </w:r>
      <w:r>
        <w:t xml:space="preserve"> </w:t>
      </w:r>
      <w:r>
        <w:t xml:space="preserve">(remaining infrastructure), and</w:t>
      </w:r>
      <w:r>
        <w:t xml:space="preserve"> </w:t>
      </w:r>
      <w:r>
        <w:rPr>
          <w:bCs/>
          <w:b/>
        </w:rPr>
        <w:t xml:space="preserve">H-4/H-5</w:t>
      </w:r>
      <w:r>
        <w:t xml:space="preserve"> </w:t>
      </w:r>
      <w:r>
        <w:t xml:space="preserve">(contextual-prefix enrichment and adaptive budget sizing, both requiring no trained model).</w:t>
      </w:r>
    </w:p>
    <w:bookmarkEnd w:id="44"/>
    <w:bookmarkStart w:id="45" w:name="phase-3-integration-and-benchmarking"/>
    <w:p>
      <w:pPr>
        <w:pStyle w:val="Heading3"/>
      </w:pPr>
      <w:r>
        <w:t xml:space="preserve">11.3 Phase 3 — Integration and Benchmarking</w:t>
      </w:r>
    </w:p>
    <w:p>
      <w:pPr>
        <w:pStyle w:val="FirstParagraph"/>
      </w:pPr>
      <w:r>
        <w:rPr>
          <w:bCs/>
          <w:b/>
        </w:rPr>
        <w:t xml:space="preserve">C-2</w:t>
      </w:r>
      <w:r>
        <w:t xml:space="preserve"> </w:t>
      </w:r>
      <w:r>
        <w:t xml:space="preserve">(retiring the MMR+knapsack two-stage pipeline in favor of C-1, once C-1 is validated),</w:t>
      </w:r>
      <w:r>
        <w:t xml:space="preserve"> </w:t>
      </w:r>
      <w:r>
        <w:rPr>
          <w:bCs/>
          <w:b/>
        </w:rPr>
        <w:t xml:space="preserve">C-4/C-5</w:t>
      </w:r>
      <w:r>
        <w:t xml:space="preserve"> </w:t>
      </w:r>
      <w:r>
        <w:t xml:space="preserve">(hypergraph correctness extension, GW template comparator),</w:t>
      </w:r>
      <w:r>
        <w:t xml:space="preserve"> </w:t>
      </w:r>
      <w:r>
        <w:rPr>
          <w:bCs/>
          <w:b/>
        </w:rPr>
        <w:t xml:space="preserve">G-1/G-2</w:t>
      </w:r>
      <w:r>
        <w:t xml:space="preserve"> </w:t>
      </w:r>
      <w:r>
        <w:t xml:space="preserve">(OmniDocBench and Databricks-comparable benchmarks, once the relevant components and infrastructure are in place),</w:t>
      </w:r>
      <w:r>
        <w:t xml:space="preserve"> </w:t>
      </w:r>
      <w:r>
        <w:rPr>
          <w:bCs/>
          <w:b/>
        </w:rPr>
        <w:t xml:space="preserve">H-1/H-2</w:t>
      </w:r>
      <w:r>
        <w:t xml:space="preserve"> </w:t>
      </w:r>
      <w:r>
        <w:t xml:space="preserve">(orchestration-framework connectors, once a stable API surface exists),</w:t>
      </w:r>
      <w:r>
        <w:t xml:space="preserve"> </w:t>
      </w:r>
      <w:r>
        <w:rPr>
          <w:bCs/>
          <w:b/>
        </w:rPr>
        <w:t xml:space="preserve">H-3</w:t>
      </w:r>
      <w:r>
        <w:t xml:space="preserve"> </w:t>
      </w:r>
      <w:r>
        <w:t xml:space="preserve">(debugging visualization), and</w:t>
      </w:r>
      <w:r>
        <w:t xml:space="preserve"> </w:t>
      </w:r>
      <w:r>
        <w:rPr>
          <w:bCs/>
          <w:b/>
        </w:rPr>
        <w:t xml:space="preserve">H-6/G-3</w:t>
      </w:r>
      <w:r>
        <w:t xml:space="preserve"> </w:t>
      </w:r>
      <w:r>
        <w:t xml:space="preserve">(whole-page visual signal and its ViDoRe benchmark, gated behind A-8).</w:t>
      </w:r>
    </w:p>
    <w:bookmarkEnd w:id="45"/>
    <w:bookmarkStart w:id="46" w:name="phase-4-long-horizon-and-gated-work"/>
    <w:p>
      <w:pPr>
        <w:pStyle w:val="Heading3"/>
      </w:pPr>
      <w:r>
        <w:t xml:space="preserve">11.4 Phase 4 — Long-Horizon and Gated Work</w:t>
      </w:r>
    </w:p>
    <w:p>
      <w:pPr>
        <w:pStyle w:val="FirstParagraph"/>
      </w:pPr>
      <w:r>
        <w:rPr>
          <w:bCs/>
          <w:b/>
        </w:rPr>
        <w:t xml:space="preserve">D-1 through D-6</w:t>
      </w:r>
      <w:r>
        <w:t xml:space="preserve"> </w:t>
      </w:r>
      <w:r>
        <w:t xml:space="preserve">(the long-term, training-data-dependent features, each explicitly gated behind its Phase 2/3 pilot per Workstream D’s stated gating), and</w:t>
      </w:r>
      <w:r>
        <w:t xml:space="preserve"> </w:t>
      </w:r>
      <w:r>
        <w:rPr>
          <w:bCs/>
          <w:b/>
        </w:rPr>
        <w:t xml:space="preserve">G-4</w:t>
      </w:r>
      <w:r>
        <w:t xml:space="preserve"> </w:t>
      </w:r>
      <w:r>
        <w:t xml:space="preserve">(hallucination-rate measurement, gated behind A-5’s benchmark infrastructure being in place).</w:t>
      </w:r>
    </w:p>
    <w:bookmarkEnd w:id="46"/>
    <w:bookmarkStart w:id="47" w:name="what-this-sequencing-optimizes-for"/>
    <w:p>
      <w:pPr>
        <w:pStyle w:val="Heading3"/>
      </w:pPr>
      <w:r>
        <w:t xml:space="preserve">11.5 What This Sequencing Optimizes For</w:t>
      </w:r>
    </w:p>
    <w:p>
      <w:pPr>
        <w:pStyle w:val="FirstParagraph"/>
      </w:pPr>
      <w:r>
        <w:t xml:space="preserve">This sequencing prioritizes two things simultaneously: closing the Feasibility and Validation Report’s Critical and High-priority risks as early as possible (Phase 1 contains every Critical/High-priority Workstream A task), and maximizing parallel throughput by front-loading every task with no dependencies rather than working strictly workstream-by-workstream — a team is not expected to complete Workstream A before touching Workstream B, since the two share no blocking dependencies for their Phase 1 items.</w:t>
      </w:r>
    </w:p>
    <w:bookmarkEnd w:id="47"/>
    <w:bookmarkEnd w:id="48"/>
    <w:bookmarkStart w:id="49" w:name="master-task-table"/>
    <w:p>
      <w:pPr>
        <w:pStyle w:val="Heading2"/>
      </w:pPr>
      <w:r>
        <w:t xml:space="preserve">12. Master Task Table</w:t>
      </w:r>
    </w:p>
    <w:p>
      <w:pPr>
        <w:pStyle w:val="FirstParagraph"/>
      </w:pPr>
      <w:r>
        <w:t xml:space="preserve">Table 12.1 consolidates all tasks from Sections 2-9 into a single sortable reference, ordered by workstream then task ID.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Effort</w:t>
            </w:r>
          </w:p>
        </w:tc>
        <w:tc>
          <w:tcPr/>
          <w:p>
            <w:pPr>
              <w:pStyle w:val="Compact"/>
              <w:jc w:val="left"/>
            </w:pPr>
            <w:r>
              <w:t xml:space="preserve">Phase</w:t>
            </w:r>
          </w:p>
        </w:tc>
      </w:tr>
      <w:tr>
        <w:tc>
          <w:tcPr/>
          <w:p>
            <w:pPr>
              <w:pStyle w:val="Compact"/>
              <w:jc w:val="left"/>
            </w:pPr>
            <w:r>
              <w:t xml:space="preserve">A-1</w:t>
            </w:r>
          </w:p>
        </w:tc>
        <w:tc>
          <w:tcPr/>
          <w:p>
            <w:pPr>
              <w:pStyle w:val="Compact"/>
              <w:jc w:val="left"/>
            </w:pPr>
            <w:r>
              <w:t xml:space="preserve">Tenant-isolation adversarial audit</w:t>
            </w:r>
          </w:p>
        </w:tc>
        <w:tc>
          <w:tcPr/>
          <w:p>
            <w:pPr>
              <w:pStyle w:val="Compact"/>
              <w:jc w:val="left"/>
            </w:pPr>
            <w:r>
              <w:t xml:space="preserve">Critical</w:t>
            </w:r>
          </w:p>
        </w:tc>
        <w:tc>
          <w:tcPr/>
          <w:p>
            <w:pPr>
              <w:pStyle w:val="Compact"/>
              <w:jc w:val="left"/>
            </w:pPr>
            <w:r>
              <w:t xml:space="preserve">L</w:t>
            </w:r>
          </w:p>
        </w:tc>
        <w:tc>
          <w:tcPr/>
          <w:p>
            <w:pPr>
              <w:pStyle w:val="Compact"/>
              <w:jc w:val="left"/>
            </w:pPr>
            <w:r>
              <w:t xml:space="preserve">1</w:t>
            </w:r>
          </w:p>
        </w:tc>
      </w:tr>
      <w:tr>
        <w:tc>
          <w:tcPr/>
          <w:p>
            <w:pPr>
              <w:pStyle w:val="Compact"/>
              <w:jc w:val="left"/>
            </w:pPr>
            <w:r>
              <w:t xml:space="preserve">A-2</w:t>
            </w:r>
          </w:p>
        </w:tc>
        <w:tc>
          <w:tcPr/>
          <w:p>
            <w:pPr>
              <w:pStyle w:val="Compact"/>
              <w:jc w:val="left"/>
            </w:pPr>
            <w:r>
              <w:t xml:space="preserve">Load test: ANN sub-linearity</w:t>
            </w:r>
          </w:p>
        </w:tc>
        <w:tc>
          <w:tcPr/>
          <w:p>
            <w:pPr>
              <w:pStyle w:val="Compact"/>
              <w:jc w:val="left"/>
            </w:pPr>
            <w:r>
              <w:t xml:space="preserve">High</w:t>
            </w:r>
          </w:p>
        </w:tc>
        <w:tc>
          <w:tcPr/>
          <w:p>
            <w:pPr>
              <w:pStyle w:val="Compact"/>
              <w:jc w:val="left"/>
            </w:pPr>
            <w:r>
              <w:t xml:space="preserve">L</w:t>
            </w:r>
          </w:p>
        </w:tc>
        <w:tc>
          <w:tcPr/>
          <w:p>
            <w:pPr>
              <w:pStyle w:val="Compact"/>
              <w:jc w:val="left"/>
            </w:pPr>
            <w:r>
              <w:t xml:space="preserve">1</w:t>
            </w:r>
          </w:p>
        </w:tc>
      </w:tr>
      <w:tr>
        <w:tc>
          <w:tcPr/>
          <w:p>
            <w:pPr>
              <w:pStyle w:val="Compact"/>
              <w:jc w:val="left"/>
            </w:pPr>
            <w:r>
              <w:t xml:space="preserve">A-3</w:t>
            </w:r>
          </w:p>
        </w:tc>
        <w:tc>
          <w:tcPr/>
          <w:p>
            <w:pPr>
              <w:pStyle w:val="Compact"/>
              <w:jc w:val="left"/>
            </w:pPr>
            <w:r>
              <w:t xml:space="preserve">Load test: tenant-filter latency</w:t>
            </w:r>
          </w:p>
        </w:tc>
        <w:tc>
          <w:tcPr/>
          <w:p>
            <w:pPr>
              <w:pStyle w:val="Compact"/>
              <w:jc w:val="left"/>
            </w:pPr>
            <w:r>
              <w:t xml:space="preserve">High</w:t>
            </w:r>
          </w:p>
        </w:tc>
        <w:tc>
          <w:tcPr/>
          <w:p>
            <w:pPr>
              <w:pStyle w:val="Compact"/>
              <w:jc w:val="left"/>
            </w:pPr>
            <w:r>
              <w:t xml:space="preserve">M</w:t>
            </w:r>
          </w:p>
        </w:tc>
        <w:tc>
          <w:tcPr/>
          <w:p>
            <w:pPr>
              <w:pStyle w:val="Compact"/>
              <w:jc w:val="left"/>
            </w:pPr>
            <w:r>
              <w:t xml:space="preserve">1</w:t>
            </w:r>
          </w:p>
        </w:tc>
      </w:tr>
      <w:tr>
        <w:tc>
          <w:tcPr/>
          <w:p>
            <w:pPr>
              <w:pStyle w:val="Compact"/>
              <w:jc w:val="left"/>
            </w:pPr>
            <w:r>
              <w:t xml:space="preserve">A-4</w:t>
            </w:r>
          </w:p>
        </w:tc>
        <w:tc>
          <w:tcPr/>
          <w:p>
            <w:pPr>
              <w:pStyle w:val="Compact"/>
              <w:jc w:val="left"/>
            </w:pPr>
            <w:r>
              <w:t xml:space="preserve">Load test: ingestion throughput bottleneck</w:t>
            </w:r>
          </w:p>
        </w:tc>
        <w:tc>
          <w:tcPr/>
          <w:p>
            <w:pPr>
              <w:pStyle w:val="Compact"/>
              <w:jc w:val="left"/>
            </w:pPr>
            <w:r>
              <w:t xml:space="preserve">High</w:t>
            </w:r>
          </w:p>
        </w:tc>
        <w:tc>
          <w:tcPr/>
          <w:p>
            <w:pPr>
              <w:pStyle w:val="Compact"/>
              <w:jc w:val="left"/>
            </w:pPr>
            <w:r>
              <w:t xml:space="preserve">M</w:t>
            </w:r>
          </w:p>
        </w:tc>
        <w:tc>
          <w:tcPr/>
          <w:p>
            <w:pPr>
              <w:pStyle w:val="Compact"/>
              <w:jc w:val="left"/>
            </w:pPr>
            <w:r>
              <w:t xml:space="preserve">1</w:t>
            </w:r>
          </w:p>
        </w:tc>
      </w:tr>
      <w:tr>
        <w:tc>
          <w:tcPr/>
          <w:p>
            <w:pPr>
              <w:pStyle w:val="Compact"/>
              <w:jc w:val="left"/>
            </w:pPr>
            <w:r>
              <w:t xml:space="preserve">A-5</w:t>
            </w:r>
          </w:p>
        </w:tc>
        <w:tc>
          <w:tcPr/>
          <w:p>
            <w:pPr>
              <w:pStyle w:val="Compact"/>
              <w:jc w:val="left"/>
            </w:pPr>
            <w:r>
              <w:t xml:space="preserve">DocVQA/TAT-QA benchmark with cost telemetry</w:t>
            </w:r>
          </w:p>
        </w:tc>
        <w:tc>
          <w:tcPr/>
          <w:p>
            <w:pPr>
              <w:pStyle w:val="Compact"/>
              <w:jc w:val="left"/>
            </w:pPr>
            <w:r>
              <w:t xml:space="preserve">High</w:t>
            </w:r>
          </w:p>
        </w:tc>
        <w:tc>
          <w:tcPr/>
          <w:p>
            <w:pPr>
              <w:pStyle w:val="Compact"/>
              <w:jc w:val="left"/>
            </w:pPr>
            <w:r>
              <w:t xml:space="preserve">L</w:t>
            </w:r>
          </w:p>
        </w:tc>
        <w:tc>
          <w:tcPr/>
          <w:p>
            <w:pPr>
              <w:pStyle w:val="Compact"/>
              <w:jc w:val="left"/>
            </w:pPr>
            <w:r>
              <w:t xml:space="preserve">1</w:t>
            </w:r>
          </w:p>
        </w:tc>
      </w:tr>
      <w:tr>
        <w:tc>
          <w:tcPr/>
          <w:p>
            <w:pPr>
              <w:pStyle w:val="Compact"/>
              <w:jc w:val="left"/>
            </w:pPr>
            <w:r>
              <w:t xml:space="preserve">A-6</w:t>
            </w:r>
          </w:p>
        </w:tc>
        <w:tc>
          <w:tcPr/>
          <w:p>
            <w:pPr>
              <w:pStyle w:val="Compact"/>
              <w:jc w:val="left"/>
            </w:pPr>
            <w:r>
              <w:t xml:space="preserve">Fallback failure-injection suite</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1</w:t>
            </w:r>
          </w:p>
        </w:tc>
      </w:tr>
      <w:tr>
        <w:tc>
          <w:tcPr/>
          <w:p>
            <w:pPr>
              <w:pStyle w:val="Compact"/>
              <w:jc w:val="left"/>
            </w:pPr>
            <w:r>
              <w:t xml:space="preserve">A-7</w:t>
            </w:r>
          </w:p>
        </w:tc>
        <w:tc>
          <w:tcPr/>
          <w:p>
            <w:pPr>
              <w:pStyle w:val="Compact"/>
              <w:jc w:val="left"/>
            </w:pPr>
            <w:r>
              <w:t xml:space="preserve">Trained semantic encoder + A/B benchmark</w:t>
            </w:r>
          </w:p>
        </w:tc>
        <w:tc>
          <w:tcPr/>
          <w:p>
            <w:pPr>
              <w:pStyle w:val="Compact"/>
              <w:jc w:val="left"/>
            </w:pPr>
            <w:r>
              <w:t xml:space="preserve">High</w:t>
            </w:r>
          </w:p>
        </w:tc>
        <w:tc>
          <w:tcPr/>
          <w:p>
            <w:pPr>
              <w:pStyle w:val="Compact"/>
              <w:jc w:val="left"/>
            </w:pPr>
            <w:r>
              <w:t xml:space="preserve">XL</w:t>
            </w:r>
          </w:p>
        </w:tc>
        <w:tc>
          <w:tcPr/>
          <w:p>
            <w:pPr>
              <w:pStyle w:val="Compact"/>
              <w:jc w:val="left"/>
            </w:pPr>
            <w:r>
              <w:t xml:space="preserve">2</w:t>
            </w:r>
          </w:p>
        </w:tc>
      </w:tr>
      <w:tr>
        <w:tc>
          <w:tcPr/>
          <w:p>
            <w:pPr>
              <w:pStyle w:val="Compact"/>
              <w:jc w:val="left"/>
            </w:pPr>
            <w:r>
              <w:t xml:space="preserve">A-8</w:t>
            </w:r>
          </w:p>
        </w:tc>
        <w:tc>
          <w:tcPr/>
          <w:p>
            <w:pPr>
              <w:pStyle w:val="Compact"/>
              <w:jc w:val="left"/>
            </w:pPr>
            <w:r>
              <w:t xml:space="preserve">Multimodal encoder training + benchmark</w:t>
            </w:r>
          </w:p>
        </w:tc>
        <w:tc>
          <w:tcPr/>
          <w:p>
            <w:pPr>
              <w:pStyle w:val="Compact"/>
              <w:jc w:val="left"/>
            </w:pPr>
            <w:r>
              <w:t xml:space="preserve">Medium</w:t>
            </w:r>
          </w:p>
        </w:tc>
        <w:tc>
          <w:tcPr/>
          <w:p>
            <w:pPr>
              <w:pStyle w:val="Compact"/>
              <w:jc w:val="left"/>
            </w:pPr>
            <w:r>
              <w:t xml:space="preserve">XL</w:t>
            </w:r>
          </w:p>
        </w:tc>
        <w:tc>
          <w:tcPr/>
          <w:p>
            <w:pPr>
              <w:pStyle w:val="Compact"/>
              <w:jc w:val="left"/>
            </w:pPr>
            <w:r>
              <w:t xml:space="preserve">2</w:t>
            </w:r>
          </w:p>
        </w:tc>
      </w:tr>
      <w:tr>
        <w:tc>
          <w:tcPr/>
          <w:p>
            <w:pPr>
              <w:pStyle w:val="Compact"/>
              <w:jc w:val="left"/>
            </w:pPr>
            <w:r>
              <w:t xml:space="preserve">A-9</w:t>
            </w:r>
          </w:p>
        </w:tc>
        <w:tc>
          <w:tcPr/>
          <w:p>
            <w:pPr>
              <w:pStyle w:val="Compact"/>
              <w:jc w:val="left"/>
            </w:pPr>
            <w:r>
              <w:t xml:space="preserve">Real-corpus spectral/hitting-time validation</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2</w:t>
            </w:r>
          </w:p>
        </w:tc>
      </w:tr>
      <w:tr>
        <w:tc>
          <w:tcPr/>
          <w:p>
            <w:pPr>
              <w:pStyle w:val="Compact"/>
              <w:jc w:val="left"/>
            </w:pPr>
            <w:r>
              <w:t xml:space="preserve">B-1</w:t>
            </w:r>
          </w:p>
        </w:tc>
        <w:tc>
          <w:tcPr/>
          <w:p>
            <w:pPr>
              <w:pStyle w:val="Compact"/>
              <w:jc w:val="left"/>
            </w:pPr>
            <w:r>
              <w:t xml:space="preserve">OPW reading-order metric</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1</w:t>
            </w:r>
          </w:p>
        </w:tc>
      </w:tr>
      <w:tr>
        <w:tc>
          <w:tcPr/>
          <w:p>
            <w:pPr>
              <w:pStyle w:val="Compact"/>
              <w:jc w:val="left"/>
            </w:pPr>
            <w:r>
              <w:t xml:space="preserve">B-2</w:t>
            </w:r>
          </w:p>
        </w:tc>
        <w:tc>
          <w:tcPr/>
          <w:p>
            <w:pPr>
              <w:pStyle w:val="Compact"/>
              <w:jc w:val="left"/>
            </w:pPr>
            <w:r>
              <w:t xml:space="preserve">OPW wired into observability/bandit</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2</w:t>
            </w:r>
          </w:p>
        </w:tc>
      </w:tr>
      <w:tr>
        <w:tc>
          <w:tcPr/>
          <w:p>
            <w:pPr>
              <w:pStyle w:val="Compact"/>
              <w:jc w:val="left"/>
            </w:pPr>
            <w:r>
              <w:t xml:space="preserve">B-3</w:t>
            </w:r>
          </w:p>
        </w:tc>
        <w:tc>
          <w:tcPr/>
          <w:p>
            <w:pPr>
              <w:pStyle w:val="Compact"/>
              <w:jc w:val="left"/>
            </w:pPr>
            <w:r>
              <w:t xml:space="preserve">Persistent-homology Topology Engine</w:t>
            </w:r>
          </w:p>
        </w:tc>
        <w:tc>
          <w:tcPr/>
          <w:p>
            <w:pPr>
              <w:pStyle w:val="Compact"/>
              <w:jc w:val="left"/>
            </w:pPr>
            <w:r>
              <w:t xml:space="preserve">High</w:t>
            </w:r>
          </w:p>
        </w:tc>
        <w:tc>
          <w:tcPr/>
          <w:p>
            <w:pPr>
              <w:pStyle w:val="Compact"/>
              <w:jc w:val="left"/>
            </w:pPr>
            <w:r>
              <w:t xml:space="preserve">M</w:t>
            </w:r>
          </w:p>
        </w:tc>
        <w:tc>
          <w:tcPr/>
          <w:p>
            <w:pPr>
              <w:pStyle w:val="Compact"/>
              <w:jc w:val="left"/>
            </w:pPr>
            <w:r>
              <w:t xml:space="preserve">1</w:t>
            </w:r>
          </w:p>
        </w:tc>
      </w:tr>
      <w:tr>
        <w:tc>
          <w:tcPr/>
          <w:p>
            <w:pPr>
              <w:pStyle w:val="Compact"/>
              <w:jc w:val="left"/>
            </w:pPr>
            <w:r>
              <w:t xml:space="preserve">B-4</w:t>
            </w:r>
          </w:p>
        </w:tc>
        <w:tc>
          <w:tcPr/>
          <w:p>
            <w:pPr>
              <w:pStyle w:val="Compact"/>
              <w:jc w:val="left"/>
            </w:pPr>
            <w:r>
              <w:t xml:space="preserve">Topology anomaly flag in verification</w:t>
            </w:r>
          </w:p>
        </w:tc>
        <w:tc>
          <w:tcPr/>
          <w:p>
            <w:pPr>
              <w:pStyle w:val="Compact"/>
              <w:jc w:val="left"/>
            </w:pPr>
            <w:r>
              <w:t xml:space="preserve">High</w:t>
            </w:r>
          </w:p>
        </w:tc>
        <w:tc>
          <w:tcPr/>
          <w:p>
            <w:pPr>
              <w:pStyle w:val="Compact"/>
              <w:jc w:val="left"/>
            </w:pPr>
            <w:r>
              <w:t xml:space="preserve">S</w:t>
            </w:r>
          </w:p>
        </w:tc>
        <w:tc>
          <w:tcPr/>
          <w:p>
            <w:pPr>
              <w:pStyle w:val="Compact"/>
              <w:jc w:val="left"/>
            </w:pPr>
            <w:r>
              <w:t xml:space="preserve">2</w:t>
            </w:r>
          </w:p>
        </w:tc>
      </w:tr>
      <w:tr>
        <w:tc>
          <w:tcPr/>
          <w:p>
            <w:pPr>
              <w:pStyle w:val="Compact"/>
              <w:jc w:val="left"/>
            </w:pPr>
            <w:r>
              <w:t xml:space="preserve">B-5</w:t>
            </w:r>
          </w:p>
        </w:tc>
        <w:tc>
          <w:tcPr/>
          <w:p>
            <w:pPr>
              <w:pStyle w:val="Compact"/>
              <w:jc w:val="left"/>
            </w:pPr>
            <w:r>
              <w:t xml:space="preserve">Real-corpus table-topology validation</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2</w:t>
            </w:r>
          </w:p>
        </w:tc>
      </w:tr>
      <w:tr>
        <w:tc>
          <w:tcPr/>
          <w:p>
            <w:pPr>
              <w:pStyle w:val="Compact"/>
              <w:jc w:val="left"/>
            </w:pPr>
            <w:r>
              <w:t xml:space="preserve">C-1</w:t>
            </w:r>
          </w:p>
        </w:tc>
        <w:tc>
          <w:tcPr/>
          <w:p>
            <w:pPr>
              <w:pStyle w:val="Compact"/>
              <w:jc w:val="left"/>
            </w:pPr>
            <w:r>
              <w:t xml:space="preserve">Submodular knapsack packer</w:t>
            </w:r>
          </w:p>
        </w:tc>
        <w:tc>
          <w:tcPr/>
          <w:p>
            <w:pPr>
              <w:pStyle w:val="Compact"/>
              <w:jc w:val="left"/>
            </w:pPr>
            <w:r>
              <w:t xml:space="preserve">High</w:t>
            </w:r>
          </w:p>
        </w:tc>
        <w:tc>
          <w:tcPr/>
          <w:p>
            <w:pPr>
              <w:pStyle w:val="Compact"/>
              <w:jc w:val="left"/>
            </w:pPr>
            <w:r>
              <w:t xml:space="preserve">L</w:t>
            </w:r>
          </w:p>
        </w:tc>
        <w:tc>
          <w:tcPr/>
          <w:p>
            <w:pPr>
              <w:pStyle w:val="Compact"/>
              <w:jc w:val="left"/>
            </w:pPr>
            <w:r>
              <w:t xml:space="preserve">2</w:t>
            </w:r>
          </w:p>
        </w:tc>
      </w:tr>
      <w:tr>
        <w:tc>
          <w:tcPr/>
          <w:p>
            <w:pPr>
              <w:pStyle w:val="Compact"/>
              <w:jc w:val="left"/>
            </w:pPr>
            <w:r>
              <w:t xml:space="preserve">C-2</w:t>
            </w:r>
          </w:p>
        </w:tc>
        <w:tc>
          <w:tcPr/>
          <w:p>
            <w:pPr>
              <w:pStyle w:val="Compact"/>
              <w:jc w:val="left"/>
            </w:pPr>
            <w:r>
              <w:t xml:space="preserve">Retire MMR+knapsack two-stage pipeline</w:t>
            </w:r>
          </w:p>
        </w:tc>
        <w:tc>
          <w:tcPr/>
          <w:p>
            <w:pPr>
              <w:pStyle w:val="Compact"/>
              <w:jc w:val="left"/>
            </w:pPr>
            <w:r>
              <w:t xml:space="preserve">High</w:t>
            </w:r>
          </w:p>
        </w:tc>
        <w:tc>
          <w:tcPr/>
          <w:p>
            <w:pPr>
              <w:pStyle w:val="Compact"/>
              <w:jc w:val="left"/>
            </w:pPr>
            <w:r>
              <w:t xml:space="preserve">M</w:t>
            </w:r>
          </w:p>
        </w:tc>
        <w:tc>
          <w:tcPr/>
          <w:p>
            <w:pPr>
              <w:pStyle w:val="Compact"/>
              <w:jc w:val="left"/>
            </w:pPr>
            <w:r>
              <w:t xml:space="preserve">3</w:t>
            </w:r>
          </w:p>
        </w:tc>
      </w:tr>
      <w:tr>
        <w:tc>
          <w:tcPr/>
          <w:p>
            <w:pPr>
              <w:pStyle w:val="Compact"/>
              <w:jc w:val="left"/>
            </w:pPr>
            <w:r>
              <w:t xml:space="preserve">C-3</w:t>
            </w:r>
          </w:p>
        </w:tc>
        <w:tc>
          <w:tcPr/>
          <w:p>
            <w:pPr>
              <w:pStyle w:val="Compact"/>
              <w:jc w:val="left"/>
            </w:pPr>
            <w:r>
              <w:t xml:space="preserve">Hypergraph table representation</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2</w:t>
            </w:r>
          </w:p>
        </w:tc>
      </w:tr>
      <w:tr>
        <w:tc>
          <w:tcPr/>
          <w:p>
            <w:pPr>
              <w:pStyle w:val="Compact"/>
              <w:jc w:val="left"/>
            </w:pPr>
            <w:r>
              <w:t xml:space="preserve">C-4</w:t>
            </w:r>
          </w:p>
        </w:tc>
        <w:tc>
          <w:tcPr/>
          <w:p>
            <w:pPr>
              <w:pStyle w:val="Compact"/>
              <w:jc w:val="left"/>
            </w:pPr>
            <w:r>
              <w:t xml:space="preserve">Extend tabular compiler tests</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3</w:t>
            </w:r>
          </w:p>
        </w:tc>
      </w:tr>
      <w:tr>
        <w:tc>
          <w:tcPr/>
          <w:p>
            <w:pPr>
              <w:pStyle w:val="Compact"/>
              <w:jc w:val="left"/>
            </w:pPr>
            <w:r>
              <w:t xml:space="preserve">C-5</w:t>
            </w:r>
          </w:p>
        </w:tc>
        <w:tc>
          <w:tcPr/>
          <w:p>
            <w:pPr>
              <w:pStyle w:val="Compact"/>
              <w:jc w:val="left"/>
            </w:pPr>
            <w:r>
              <w:t xml:space="preserve">Gromov-Wasserstein template comparator</w:t>
            </w:r>
          </w:p>
        </w:tc>
        <w:tc>
          <w:tcPr/>
          <w:p>
            <w:pPr>
              <w:pStyle w:val="Compact"/>
              <w:jc w:val="left"/>
            </w:pPr>
            <w:r>
              <w:t xml:space="preserve">Low-Medium</w:t>
            </w:r>
          </w:p>
        </w:tc>
        <w:tc>
          <w:tcPr/>
          <w:p>
            <w:pPr>
              <w:pStyle w:val="Compact"/>
              <w:jc w:val="left"/>
            </w:pPr>
            <w:r>
              <w:t xml:space="preserve">M</w:t>
            </w:r>
          </w:p>
        </w:tc>
        <w:tc>
          <w:tcPr/>
          <w:p>
            <w:pPr>
              <w:pStyle w:val="Compact"/>
              <w:jc w:val="left"/>
            </w:pPr>
            <w:r>
              <w:t xml:space="preserve">3</w:t>
            </w:r>
          </w:p>
        </w:tc>
      </w:tr>
      <w:tr>
        <w:tc>
          <w:tcPr/>
          <w:p>
            <w:pPr>
              <w:pStyle w:val="Compact"/>
              <w:jc w:val="left"/>
            </w:pPr>
            <w:r>
              <w:t xml:space="preserve">C-6</w:t>
            </w:r>
          </w:p>
        </w:tc>
        <w:tc>
          <w:tcPr/>
          <w:p>
            <w:pPr>
              <w:pStyle w:val="Compact"/>
              <w:jc w:val="left"/>
            </w:pPr>
            <w:r>
              <w:t xml:space="preserve">IB-calibrated master objective</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2</w:t>
            </w:r>
          </w:p>
        </w:tc>
      </w:tr>
      <w:tr>
        <w:tc>
          <w:tcPr/>
          <w:p>
            <w:pPr>
              <w:pStyle w:val="Compact"/>
              <w:jc w:val="left"/>
            </w:pPr>
            <w:r>
              <w:t xml:space="preserve">D-1</w:t>
            </w:r>
          </w:p>
        </w:tc>
        <w:tc>
          <w:tcPr/>
          <w:p>
            <w:pPr>
              <w:pStyle w:val="Compact"/>
              <w:jc w:val="left"/>
            </w:pPr>
            <w:r>
              <w:t xml:space="preserve">Training data collection: IB value function</w:t>
            </w:r>
          </w:p>
        </w:tc>
        <w:tc>
          <w:tcPr/>
          <w:p>
            <w:pPr>
              <w:pStyle w:val="Compact"/>
              <w:jc w:val="left"/>
            </w:pPr>
            <w:r>
              <w:t xml:space="preserve">Low</w:t>
            </w:r>
          </w:p>
        </w:tc>
        <w:tc>
          <w:tcPr/>
          <w:p>
            <w:pPr>
              <w:pStyle w:val="Compact"/>
              <w:jc w:val="left"/>
            </w:pPr>
            <w:r>
              <w:t xml:space="preserve">XL</w:t>
            </w:r>
          </w:p>
        </w:tc>
        <w:tc>
          <w:tcPr/>
          <w:p>
            <w:pPr>
              <w:pStyle w:val="Compact"/>
              <w:jc w:val="left"/>
            </w:pPr>
            <w:r>
              <w:t xml:space="preserve">4</w:t>
            </w:r>
          </w:p>
        </w:tc>
      </w:tr>
      <w:tr>
        <w:tc>
          <w:tcPr/>
          <w:p>
            <w:pPr>
              <w:pStyle w:val="Compact"/>
              <w:jc w:val="left"/>
            </w:pPr>
            <w:r>
              <w:t xml:space="preserve">D-2</w:t>
            </w:r>
          </w:p>
        </w:tc>
        <w:tc>
          <w:tcPr/>
          <w:p>
            <w:pPr>
              <w:pStyle w:val="Compact"/>
              <w:jc w:val="left"/>
            </w:pPr>
            <w:r>
              <w:t xml:space="preserve">Full IB-Lagrangian value function</w:t>
            </w:r>
          </w:p>
        </w:tc>
        <w:tc>
          <w:tcPr/>
          <w:p>
            <w:pPr>
              <w:pStyle w:val="Compact"/>
              <w:jc w:val="left"/>
            </w:pPr>
            <w:r>
              <w:t xml:space="preserve">Low</w:t>
            </w:r>
          </w:p>
        </w:tc>
        <w:tc>
          <w:tcPr/>
          <w:p>
            <w:pPr>
              <w:pStyle w:val="Compact"/>
              <w:jc w:val="left"/>
            </w:pPr>
            <w:r>
              <w:t xml:space="preserve">XL</w:t>
            </w:r>
          </w:p>
        </w:tc>
        <w:tc>
          <w:tcPr/>
          <w:p>
            <w:pPr>
              <w:pStyle w:val="Compact"/>
              <w:jc w:val="left"/>
            </w:pPr>
            <w:r>
              <w:t xml:space="preserve">4</w:t>
            </w:r>
          </w:p>
        </w:tc>
      </w:tr>
      <w:tr>
        <w:tc>
          <w:tcPr/>
          <w:p>
            <w:pPr>
              <w:pStyle w:val="Compact"/>
              <w:jc w:val="left"/>
            </w:pPr>
            <w:r>
              <w:t xml:space="preserve">D-3</w:t>
            </w:r>
          </w:p>
        </w:tc>
        <w:tc>
          <w:tcPr/>
          <w:p>
            <w:pPr>
              <w:pStyle w:val="Compact"/>
              <w:jc w:val="left"/>
            </w:pPr>
            <w:r>
              <w:t xml:space="preserve">Training data collection: HGNN scoring</w:t>
            </w:r>
          </w:p>
        </w:tc>
        <w:tc>
          <w:tcPr/>
          <w:p>
            <w:pPr>
              <w:pStyle w:val="Compact"/>
              <w:jc w:val="left"/>
            </w:pPr>
            <w:r>
              <w:t xml:space="preserve">Low</w:t>
            </w:r>
          </w:p>
        </w:tc>
        <w:tc>
          <w:tcPr/>
          <w:p>
            <w:pPr>
              <w:pStyle w:val="Compact"/>
              <w:jc w:val="left"/>
            </w:pPr>
            <w:r>
              <w:t xml:space="preserve">XL</w:t>
            </w:r>
          </w:p>
        </w:tc>
        <w:tc>
          <w:tcPr/>
          <w:p>
            <w:pPr>
              <w:pStyle w:val="Compact"/>
              <w:jc w:val="left"/>
            </w:pPr>
            <w:r>
              <w:t xml:space="preserve">4</w:t>
            </w:r>
          </w:p>
        </w:tc>
      </w:tr>
      <w:tr>
        <w:tc>
          <w:tcPr/>
          <w:p>
            <w:pPr>
              <w:pStyle w:val="Compact"/>
              <w:jc w:val="left"/>
            </w:pPr>
            <w:r>
              <w:t xml:space="preserve">D-4</w:t>
            </w:r>
          </w:p>
        </w:tc>
        <w:tc>
          <w:tcPr/>
          <w:p>
            <w:pPr>
              <w:pStyle w:val="Compact"/>
              <w:jc w:val="left"/>
            </w:pPr>
            <w:r>
              <w:t xml:space="preserve">Trained HGNN scoring layer</w:t>
            </w:r>
          </w:p>
        </w:tc>
        <w:tc>
          <w:tcPr/>
          <w:p>
            <w:pPr>
              <w:pStyle w:val="Compact"/>
              <w:jc w:val="left"/>
            </w:pPr>
            <w:r>
              <w:t xml:space="preserve">Low</w:t>
            </w:r>
          </w:p>
        </w:tc>
        <w:tc>
          <w:tcPr/>
          <w:p>
            <w:pPr>
              <w:pStyle w:val="Compact"/>
              <w:jc w:val="left"/>
            </w:pPr>
            <w:r>
              <w:t xml:space="preserve">XL</w:t>
            </w:r>
          </w:p>
        </w:tc>
        <w:tc>
          <w:tcPr/>
          <w:p>
            <w:pPr>
              <w:pStyle w:val="Compact"/>
              <w:jc w:val="left"/>
            </w:pPr>
            <w:r>
              <w:t xml:space="preserve">4</w:t>
            </w:r>
          </w:p>
        </w:tc>
      </w:tr>
      <w:tr>
        <w:tc>
          <w:tcPr/>
          <w:p>
            <w:pPr>
              <w:pStyle w:val="Compact"/>
              <w:jc w:val="left"/>
            </w:pPr>
            <w:r>
              <w:t xml:space="preserve">D-5</w:t>
            </w:r>
          </w:p>
        </w:tc>
        <w:tc>
          <w:tcPr/>
          <w:p>
            <w:pPr>
              <w:pStyle w:val="Compact"/>
              <w:jc w:val="left"/>
            </w:pPr>
            <w:r>
              <w:t xml:space="preserve">Production knapsack-instance data collection</w:t>
            </w:r>
          </w:p>
        </w:tc>
        <w:tc>
          <w:tcPr/>
          <w:p>
            <w:pPr>
              <w:pStyle w:val="Compact"/>
              <w:jc w:val="left"/>
            </w:pPr>
            <w:r>
              <w:t xml:space="preserve">Low</w:t>
            </w:r>
          </w:p>
        </w:tc>
        <w:tc>
          <w:tcPr/>
          <w:p>
            <w:pPr>
              <w:pStyle w:val="Compact"/>
              <w:jc w:val="left"/>
            </w:pPr>
            <w:r>
              <w:t xml:space="preserve">XL</w:t>
            </w:r>
          </w:p>
        </w:tc>
        <w:tc>
          <w:tcPr/>
          <w:p>
            <w:pPr>
              <w:pStyle w:val="Compact"/>
              <w:jc w:val="left"/>
            </w:pPr>
            <w:r>
              <w:t xml:space="preserve">4</w:t>
            </w:r>
          </w:p>
        </w:tc>
      </w:tr>
      <w:tr>
        <w:tc>
          <w:tcPr/>
          <w:p>
            <w:pPr>
              <w:pStyle w:val="Compact"/>
              <w:jc w:val="left"/>
            </w:pPr>
            <w:r>
              <w:t xml:space="preserve">D-6</w:t>
            </w:r>
          </w:p>
        </w:tc>
        <w:tc>
          <w:tcPr/>
          <w:p>
            <w:pPr>
              <w:pStyle w:val="Compact"/>
              <w:jc w:val="left"/>
            </w:pPr>
            <w:r>
              <w:t xml:space="preserve">Neural warm-start solver</w:t>
            </w:r>
          </w:p>
        </w:tc>
        <w:tc>
          <w:tcPr/>
          <w:p>
            <w:pPr>
              <w:pStyle w:val="Compact"/>
              <w:jc w:val="left"/>
            </w:pPr>
            <w:r>
              <w:t xml:space="preserve">Low</w:t>
            </w:r>
          </w:p>
        </w:tc>
        <w:tc>
          <w:tcPr/>
          <w:p>
            <w:pPr>
              <w:pStyle w:val="Compact"/>
              <w:jc w:val="left"/>
            </w:pPr>
            <w:r>
              <w:t xml:space="preserve">XL</w:t>
            </w:r>
          </w:p>
        </w:tc>
        <w:tc>
          <w:tcPr/>
          <w:p>
            <w:pPr>
              <w:pStyle w:val="Compact"/>
              <w:jc w:val="left"/>
            </w:pPr>
            <w:r>
              <w:t xml:space="preserve">4</w:t>
            </w:r>
          </w:p>
        </w:tc>
      </w:tr>
      <w:tr>
        <w:tc>
          <w:tcPr/>
          <w:p>
            <w:pPr>
              <w:pStyle w:val="Compact"/>
              <w:jc w:val="left"/>
            </w:pPr>
            <w:r>
              <w:t xml:space="preserve">E-1</w:t>
            </w:r>
          </w:p>
        </w:tc>
        <w:tc>
          <w:tcPr/>
          <w:p>
            <w:pPr>
              <w:pStyle w:val="Compact"/>
              <w:jc w:val="left"/>
            </w:pPr>
            <w:r>
              <w:t xml:space="preserve">Ising-model feasibility study</w:t>
            </w:r>
          </w:p>
        </w:tc>
        <w:tc>
          <w:tcPr/>
          <w:p>
            <w:pPr>
              <w:pStyle w:val="Compact"/>
              <w:jc w:val="left"/>
            </w:pPr>
            <w:r>
              <w:t xml:space="preserve">Low-Medium</w:t>
            </w:r>
          </w:p>
        </w:tc>
        <w:tc>
          <w:tcPr/>
          <w:p>
            <w:pPr>
              <w:pStyle w:val="Compact"/>
              <w:jc w:val="left"/>
            </w:pPr>
            <w:r>
              <w:t xml:space="preserve">S</w:t>
            </w:r>
          </w:p>
        </w:tc>
        <w:tc>
          <w:tcPr/>
          <w:p>
            <w:pPr>
              <w:pStyle w:val="Compact"/>
              <w:jc w:val="left"/>
            </w:pPr>
            <w:r>
              <w:t xml:space="preserve">1</w:t>
            </w:r>
          </w:p>
        </w:tc>
      </w:tr>
      <w:tr>
        <w:tc>
          <w:tcPr/>
          <w:p>
            <w:pPr>
              <w:pStyle w:val="Compact"/>
              <w:jc w:val="left"/>
            </w:pPr>
            <w:r>
              <w:t xml:space="preserve">E-2</w:t>
            </w:r>
          </w:p>
        </w:tc>
        <w:tc>
          <w:tcPr/>
          <w:p>
            <w:pPr>
              <w:pStyle w:val="Compact"/>
              <w:jc w:val="left"/>
            </w:pPr>
            <w:r>
              <w:t xml:space="preserve">RG promotion-regret measurement</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1</w:t>
            </w:r>
          </w:p>
        </w:tc>
      </w:tr>
      <w:tr>
        <w:tc>
          <w:tcPr/>
          <w:p>
            <w:pPr>
              <w:pStyle w:val="Compact"/>
              <w:jc w:val="left"/>
            </w:pPr>
            <w:r>
              <w:t xml:space="preserve">E-3</w:t>
            </w:r>
          </w:p>
        </w:tc>
        <w:tc>
          <w:tcPr/>
          <w:p>
            <w:pPr>
              <w:pStyle w:val="Compact"/>
              <w:jc w:val="left"/>
            </w:pPr>
            <w:r>
              <w:t xml:space="preserve">Ollivier-Ricci curvature correlation study</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1</w:t>
            </w:r>
          </w:p>
        </w:tc>
      </w:tr>
      <w:tr>
        <w:tc>
          <w:tcPr/>
          <w:p>
            <w:pPr>
              <w:pStyle w:val="Compact"/>
              <w:jc w:val="left"/>
            </w:pPr>
            <w:r>
              <w:t xml:space="preserve">E-4</w:t>
            </w:r>
          </w:p>
        </w:tc>
        <w:tc>
          <w:tcPr/>
          <w:p>
            <w:pPr>
              <w:pStyle w:val="Compact"/>
              <w:jc w:val="left"/>
            </w:pPr>
            <w:r>
              <w:t xml:space="preserve">NTT latency-profiling study</w:t>
            </w:r>
          </w:p>
        </w:tc>
        <w:tc>
          <w:tcPr/>
          <w:p>
            <w:pPr>
              <w:pStyle w:val="Compact"/>
              <w:jc w:val="left"/>
            </w:pPr>
            <w:r>
              <w:t xml:space="preserve">Low</w:t>
            </w:r>
          </w:p>
        </w:tc>
        <w:tc>
          <w:tcPr/>
          <w:p>
            <w:pPr>
              <w:pStyle w:val="Compact"/>
              <w:jc w:val="left"/>
            </w:pPr>
            <w:r>
              <w:t xml:space="preserve">S</w:t>
            </w:r>
          </w:p>
        </w:tc>
        <w:tc>
          <w:tcPr/>
          <w:p>
            <w:pPr>
              <w:pStyle w:val="Compact"/>
              <w:jc w:val="left"/>
            </w:pPr>
            <w:r>
              <w:t xml:space="preserve">1</w:t>
            </w:r>
          </w:p>
        </w:tc>
      </w:tr>
      <w:tr>
        <w:tc>
          <w:tcPr/>
          <w:p>
            <w:pPr>
              <w:pStyle w:val="Compact"/>
              <w:jc w:val="left"/>
            </w:pPr>
            <w:r>
              <w:t xml:space="preserve">E-5</w:t>
            </w:r>
          </w:p>
        </w:tc>
        <w:tc>
          <w:tcPr/>
          <w:p>
            <w:pPr>
              <w:pStyle w:val="Compact"/>
              <w:jc w:val="left"/>
            </w:pPr>
            <w:r>
              <w:t xml:space="preserve">Number-theoretic hashing simulation</w:t>
            </w:r>
          </w:p>
        </w:tc>
        <w:tc>
          <w:tcPr/>
          <w:p>
            <w:pPr>
              <w:pStyle w:val="Compact"/>
              <w:jc w:val="left"/>
            </w:pPr>
            <w:r>
              <w:t xml:space="preserve">Low</w:t>
            </w:r>
          </w:p>
        </w:tc>
        <w:tc>
          <w:tcPr/>
          <w:p>
            <w:pPr>
              <w:pStyle w:val="Compact"/>
              <w:jc w:val="left"/>
            </w:pPr>
            <w:r>
              <w:t xml:space="preserve">S</w:t>
            </w:r>
          </w:p>
        </w:tc>
        <w:tc>
          <w:tcPr/>
          <w:p>
            <w:pPr>
              <w:pStyle w:val="Compact"/>
              <w:jc w:val="left"/>
            </w:pPr>
            <w:r>
              <w:t xml:space="preserve">1</w:t>
            </w:r>
          </w:p>
        </w:tc>
      </w:tr>
      <w:tr>
        <w:tc>
          <w:tcPr/>
          <w:p>
            <w:pPr>
              <w:pStyle w:val="Compact"/>
              <w:jc w:val="left"/>
            </w:pPr>
            <w:r>
              <w:t xml:space="preserve">E-6</w:t>
            </w:r>
          </w:p>
        </w:tc>
        <w:tc>
          <w:tcPr/>
          <w:p>
            <w:pPr>
              <w:pStyle w:val="Compact"/>
              <w:jc w:val="left"/>
            </w:pPr>
            <w:r>
              <w:t xml:space="preserve">Shapley-value divergence study</w:t>
            </w:r>
          </w:p>
        </w:tc>
        <w:tc>
          <w:tcPr/>
          <w:p>
            <w:pPr>
              <w:pStyle w:val="Compact"/>
              <w:jc w:val="left"/>
            </w:pPr>
            <w:r>
              <w:t xml:space="preserve">Low-Medium</w:t>
            </w:r>
          </w:p>
        </w:tc>
        <w:tc>
          <w:tcPr/>
          <w:p>
            <w:pPr>
              <w:pStyle w:val="Compact"/>
              <w:jc w:val="left"/>
            </w:pPr>
            <w:r>
              <w:t xml:space="preserve">S</w:t>
            </w:r>
          </w:p>
        </w:tc>
        <w:tc>
          <w:tcPr/>
          <w:p>
            <w:pPr>
              <w:pStyle w:val="Compact"/>
              <w:jc w:val="left"/>
            </w:pPr>
            <w:r>
              <w:t xml:space="preserve">1</w:t>
            </w:r>
          </w:p>
        </w:tc>
      </w:tr>
      <w:tr>
        <w:tc>
          <w:tcPr/>
          <w:p>
            <w:pPr>
              <w:pStyle w:val="Compact"/>
              <w:jc w:val="left"/>
            </w:pPr>
            <w:r>
              <w:t xml:space="preserve">E-7</w:t>
            </w:r>
          </w:p>
        </w:tc>
        <w:tc>
          <w:tcPr/>
          <w:p>
            <w:pPr>
              <w:pStyle w:val="Compact"/>
              <w:jc w:val="left"/>
            </w:pPr>
            <w:r>
              <w:t xml:space="preserve">Percolation threshold estimate</w:t>
            </w:r>
          </w:p>
        </w:tc>
        <w:tc>
          <w:tcPr/>
          <w:p>
            <w:pPr>
              <w:pStyle w:val="Compact"/>
              <w:jc w:val="left"/>
            </w:pPr>
            <w:r>
              <w:t xml:space="preserve">Medium</w:t>
            </w:r>
          </w:p>
        </w:tc>
        <w:tc>
          <w:tcPr/>
          <w:p>
            <w:pPr>
              <w:pStyle w:val="Compact"/>
              <w:jc w:val="left"/>
            </w:pPr>
            <w:r>
              <w:t xml:space="preserve">S</w:t>
            </w:r>
          </w:p>
        </w:tc>
        <w:tc>
          <w:tcPr/>
          <w:p>
            <w:pPr>
              <w:pStyle w:val="Compact"/>
              <w:jc w:val="left"/>
            </w:pPr>
            <w:r>
              <w:t xml:space="preserve">1</w:t>
            </w:r>
          </w:p>
        </w:tc>
      </w:tr>
      <w:tr>
        <w:tc>
          <w:tcPr/>
          <w:p>
            <w:pPr>
              <w:pStyle w:val="Compact"/>
              <w:jc w:val="left"/>
            </w:pPr>
            <w:r>
              <w:t xml:space="preserve">F-1</w:t>
            </w:r>
          </w:p>
        </w:tc>
        <w:tc>
          <w:tcPr/>
          <w:p>
            <w:pPr>
              <w:pStyle w:val="Compact"/>
              <w:jc w:val="left"/>
            </w:pPr>
            <w:r>
              <w:t xml:space="preserve">API gateway and auth layer</w:t>
            </w:r>
          </w:p>
        </w:tc>
        <w:tc>
          <w:tcPr/>
          <w:p>
            <w:pPr>
              <w:pStyle w:val="Compact"/>
              <w:jc w:val="left"/>
            </w:pPr>
            <w:r>
              <w:t xml:space="preserve">Medium</w:t>
            </w:r>
          </w:p>
        </w:tc>
        <w:tc>
          <w:tcPr/>
          <w:p>
            <w:pPr>
              <w:pStyle w:val="Compact"/>
              <w:jc w:val="left"/>
            </w:pPr>
            <w:r>
              <w:t xml:space="preserve">L</w:t>
            </w:r>
          </w:p>
        </w:tc>
        <w:tc>
          <w:tcPr/>
          <w:p>
            <w:pPr>
              <w:pStyle w:val="Compact"/>
              <w:jc w:val="left"/>
            </w:pPr>
            <w:r>
              <w:t xml:space="preserve">1</w:t>
            </w:r>
          </w:p>
        </w:tc>
      </w:tr>
      <w:tr>
        <w:tc>
          <w:tcPr/>
          <w:p>
            <w:pPr>
              <w:pStyle w:val="Compact"/>
              <w:jc w:val="left"/>
            </w:pPr>
            <w:r>
              <w:t xml:space="preserve">F-2</w:t>
            </w:r>
          </w:p>
        </w:tc>
        <w:tc>
          <w:tcPr/>
          <w:p>
            <w:pPr>
              <w:pStyle w:val="Compact"/>
              <w:jc w:val="left"/>
            </w:pPr>
            <w:r>
              <w:t xml:space="preserve">Polyglot persistence layer</w:t>
            </w:r>
          </w:p>
        </w:tc>
        <w:tc>
          <w:tcPr/>
          <w:p>
            <w:pPr>
              <w:pStyle w:val="Compact"/>
              <w:jc w:val="left"/>
            </w:pPr>
            <w:r>
              <w:t xml:space="preserve">High</w:t>
            </w:r>
          </w:p>
        </w:tc>
        <w:tc>
          <w:tcPr/>
          <w:p>
            <w:pPr>
              <w:pStyle w:val="Compact"/>
              <w:jc w:val="left"/>
            </w:pPr>
            <w:r>
              <w:t xml:space="preserve">L</w:t>
            </w:r>
          </w:p>
        </w:tc>
        <w:tc>
          <w:tcPr/>
          <w:p>
            <w:pPr>
              <w:pStyle w:val="Compact"/>
              <w:jc w:val="left"/>
            </w:pPr>
            <w:r>
              <w:t xml:space="preserve">1</w:t>
            </w:r>
          </w:p>
        </w:tc>
      </w:tr>
      <w:tr>
        <w:tc>
          <w:tcPr/>
          <w:p>
            <w:pPr>
              <w:pStyle w:val="Compact"/>
              <w:jc w:val="left"/>
            </w:pPr>
            <w:r>
              <w:t xml:space="preserve">F-3</w:t>
            </w:r>
          </w:p>
        </w:tc>
        <w:tc>
          <w:tcPr/>
          <w:p>
            <w:pPr>
              <w:pStyle w:val="Compact"/>
              <w:jc w:val="left"/>
            </w:pPr>
            <w:r>
              <w:t xml:space="preserve">Distributed batch ingestion</w:t>
            </w:r>
          </w:p>
        </w:tc>
        <w:tc>
          <w:tcPr/>
          <w:p>
            <w:pPr>
              <w:pStyle w:val="Compact"/>
              <w:jc w:val="left"/>
            </w:pPr>
            <w:r>
              <w:t xml:space="preserve">Medium</w:t>
            </w:r>
          </w:p>
        </w:tc>
        <w:tc>
          <w:tcPr/>
          <w:p>
            <w:pPr>
              <w:pStyle w:val="Compact"/>
              <w:jc w:val="left"/>
            </w:pPr>
            <w:r>
              <w:t xml:space="preserve">L</w:t>
            </w:r>
          </w:p>
        </w:tc>
        <w:tc>
          <w:tcPr/>
          <w:p>
            <w:pPr>
              <w:pStyle w:val="Compact"/>
              <w:jc w:val="left"/>
            </w:pPr>
            <w:r>
              <w:t xml:space="preserve">2</w:t>
            </w:r>
          </w:p>
        </w:tc>
      </w:tr>
      <w:tr>
        <w:tc>
          <w:tcPr/>
          <w:p>
            <w:pPr>
              <w:pStyle w:val="Compact"/>
              <w:jc w:val="left"/>
            </w:pPr>
            <w:r>
              <w:t xml:space="preserve">F-4</w:t>
            </w:r>
          </w:p>
        </w:tc>
        <w:tc>
          <w:tcPr/>
          <w:p>
            <w:pPr>
              <w:pStyle w:val="Compact"/>
              <w:jc w:val="left"/>
            </w:pPr>
            <w:r>
              <w:t xml:space="preserve">Four-tier operational cache</w:t>
            </w:r>
          </w:p>
        </w:tc>
        <w:tc>
          <w:tcPr/>
          <w:p>
            <w:pPr>
              <w:pStyle w:val="Compact"/>
              <w:jc w:val="left"/>
            </w:pPr>
            <w:r>
              <w:t xml:space="preserve">High</w:t>
            </w:r>
          </w:p>
        </w:tc>
        <w:tc>
          <w:tcPr/>
          <w:p>
            <w:pPr>
              <w:pStyle w:val="Compact"/>
              <w:jc w:val="left"/>
            </w:pPr>
            <w:r>
              <w:t xml:space="preserve">M</w:t>
            </w:r>
          </w:p>
        </w:tc>
        <w:tc>
          <w:tcPr/>
          <w:p>
            <w:pPr>
              <w:pStyle w:val="Compact"/>
              <w:jc w:val="left"/>
            </w:pPr>
            <w:r>
              <w:t xml:space="preserve">2</w:t>
            </w:r>
          </w:p>
        </w:tc>
      </w:tr>
      <w:tr>
        <w:tc>
          <w:tcPr/>
          <w:p>
            <w:pPr>
              <w:pStyle w:val="Compact"/>
              <w:jc w:val="left"/>
            </w:pPr>
            <w:r>
              <w:t xml:space="preserve">F-5</w:t>
            </w:r>
          </w:p>
        </w:tc>
        <w:tc>
          <w:tcPr/>
          <w:p>
            <w:pPr>
              <w:pStyle w:val="Compact"/>
              <w:jc w:val="left"/>
            </w:pPr>
            <w:r>
              <w:t xml:space="preserve">Observability stack</w:t>
            </w:r>
          </w:p>
        </w:tc>
        <w:tc>
          <w:tcPr/>
          <w:p>
            <w:pPr>
              <w:pStyle w:val="Compact"/>
              <w:jc w:val="left"/>
            </w:pPr>
            <w:r>
              <w:t xml:space="preserve">High</w:t>
            </w:r>
          </w:p>
        </w:tc>
        <w:tc>
          <w:tcPr/>
          <w:p>
            <w:pPr>
              <w:pStyle w:val="Compact"/>
              <w:jc w:val="left"/>
            </w:pPr>
            <w:r>
              <w:t xml:space="preserve">M</w:t>
            </w:r>
          </w:p>
        </w:tc>
        <w:tc>
          <w:tcPr/>
          <w:p>
            <w:pPr>
              <w:pStyle w:val="Compact"/>
              <w:jc w:val="left"/>
            </w:pPr>
            <w:r>
              <w:t xml:space="preserve">2</w:t>
            </w:r>
          </w:p>
        </w:tc>
      </w:tr>
      <w:tr>
        <w:tc>
          <w:tcPr/>
          <w:p>
            <w:pPr>
              <w:pStyle w:val="Compact"/>
              <w:jc w:val="left"/>
            </w:pPr>
            <w:r>
              <w:t xml:space="preserve">F-6</w:t>
            </w:r>
          </w:p>
        </w:tc>
        <w:tc>
          <w:tcPr/>
          <w:p>
            <w:pPr>
              <w:pStyle w:val="Compact"/>
              <w:jc w:val="left"/>
            </w:pPr>
            <w:r>
              <w:t xml:space="preserve">Circuit breakers and fallback wiring</w:t>
            </w:r>
          </w:p>
        </w:tc>
        <w:tc>
          <w:tcPr/>
          <w:p>
            <w:pPr>
              <w:pStyle w:val="Compact"/>
              <w:jc w:val="left"/>
            </w:pPr>
            <w:r>
              <w:t xml:space="preserve">High</w:t>
            </w:r>
          </w:p>
        </w:tc>
        <w:tc>
          <w:tcPr/>
          <w:p>
            <w:pPr>
              <w:pStyle w:val="Compact"/>
              <w:jc w:val="left"/>
            </w:pPr>
            <w:r>
              <w:t xml:space="preserve">M</w:t>
            </w:r>
          </w:p>
        </w:tc>
        <w:tc>
          <w:tcPr/>
          <w:p>
            <w:pPr>
              <w:pStyle w:val="Compact"/>
              <w:jc w:val="left"/>
            </w:pPr>
            <w:r>
              <w:t xml:space="preserve">2</w:t>
            </w:r>
          </w:p>
        </w:tc>
      </w:tr>
      <w:tr>
        <w:tc>
          <w:tcPr/>
          <w:p>
            <w:pPr>
              <w:pStyle w:val="Compact"/>
              <w:jc w:val="left"/>
            </w:pPr>
            <w:r>
              <w:t xml:space="preserve">F-7</w:t>
            </w:r>
          </w:p>
        </w:tc>
        <w:tc>
          <w:tcPr/>
          <w:p>
            <w:pPr>
              <w:pStyle w:val="Compact"/>
              <w:jc w:val="left"/>
            </w:pPr>
            <w:r>
              <w:t xml:space="preserve">Tenant namespace/row-level security</w:t>
            </w:r>
          </w:p>
        </w:tc>
        <w:tc>
          <w:tcPr/>
          <w:p>
            <w:pPr>
              <w:pStyle w:val="Compact"/>
              <w:jc w:val="left"/>
            </w:pPr>
            <w:r>
              <w:t xml:space="preserve">Critical</w:t>
            </w:r>
          </w:p>
        </w:tc>
        <w:tc>
          <w:tcPr/>
          <w:p>
            <w:pPr>
              <w:pStyle w:val="Compact"/>
              <w:jc w:val="left"/>
            </w:pPr>
            <w:r>
              <w:t xml:space="preserve">L</w:t>
            </w:r>
          </w:p>
        </w:tc>
        <w:tc>
          <w:tcPr/>
          <w:p>
            <w:pPr>
              <w:pStyle w:val="Compact"/>
              <w:jc w:val="left"/>
            </w:pPr>
            <w:r>
              <w:t xml:space="preserve">2</w:t>
            </w:r>
          </w:p>
        </w:tc>
      </w:tr>
      <w:tr>
        <w:tc>
          <w:tcPr/>
          <w:p>
            <w:pPr>
              <w:pStyle w:val="Compact"/>
              <w:jc w:val="left"/>
            </w:pPr>
            <w:r>
              <w:t xml:space="preserve">G-1</w:t>
            </w:r>
          </w:p>
        </w:tc>
        <w:tc>
          <w:tcPr/>
          <w:p>
            <w:pPr>
              <w:pStyle w:val="Compact"/>
              <w:jc w:val="left"/>
            </w:pPr>
            <w:r>
              <w:t xml:space="preserve">OmniDocBench reading-order benchmark</w:t>
            </w:r>
          </w:p>
        </w:tc>
        <w:tc>
          <w:tcPr/>
          <w:p>
            <w:pPr>
              <w:pStyle w:val="Compact"/>
              <w:jc w:val="left"/>
            </w:pPr>
            <w:r>
              <w:t xml:space="preserve">High</w:t>
            </w:r>
          </w:p>
        </w:tc>
        <w:tc>
          <w:tcPr/>
          <w:p>
            <w:pPr>
              <w:pStyle w:val="Compact"/>
              <w:jc w:val="left"/>
            </w:pPr>
            <w:r>
              <w:t xml:space="preserve">M</w:t>
            </w:r>
          </w:p>
        </w:tc>
        <w:tc>
          <w:tcPr/>
          <w:p>
            <w:pPr>
              <w:pStyle w:val="Compact"/>
              <w:jc w:val="left"/>
            </w:pPr>
            <w:r>
              <w:t xml:space="preserve">3</w:t>
            </w:r>
          </w:p>
        </w:tc>
      </w:tr>
      <w:tr>
        <w:tc>
          <w:tcPr/>
          <w:p>
            <w:pPr>
              <w:pStyle w:val="Compact"/>
              <w:jc w:val="left"/>
            </w:pPr>
            <w:r>
              <w:t xml:space="preserve">G-2</w:t>
            </w:r>
          </w:p>
        </w:tc>
        <w:tc>
          <w:tcPr/>
          <w:p>
            <w:pPr>
              <w:pStyle w:val="Compact"/>
              <w:jc w:val="left"/>
            </w:pPr>
            <w:r>
              <w:t xml:space="preserve">Databricks-comparable load test</w:t>
            </w:r>
          </w:p>
        </w:tc>
        <w:tc>
          <w:tcPr/>
          <w:p>
            <w:pPr>
              <w:pStyle w:val="Compact"/>
              <w:jc w:val="left"/>
            </w:pPr>
            <w:r>
              <w:t xml:space="preserve">High</w:t>
            </w:r>
          </w:p>
        </w:tc>
        <w:tc>
          <w:tcPr/>
          <w:p>
            <w:pPr>
              <w:pStyle w:val="Compact"/>
              <w:jc w:val="left"/>
            </w:pPr>
            <w:r>
              <w:t xml:space="preserve">L</w:t>
            </w:r>
          </w:p>
        </w:tc>
        <w:tc>
          <w:tcPr/>
          <w:p>
            <w:pPr>
              <w:pStyle w:val="Compact"/>
              <w:jc w:val="left"/>
            </w:pPr>
            <w:r>
              <w:t xml:space="preserve">3</w:t>
            </w:r>
          </w:p>
        </w:tc>
      </w:tr>
      <w:tr>
        <w:tc>
          <w:tcPr/>
          <w:p>
            <w:pPr>
              <w:pStyle w:val="Compact"/>
              <w:jc w:val="left"/>
            </w:pPr>
            <w:r>
              <w:t xml:space="preserve">G-3</w:t>
            </w:r>
          </w:p>
        </w:tc>
        <w:tc>
          <w:tcPr/>
          <w:p>
            <w:pPr>
              <w:pStyle w:val="Compact"/>
              <w:jc w:val="left"/>
            </w:pPr>
            <w:r>
              <w:t xml:space="preserve">ViDoRe multimodal benchmark</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3</w:t>
            </w:r>
          </w:p>
        </w:tc>
      </w:tr>
      <w:tr>
        <w:tc>
          <w:tcPr/>
          <w:p>
            <w:pPr>
              <w:pStyle w:val="Compact"/>
              <w:jc w:val="left"/>
            </w:pPr>
            <w:r>
              <w:t xml:space="preserve">G-4</w:t>
            </w:r>
          </w:p>
        </w:tc>
        <w:tc>
          <w:tcPr/>
          <w:p>
            <w:pPr>
              <w:pStyle w:val="Compact"/>
              <w:jc w:val="left"/>
            </w:pPr>
            <w:r>
              <w:t xml:space="preserve">Hallucination-rate measurement</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4</w:t>
            </w:r>
          </w:p>
        </w:tc>
      </w:tr>
      <w:tr>
        <w:tc>
          <w:tcPr/>
          <w:p>
            <w:pPr>
              <w:pStyle w:val="Compact"/>
              <w:jc w:val="left"/>
            </w:pPr>
            <w:r>
              <w:t xml:space="preserve">H-1</w:t>
            </w:r>
          </w:p>
        </w:tc>
        <w:tc>
          <w:tcPr/>
          <w:p>
            <w:pPr>
              <w:pStyle w:val="Compact"/>
              <w:jc w:val="left"/>
            </w:pPr>
            <w:r>
              <w:t xml:space="preserve">LangChain connector</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3</w:t>
            </w:r>
          </w:p>
        </w:tc>
      </w:tr>
      <w:tr>
        <w:tc>
          <w:tcPr/>
          <w:p>
            <w:pPr>
              <w:pStyle w:val="Compact"/>
              <w:jc w:val="left"/>
            </w:pPr>
            <w:r>
              <w:t xml:space="preserve">H-2</w:t>
            </w:r>
          </w:p>
        </w:tc>
        <w:tc>
          <w:tcPr/>
          <w:p>
            <w:pPr>
              <w:pStyle w:val="Compact"/>
              <w:jc w:val="left"/>
            </w:pPr>
            <w:r>
              <w:t xml:space="preserve">LlamaIndex connector</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3</w:t>
            </w:r>
          </w:p>
        </w:tc>
      </w:tr>
      <w:tr>
        <w:tc>
          <w:tcPr/>
          <w:p>
            <w:pPr>
              <w:pStyle w:val="Compact"/>
              <w:jc w:val="left"/>
            </w:pPr>
            <w:r>
              <w:t xml:space="preserve">H-3</w:t>
            </w:r>
          </w:p>
        </w:tc>
        <w:tc>
          <w:tcPr/>
          <w:p>
            <w:pPr>
              <w:pStyle w:val="Compact"/>
              <w:jc w:val="left"/>
            </w:pPr>
            <w:r>
              <w:t xml:space="preserve">Chunk-level debugging visualization</w:t>
            </w:r>
          </w:p>
        </w:tc>
        <w:tc>
          <w:tcPr/>
          <w:p>
            <w:pPr>
              <w:pStyle w:val="Compact"/>
              <w:jc w:val="left"/>
            </w:pPr>
            <w:r>
              <w:t xml:space="preserve">Low-Medium</w:t>
            </w:r>
          </w:p>
        </w:tc>
        <w:tc>
          <w:tcPr/>
          <w:p>
            <w:pPr>
              <w:pStyle w:val="Compact"/>
              <w:jc w:val="left"/>
            </w:pPr>
            <w:r>
              <w:t xml:space="preserve">M</w:t>
            </w:r>
          </w:p>
        </w:tc>
        <w:tc>
          <w:tcPr/>
          <w:p>
            <w:pPr>
              <w:pStyle w:val="Compact"/>
              <w:jc w:val="left"/>
            </w:pPr>
            <w:r>
              <w:t xml:space="preserve">3</w:t>
            </w:r>
          </w:p>
        </w:tc>
      </w:tr>
      <w:tr>
        <w:tc>
          <w:tcPr/>
          <w:p>
            <w:pPr>
              <w:pStyle w:val="Compact"/>
              <w:jc w:val="left"/>
            </w:pPr>
            <w:r>
              <w:t xml:space="preserve">H-4</w:t>
            </w:r>
          </w:p>
        </w:tc>
        <w:tc>
          <w:tcPr/>
          <w:p>
            <w:pPr>
              <w:pStyle w:val="Compact"/>
              <w:jc w:val="left"/>
            </w:pPr>
            <w:r>
              <w:t xml:space="preserve">Contextual-prefix enrichment</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2</w:t>
            </w:r>
          </w:p>
        </w:tc>
      </w:tr>
      <w:tr>
        <w:tc>
          <w:tcPr/>
          <w:p>
            <w:pPr>
              <w:pStyle w:val="Compact"/>
              <w:jc w:val="left"/>
            </w:pPr>
            <w:r>
              <w:t xml:space="preserve">H-5</w:t>
            </w:r>
          </w:p>
        </w:tc>
        <w:tc>
          <w:tcPr/>
          <w:p>
            <w:pPr>
              <w:pStyle w:val="Compact"/>
              <w:jc w:val="left"/>
            </w:pPr>
            <w:r>
              <w:t xml:space="preserve">Query-adaptive budget sizing</w:t>
            </w:r>
          </w:p>
        </w:tc>
        <w:tc>
          <w:tcPr/>
          <w:p>
            <w:pPr>
              <w:pStyle w:val="Compact"/>
              <w:jc w:val="left"/>
            </w:pPr>
            <w:r>
              <w:t xml:space="preserve">Medium</w:t>
            </w:r>
          </w:p>
        </w:tc>
        <w:tc>
          <w:tcPr/>
          <w:p>
            <w:pPr>
              <w:pStyle w:val="Compact"/>
              <w:jc w:val="left"/>
            </w:pPr>
            <w:r>
              <w:t xml:space="preserve">M</w:t>
            </w:r>
          </w:p>
        </w:tc>
        <w:tc>
          <w:tcPr/>
          <w:p>
            <w:pPr>
              <w:pStyle w:val="Compact"/>
              <w:jc w:val="left"/>
            </w:pPr>
            <w:r>
              <w:t xml:space="preserve">2</w:t>
            </w:r>
          </w:p>
        </w:tc>
      </w:tr>
      <w:tr>
        <w:tc>
          <w:tcPr/>
          <w:p>
            <w:pPr>
              <w:pStyle w:val="Compact"/>
              <w:jc w:val="left"/>
            </w:pPr>
            <w:r>
              <w:t xml:space="preserve">H-6</w:t>
            </w:r>
          </w:p>
        </w:tc>
        <w:tc>
          <w:tcPr/>
          <w:p>
            <w:pPr>
              <w:pStyle w:val="Compact"/>
              <w:jc w:val="left"/>
            </w:pPr>
            <w:r>
              <w:t xml:space="preserve">Eighth retrieval signal (whole-page visual)</w:t>
            </w:r>
          </w:p>
        </w:tc>
        <w:tc>
          <w:tcPr/>
          <w:p>
            <w:pPr>
              <w:pStyle w:val="Compact"/>
              <w:jc w:val="left"/>
            </w:pPr>
            <w:r>
              <w:t xml:space="preserve">Low-Medium</w:t>
            </w:r>
          </w:p>
        </w:tc>
        <w:tc>
          <w:tcPr/>
          <w:p>
            <w:pPr>
              <w:pStyle w:val="Compact"/>
              <w:jc w:val="left"/>
            </w:pPr>
            <w:r>
              <w:t xml:space="preserve">L</w:t>
            </w:r>
          </w:p>
        </w:tc>
        <w:tc>
          <w:tcPr/>
          <w:p>
            <w:pPr>
              <w:pStyle w:val="Compact"/>
              <w:jc w:val="left"/>
            </w:pPr>
            <w:r>
              <w:t xml:space="preserve">3</w:t>
            </w:r>
          </w:p>
        </w:tc>
      </w:tr>
    </w:tbl>
    <w:bookmarkEnd w:id="49"/>
    <w:bookmarkStart w:id="50" w:name="conclusion"/>
    <w:p>
      <w:pPr>
        <w:pStyle w:val="Heading2"/>
      </w:pPr>
      <w:r>
        <w:t xml:space="preserve">Conclusion</w:t>
      </w:r>
    </w:p>
    <w:p>
      <w:pPr>
        <w:pStyle w:val="FirstParagraph"/>
      </w:pPr>
      <w:r>
        <w:t xml:space="preserve">This document consolidated the open items, recommendations, and staged features identified across seven prior documents in this body of work into 50 concrete tasks across eight workstreams, each carrying an integration point, dependency list, priority, effort estimate, and acceptance criterion. Its central organizing finding, consistent with every document that preceded it, is that AEGIS-DocIntel’s highest-priority work is not new mathematics but evidentiary closure: Workstream A’s nine tasks — most urgently A-1’s tenant-isolation audit and A-7’s trained semantic encoder — convert this system’s already-strong theoretical claims into measured, production-grade evidence, and Phase 1 of Section 11’s sequencing plan places every Critical and High-priority task from that workstream at the very start of the plan.</w:t>
      </w:r>
    </w:p>
    <w:p>
      <w:pPr>
        <w:pStyle w:val="BodyText"/>
      </w:pPr>
      <w:r>
        <w:t xml:space="preserve">Equally consistent with this body of work’s standing discipline: no task in this document is self-authorizing. Each task’s acceptance criterion is a specific, named test case, and a task’s completion should be read as</w:t>
      </w:r>
      <w:r>
        <w:t xml:space="preserve"> </w:t>
      </w:r>
      <w:r>
        <w:t xml:space="preserve">“</w:t>
      </w:r>
      <w:r>
        <w:t xml:space="preserve">the code exists and the test plan is ready to run,</w:t>
      </w:r>
      <w:r>
        <w:t xml:space="preserve">”</w:t>
      </w:r>
      <w:r>
        <w:t xml:space="preserve"> </w:t>
      </w:r>
      <w:r>
        <w:t xml:space="preserve">not as</w:t>
      </w:r>
      <w:r>
        <w:t xml:space="preserve"> </w:t>
      </w:r>
      <w:r>
        <w:t xml:space="preserve">“</w:t>
      </w:r>
      <w:r>
        <w:t xml:space="preserve">the capability is validated</w:t>
      </w:r>
      <w:r>
        <w:t xml:space="preserve">”</w:t>
      </w:r>
      <w:r>
        <w:t xml:space="preserve"> </w:t>
      </w:r>
      <w:r>
        <w:t xml:space="preserve">— that second claim depends on the acceptance criterion’s test actually passing, reported with the same honesty this entire body of work has applied to every prior claim, including the four defects the original architecture proposal did not survive contact with an actual implementation. This document’s own honest limitation is the same one every document before it has carried: it is a plan, assembled from other plans, and its value is realized only when the tasks in Section 12’s master table are actually executed and their results reported back into the risk register and evidentiary-tier system this entire body of work has built to hold itself accountable.</w:t>
      </w:r>
    </w:p>
    <w:bookmarkEnd w:id="50"/>
    <w:bookmarkEnd w:id="51"/>
    <w:sectPr>
      <w:pgSz w:h="12240" w:orient="landscape" w:w="158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2026-07-19T09:03:41Z</dcterms:created>
  <dcterms:modified xsi:type="dcterms:W3CDTF">2026-07-19T09:03:41Z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Master Technical Task List: Implementation, Integration, and System-Wide Improvement Backlog</vt:lpwstr>
  </property>
</Properties>
</file>